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F16D7" w14:textId="68C86B90" w:rsidR="00D219F1" w:rsidRPr="00BB0BED" w:rsidRDefault="00EA557B"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14:anchorId="3DE4CF93" wp14:editId="085A0687">
            <wp:extent cx="1418400" cy="10692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18400" cy="1069200"/>
                    </a:xfrm>
                    <a:prstGeom prst="rect">
                      <a:avLst/>
                    </a:prstGeom>
                    <a:noFill/>
                    <a:ln>
                      <a:noFill/>
                    </a:ln>
                  </pic:spPr>
                </pic:pic>
              </a:graphicData>
            </a:graphic>
          </wp:inline>
        </w:drawing>
      </w:r>
    </w:p>
    <w:p w14:paraId="336C0874" w14:textId="77777777"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14:paraId="097F5ED2" w14:textId="19135B77" w:rsidR="007E03D3" w:rsidRPr="00AA1E61" w:rsidRDefault="00D219F1" w:rsidP="00503887">
      <w:pPr>
        <w:tabs>
          <w:tab w:val="right" w:pos="9720"/>
        </w:tabs>
        <w:ind w:right="-82"/>
        <w:rPr>
          <w:rFonts w:ascii="Book Antiqua" w:hAnsi="Book Antiqua" w:cs="Arial"/>
          <w:b/>
          <w:color w:val="000000"/>
        </w:rPr>
      </w:pPr>
      <w:r w:rsidRPr="00BB0BED">
        <w:rPr>
          <w:rFonts w:ascii="Book Antiqua" w:hAnsi="Book Antiqua" w:cs="Arial"/>
          <w:b/>
          <w:color w:val="000000"/>
        </w:rPr>
        <w:t>(</w:t>
      </w:r>
      <w:r w:rsidR="00AA1E61">
        <w:rPr>
          <w:rFonts w:ascii="Book Antiqua" w:hAnsi="Book Antiqua" w:cs="Arial"/>
          <w:b/>
          <w:color w:val="000000"/>
        </w:rPr>
        <w:t xml:space="preserve">Immigration and Asylum </w:t>
      </w:r>
      <w:proofErr w:type="gramStart"/>
      <w:r w:rsidR="00AA1E61">
        <w:rPr>
          <w:rFonts w:ascii="Book Antiqua" w:hAnsi="Book Antiqua" w:cs="Arial"/>
          <w:b/>
          <w:color w:val="000000"/>
        </w:rPr>
        <w:t xml:space="preserve">Chamber)   </w:t>
      </w:r>
      <w:proofErr w:type="gramEnd"/>
      <w:r w:rsidR="00AA1E61">
        <w:rPr>
          <w:rFonts w:ascii="Book Antiqua" w:hAnsi="Book Antiqua" w:cs="Arial"/>
          <w:b/>
          <w:color w:val="000000"/>
        </w:rPr>
        <w:t xml:space="preserve">                    </w:t>
      </w:r>
      <w:r w:rsidR="00CF4F17" w:rsidRPr="00AA1E61">
        <w:rPr>
          <w:rFonts w:ascii="Book Antiqua" w:hAnsi="Book Antiqua" w:cs="Arial"/>
          <w:b/>
          <w:color w:val="000000"/>
        </w:rPr>
        <w:t>Appeal Number:</w:t>
      </w:r>
      <w:r w:rsidR="00AA1E61" w:rsidRPr="00AA1E61">
        <w:rPr>
          <w:rFonts w:ascii="Book Antiqua" w:hAnsi="Book Antiqua" w:cs="Arial"/>
          <w:b/>
          <w:color w:val="000000"/>
        </w:rPr>
        <w:t xml:space="preserve"> </w:t>
      </w:r>
      <w:r w:rsidR="00F06AB3" w:rsidRPr="00AA1E61">
        <w:rPr>
          <w:rFonts w:ascii="Book Antiqua" w:hAnsi="Book Antiqua" w:cs="Arial"/>
          <w:b/>
          <w:color w:val="000000"/>
        </w:rPr>
        <w:t>PA/10883/</w:t>
      </w:r>
      <w:r w:rsidR="00016AFB" w:rsidRPr="00AA1E61">
        <w:rPr>
          <w:rFonts w:ascii="Book Antiqua" w:hAnsi="Book Antiqua" w:cs="Arial"/>
          <w:b/>
          <w:color w:val="000000"/>
        </w:rPr>
        <w:t>20</w:t>
      </w:r>
      <w:r w:rsidR="00101EAC" w:rsidRPr="00AA1E61">
        <w:rPr>
          <w:rFonts w:ascii="Book Antiqua" w:hAnsi="Book Antiqua" w:cs="Arial"/>
          <w:b/>
          <w:color w:val="000000"/>
        </w:rPr>
        <w:t>17</w:t>
      </w:r>
    </w:p>
    <w:p w14:paraId="16DBB30C" w14:textId="77777777" w:rsidR="00AA1E61" w:rsidRDefault="00AA1E61" w:rsidP="00AA1E61">
      <w:pPr>
        <w:tabs>
          <w:tab w:val="right" w:pos="9720"/>
        </w:tabs>
        <w:ind w:right="-82"/>
        <w:jc w:val="center"/>
        <w:rPr>
          <w:rFonts w:ascii="Book Antiqua" w:hAnsi="Book Antiqua" w:cs="Arial"/>
          <w:color w:val="000000"/>
        </w:rPr>
      </w:pPr>
    </w:p>
    <w:p w14:paraId="2663905F" w14:textId="1F8A473D" w:rsidR="00D219F1" w:rsidRPr="00BB0BED" w:rsidRDefault="00D219F1" w:rsidP="00AA1E61">
      <w:pPr>
        <w:tabs>
          <w:tab w:val="right" w:pos="9720"/>
        </w:tabs>
        <w:ind w:right="-82"/>
        <w:jc w:val="center"/>
        <w:rPr>
          <w:rFonts w:ascii="Book Antiqua" w:hAnsi="Book Antiqua" w:cs="Arial"/>
          <w:b/>
          <w:color w:val="000000"/>
          <w:u w:val="single"/>
        </w:rPr>
      </w:pPr>
      <w:r w:rsidRPr="00BB0BED">
        <w:rPr>
          <w:rFonts w:ascii="Book Antiqua" w:hAnsi="Book Antiqua" w:cs="Arial"/>
          <w:b/>
          <w:color w:val="000000"/>
          <w:u w:val="single"/>
        </w:rPr>
        <w:t>THE IMMIGRATION ACTS</w:t>
      </w:r>
    </w:p>
    <w:p w14:paraId="54A64D79" w14:textId="77777777" w:rsidR="00D219F1" w:rsidRPr="00BB0BED" w:rsidRDefault="00D219F1" w:rsidP="00503887">
      <w:pPr>
        <w:jc w:val="center"/>
        <w:rPr>
          <w:rFonts w:ascii="Book Antiqua" w:hAnsi="Book Antiqua" w:cs="Arial"/>
          <w:b/>
          <w:u w:val="single"/>
        </w:rPr>
      </w:pPr>
    </w:p>
    <w:tbl>
      <w:tblPr>
        <w:tblW w:w="10882" w:type="dxa"/>
        <w:tblLook w:val="01E0" w:firstRow="1" w:lastRow="1" w:firstColumn="1" w:lastColumn="1" w:noHBand="0" w:noVBand="0"/>
      </w:tblPr>
      <w:tblGrid>
        <w:gridCol w:w="4678"/>
        <w:gridCol w:w="6204"/>
      </w:tblGrid>
      <w:tr w:rsidR="00D219F1" w:rsidRPr="00C03009" w14:paraId="4A99880A" w14:textId="77777777" w:rsidTr="00AA1E61">
        <w:trPr>
          <w:trHeight w:val="211"/>
        </w:trPr>
        <w:tc>
          <w:tcPr>
            <w:tcW w:w="4678" w:type="dxa"/>
          </w:tcPr>
          <w:p w14:paraId="0AF7074F" w14:textId="77777777" w:rsidR="00D219F1" w:rsidRPr="00C03009" w:rsidRDefault="002E1341" w:rsidP="00256F9B">
            <w:pPr>
              <w:jc w:val="both"/>
              <w:rPr>
                <w:rFonts w:ascii="Book Antiqua" w:hAnsi="Book Antiqua" w:cs="Arial"/>
                <w:b/>
              </w:rPr>
            </w:pPr>
            <w:r>
              <w:rPr>
                <w:rFonts w:ascii="Book Antiqua" w:hAnsi="Book Antiqua" w:cs="Arial"/>
                <w:b/>
              </w:rPr>
              <w:t>At: Manchester Civil Justice Centre</w:t>
            </w:r>
          </w:p>
        </w:tc>
        <w:tc>
          <w:tcPr>
            <w:tcW w:w="6204" w:type="dxa"/>
          </w:tcPr>
          <w:p w14:paraId="41E007D7" w14:textId="77777777" w:rsidR="00D219F1" w:rsidRPr="00C03009" w:rsidRDefault="002E1341" w:rsidP="00256F9B">
            <w:pPr>
              <w:jc w:val="both"/>
              <w:rPr>
                <w:rFonts w:ascii="Book Antiqua" w:hAnsi="Book Antiqua" w:cs="Arial"/>
                <w:b/>
                <w:color w:val="000000"/>
              </w:rPr>
            </w:pPr>
            <w:r>
              <w:rPr>
                <w:rFonts w:ascii="Book Antiqua" w:hAnsi="Book Antiqua" w:cs="Arial"/>
                <w:b/>
                <w:color w:val="000000"/>
              </w:rPr>
              <w:t xml:space="preserve">          </w:t>
            </w:r>
            <w:r w:rsidR="00D806C5">
              <w:rPr>
                <w:rFonts w:ascii="Book Antiqua" w:hAnsi="Book Antiqua" w:cs="Arial"/>
                <w:b/>
                <w:color w:val="000000"/>
              </w:rPr>
              <w:t xml:space="preserve">Decision </w:t>
            </w:r>
            <w:r w:rsidR="00D219F1" w:rsidRPr="00C03009">
              <w:rPr>
                <w:rFonts w:ascii="Book Antiqua" w:hAnsi="Book Antiqua" w:cs="Arial"/>
                <w:b/>
                <w:color w:val="000000"/>
              </w:rPr>
              <w:t>Promulgated</w:t>
            </w:r>
          </w:p>
        </w:tc>
      </w:tr>
      <w:tr w:rsidR="00D219F1" w:rsidRPr="00C03009" w14:paraId="6914F3E7" w14:textId="77777777" w:rsidTr="00AA1E61">
        <w:trPr>
          <w:trHeight w:val="237"/>
        </w:trPr>
        <w:tc>
          <w:tcPr>
            <w:tcW w:w="4678" w:type="dxa"/>
          </w:tcPr>
          <w:p w14:paraId="7F04C5AA" w14:textId="77777777" w:rsidR="008133F6" w:rsidRPr="00C03009" w:rsidRDefault="002E1341" w:rsidP="00030A29">
            <w:pPr>
              <w:jc w:val="both"/>
              <w:rPr>
                <w:rFonts w:ascii="Book Antiqua" w:hAnsi="Book Antiqua" w:cs="Arial"/>
                <w:b/>
              </w:rPr>
            </w:pPr>
            <w:r>
              <w:rPr>
                <w:rFonts w:ascii="Book Antiqua" w:hAnsi="Book Antiqua" w:cs="Arial"/>
                <w:b/>
              </w:rPr>
              <w:t>On: 18</w:t>
            </w:r>
            <w:r w:rsidRPr="009A0219">
              <w:rPr>
                <w:rFonts w:ascii="Book Antiqua" w:hAnsi="Book Antiqua" w:cs="Arial"/>
                <w:b/>
                <w:vertAlign w:val="superscript"/>
              </w:rPr>
              <w:t>th</w:t>
            </w:r>
            <w:r>
              <w:rPr>
                <w:rFonts w:ascii="Book Antiqua" w:hAnsi="Book Antiqua" w:cs="Arial"/>
                <w:b/>
              </w:rPr>
              <w:t xml:space="preserve"> June 2018</w:t>
            </w:r>
          </w:p>
        </w:tc>
        <w:tc>
          <w:tcPr>
            <w:tcW w:w="6204" w:type="dxa"/>
          </w:tcPr>
          <w:p w14:paraId="75200962" w14:textId="77777777" w:rsidR="00D219F1" w:rsidRPr="00C03009" w:rsidRDefault="009761F2" w:rsidP="00256F9B">
            <w:pPr>
              <w:jc w:val="both"/>
              <w:rPr>
                <w:rFonts w:ascii="Book Antiqua" w:hAnsi="Book Antiqua" w:cs="Arial"/>
                <w:b/>
              </w:rPr>
            </w:pPr>
            <w:r>
              <w:rPr>
                <w:rFonts w:ascii="Book Antiqua" w:hAnsi="Book Antiqua" w:cs="Arial"/>
                <w:b/>
              </w:rPr>
              <w:t xml:space="preserve">          </w:t>
            </w:r>
            <w:r w:rsidRPr="009761F2">
              <w:rPr>
                <w:rFonts w:ascii="Book Antiqua" w:hAnsi="Book Antiqua" w:cs="Arial"/>
                <w:b/>
              </w:rPr>
              <w:t>On</w:t>
            </w:r>
            <w:r w:rsidR="00EA557B">
              <w:rPr>
                <w:rFonts w:ascii="Book Antiqua" w:hAnsi="Book Antiqua" w:cs="Arial"/>
                <w:b/>
              </w:rPr>
              <w:t>:</w:t>
            </w:r>
            <w:r w:rsidRPr="009761F2">
              <w:rPr>
                <w:rFonts w:ascii="Book Antiqua" w:hAnsi="Book Antiqua" w:cs="Arial"/>
                <w:b/>
              </w:rPr>
              <w:t xml:space="preserve"> 22</w:t>
            </w:r>
            <w:r w:rsidR="00EA557B" w:rsidRPr="00EA557B">
              <w:rPr>
                <w:rFonts w:ascii="Book Antiqua" w:hAnsi="Book Antiqua" w:cs="Arial"/>
                <w:b/>
                <w:vertAlign w:val="superscript"/>
              </w:rPr>
              <w:t>nd</w:t>
            </w:r>
            <w:r w:rsidRPr="009761F2">
              <w:rPr>
                <w:rFonts w:ascii="Book Antiqua" w:hAnsi="Book Antiqua" w:cs="Arial"/>
                <w:b/>
              </w:rPr>
              <w:t xml:space="preserve"> June 2018</w:t>
            </w:r>
          </w:p>
        </w:tc>
      </w:tr>
      <w:tr w:rsidR="00D219F1" w:rsidRPr="00C03009" w14:paraId="77539B14" w14:textId="77777777" w:rsidTr="00AA1E61">
        <w:trPr>
          <w:trHeight w:val="222"/>
        </w:trPr>
        <w:tc>
          <w:tcPr>
            <w:tcW w:w="4678" w:type="dxa"/>
          </w:tcPr>
          <w:p w14:paraId="63DDD622" w14:textId="77777777" w:rsidR="00D219F1" w:rsidRPr="00C03009" w:rsidRDefault="00D219F1" w:rsidP="00256F9B">
            <w:pPr>
              <w:jc w:val="both"/>
              <w:rPr>
                <w:rFonts w:ascii="Book Antiqua" w:hAnsi="Book Antiqua" w:cs="Arial"/>
                <w:b/>
              </w:rPr>
            </w:pPr>
          </w:p>
        </w:tc>
        <w:tc>
          <w:tcPr>
            <w:tcW w:w="6204" w:type="dxa"/>
          </w:tcPr>
          <w:p w14:paraId="506CC1CC" w14:textId="77777777" w:rsidR="00D219F1" w:rsidRPr="00C03009" w:rsidRDefault="00D219F1" w:rsidP="00256F9B">
            <w:pPr>
              <w:jc w:val="both"/>
              <w:rPr>
                <w:rFonts w:ascii="Book Antiqua" w:hAnsi="Book Antiqua" w:cs="Arial"/>
                <w:b/>
              </w:rPr>
            </w:pPr>
          </w:p>
        </w:tc>
      </w:tr>
    </w:tbl>
    <w:p w14:paraId="5D7144A7" w14:textId="77777777" w:rsidR="00D219F1" w:rsidRPr="00BB0BED" w:rsidRDefault="00D219F1" w:rsidP="00503887">
      <w:pPr>
        <w:jc w:val="center"/>
        <w:rPr>
          <w:rFonts w:ascii="Book Antiqua" w:hAnsi="Book Antiqua" w:cs="Arial"/>
        </w:rPr>
      </w:pPr>
    </w:p>
    <w:p w14:paraId="5D639435"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5039916A" w14:textId="77777777" w:rsidR="00D219F1" w:rsidRDefault="00D219F1" w:rsidP="00764A18">
      <w:pPr>
        <w:rPr>
          <w:rFonts w:ascii="Book Antiqua" w:hAnsi="Book Antiqua" w:cs="Arial"/>
          <w:b/>
        </w:rPr>
      </w:pPr>
    </w:p>
    <w:p w14:paraId="4B8C7962"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67197153" w14:textId="77777777" w:rsidR="00D219F1" w:rsidRDefault="00D219F1" w:rsidP="00503887">
      <w:pPr>
        <w:jc w:val="center"/>
        <w:outlineLvl w:val="0"/>
        <w:rPr>
          <w:rFonts w:ascii="Book Antiqua" w:hAnsi="Book Antiqua" w:cs="Arial"/>
          <w:b/>
        </w:rPr>
      </w:pPr>
    </w:p>
    <w:p w14:paraId="561D7D5B"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445EDDBB" w14:textId="77777777" w:rsidR="00D219F1" w:rsidRDefault="00D219F1" w:rsidP="00503887">
      <w:pPr>
        <w:jc w:val="center"/>
        <w:rPr>
          <w:rFonts w:ascii="Book Antiqua" w:hAnsi="Book Antiqua" w:cs="Arial"/>
          <w:b/>
        </w:rPr>
      </w:pPr>
    </w:p>
    <w:p w14:paraId="066D2854" w14:textId="77777777" w:rsidR="008133F6" w:rsidRDefault="00101EAC" w:rsidP="008133F6">
      <w:pPr>
        <w:jc w:val="center"/>
        <w:rPr>
          <w:rFonts w:ascii="Book Antiqua" w:hAnsi="Book Antiqua" w:cs="Arial"/>
          <w:b/>
        </w:rPr>
      </w:pPr>
      <w:r>
        <w:rPr>
          <w:rFonts w:ascii="Book Antiqua" w:hAnsi="Book Antiqua" w:cs="Arial"/>
          <w:b/>
        </w:rPr>
        <w:t>PMH</w:t>
      </w:r>
    </w:p>
    <w:p w14:paraId="24B0C661" w14:textId="3B0D7C38" w:rsidR="008133F6" w:rsidRPr="00AA1E61" w:rsidRDefault="00AA1E61" w:rsidP="008133F6">
      <w:pPr>
        <w:jc w:val="center"/>
        <w:rPr>
          <w:rFonts w:ascii="Book Antiqua" w:hAnsi="Book Antiqua" w:cs="Arial"/>
        </w:rPr>
      </w:pPr>
      <w:r w:rsidRPr="00AA1E61">
        <w:rPr>
          <w:rFonts w:ascii="Book Antiqua" w:hAnsi="Book Antiqua" w:cs="Arial"/>
        </w:rPr>
        <w:t xml:space="preserve"> (ANONYMITY DIRECTION MADE)</w:t>
      </w:r>
    </w:p>
    <w:p w14:paraId="2CB742FE" w14:textId="77777777"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14:paraId="0D91D641" w14:textId="77777777" w:rsidR="00F62C83" w:rsidRDefault="00F62C83" w:rsidP="00503887">
      <w:pPr>
        <w:jc w:val="center"/>
        <w:rPr>
          <w:rFonts w:ascii="Book Antiqua" w:hAnsi="Book Antiqua" w:cs="Arial"/>
          <w:b/>
        </w:rPr>
      </w:pPr>
    </w:p>
    <w:p w14:paraId="2ED53622" w14:textId="77777777"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14:paraId="448A8ADF" w14:textId="77777777" w:rsidR="00764A18" w:rsidRDefault="00764A18" w:rsidP="00503887">
      <w:pPr>
        <w:jc w:val="center"/>
        <w:rPr>
          <w:rFonts w:ascii="Book Antiqua" w:hAnsi="Book Antiqua" w:cs="Arial"/>
          <w:b/>
        </w:rPr>
      </w:pPr>
    </w:p>
    <w:p w14:paraId="671B921B" w14:textId="715DAD2B" w:rsidR="008133F6" w:rsidRDefault="00AA1E61" w:rsidP="008133F6">
      <w:pPr>
        <w:jc w:val="center"/>
        <w:rPr>
          <w:rFonts w:ascii="Book Antiqua" w:hAnsi="Book Antiqua" w:cs="Arial"/>
          <w:b/>
        </w:rPr>
      </w:pPr>
      <w:r>
        <w:rPr>
          <w:rFonts w:ascii="Book Antiqua" w:hAnsi="Book Antiqua" w:cs="Arial"/>
          <w:b/>
        </w:rPr>
        <w:t>THE SECRETARY OF STATE FOR THE HOME DEPARTMENT</w:t>
      </w:r>
    </w:p>
    <w:p w14:paraId="27C1162A" w14:textId="77777777" w:rsidR="00D219F1" w:rsidRPr="00613BE2" w:rsidRDefault="00D219F1" w:rsidP="006B153F">
      <w:pPr>
        <w:jc w:val="right"/>
        <w:outlineLvl w:val="0"/>
        <w:rPr>
          <w:rFonts w:ascii="Book Antiqua" w:hAnsi="Book Antiqua" w:cs="Arial"/>
          <w:u w:val="single"/>
        </w:rPr>
      </w:pPr>
      <w:r w:rsidRPr="00613BE2">
        <w:rPr>
          <w:rFonts w:ascii="Book Antiqua" w:hAnsi="Book Antiqua" w:cs="Arial"/>
          <w:u w:val="single"/>
        </w:rPr>
        <w:t>Respondent</w:t>
      </w:r>
    </w:p>
    <w:p w14:paraId="357C0281" w14:textId="77777777" w:rsidR="00555389" w:rsidRPr="00613BE2" w:rsidRDefault="00555389" w:rsidP="00473C4B">
      <w:pPr>
        <w:rPr>
          <w:rFonts w:ascii="Book Antiqua" w:hAnsi="Book Antiqua" w:cs="Arial"/>
          <w:b/>
        </w:rPr>
      </w:pPr>
    </w:p>
    <w:p w14:paraId="7178E002" w14:textId="7DB5D572" w:rsidR="009A0219" w:rsidRPr="00AA1E61" w:rsidRDefault="00AA1E61" w:rsidP="003847A2">
      <w:pPr>
        <w:ind w:left="2160" w:hanging="2160"/>
        <w:rPr>
          <w:rFonts w:ascii="Book Antiqua" w:hAnsi="Book Antiqua" w:cs="Arial"/>
          <w:b/>
          <w:u w:val="single"/>
        </w:rPr>
      </w:pPr>
      <w:r>
        <w:rPr>
          <w:rFonts w:ascii="Book Antiqua" w:hAnsi="Book Antiqua" w:cs="Arial"/>
          <w:b/>
          <w:u w:val="single"/>
        </w:rPr>
        <w:t>Representation:</w:t>
      </w:r>
    </w:p>
    <w:p w14:paraId="3D50D990" w14:textId="77777777" w:rsidR="00AA1E61" w:rsidRPr="00613BE2" w:rsidRDefault="00AA1E61" w:rsidP="003847A2">
      <w:pPr>
        <w:ind w:left="2160" w:hanging="2160"/>
        <w:rPr>
          <w:rFonts w:ascii="Book Antiqua" w:hAnsi="Book Antiqua" w:cs="Arial"/>
          <w:b/>
        </w:rPr>
      </w:pPr>
    </w:p>
    <w:p w14:paraId="4536A210" w14:textId="77777777" w:rsidR="00F66F55" w:rsidRPr="00AA1E61" w:rsidRDefault="008133F6" w:rsidP="003847A2">
      <w:pPr>
        <w:ind w:left="2160" w:hanging="2160"/>
        <w:rPr>
          <w:rFonts w:ascii="Book Antiqua" w:hAnsi="Book Antiqua" w:cs="Arial"/>
        </w:rPr>
      </w:pPr>
      <w:r w:rsidRPr="00AA1E61">
        <w:rPr>
          <w:rFonts w:ascii="Book Antiqua" w:hAnsi="Book Antiqua" w:cs="Arial"/>
        </w:rPr>
        <w:t>For the Appellant:</w:t>
      </w:r>
      <w:r w:rsidR="003847A2" w:rsidRPr="00AA1E61">
        <w:rPr>
          <w:rFonts w:ascii="Book Antiqua" w:hAnsi="Book Antiqua" w:cs="Arial"/>
        </w:rPr>
        <w:tab/>
      </w:r>
      <w:r w:rsidR="002022F5" w:rsidRPr="00AA1E61">
        <w:rPr>
          <w:rFonts w:ascii="Book Antiqua" w:hAnsi="Book Antiqua" w:cs="Arial"/>
        </w:rPr>
        <w:tab/>
      </w:r>
      <w:r w:rsidR="00CB32AF" w:rsidRPr="00AA1E61">
        <w:rPr>
          <w:rFonts w:ascii="Book Antiqua" w:hAnsi="Book Antiqua" w:cs="Arial"/>
        </w:rPr>
        <w:t>M</w:t>
      </w:r>
      <w:r w:rsidR="00613BE2" w:rsidRPr="00AA1E61">
        <w:rPr>
          <w:rFonts w:ascii="Book Antiqua" w:hAnsi="Book Antiqua" w:cs="Arial"/>
        </w:rPr>
        <w:t>r J. Holt, Counsel instructed by ADL Solicitors</w:t>
      </w:r>
    </w:p>
    <w:p w14:paraId="5BF42B09" w14:textId="77777777" w:rsidR="008133F6" w:rsidRPr="00AA1E61" w:rsidRDefault="008133F6" w:rsidP="00473C4B">
      <w:pPr>
        <w:rPr>
          <w:rFonts w:ascii="Book Antiqua" w:hAnsi="Book Antiqua" w:cs="Arial"/>
        </w:rPr>
      </w:pPr>
      <w:r w:rsidRPr="00AA1E61">
        <w:rPr>
          <w:rFonts w:ascii="Book Antiqua" w:hAnsi="Book Antiqua" w:cs="Arial"/>
        </w:rPr>
        <w:t>For the Respondent:</w:t>
      </w:r>
      <w:r w:rsidR="004C2070" w:rsidRPr="00AA1E61">
        <w:rPr>
          <w:rFonts w:ascii="Book Antiqua" w:hAnsi="Book Antiqua" w:cs="Arial"/>
        </w:rPr>
        <w:t xml:space="preserve">  </w:t>
      </w:r>
      <w:r w:rsidR="002022F5" w:rsidRPr="00AA1E61">
        <w:rPr>
          <w:rFonts w:ascii="Book Antiqua" w:hAnsi="Book Antiqua" w:cs="Arial"/>
        </w:rPr>
        <w:tab/>
      </w:r>
      <w:r w:rsidR="009A0219" w:rsidRPr="00AA1E61">
        <w:rPr>
          <w:rFonts w:ascii="Book Antiqua" w:hAnsi="Book Antiqua" w:cs="Arial"/>
        </w:rPr>
        <w:t xml:space="preserve">Mr </w:t>
      </w:r>
      <w:r w:rsidR="00613BE2" w:rsidRPr="00AA1E61">
        <w:rPr>
          <w:rFonts w:ascii="Book Antiqua" w:hAnsi="Book Antiqua" w:cs="Arial"/>
        </w:rPr>
        <w:t xml:space="preserve">A. </w:t>
      </w:r>
      <w:proofErr w:type="spellStart"/>
      <w:r w:rsidR="00613BE2" w:rsidRPr="00AA1E61">
        <w:rPr>
          <w:rFonts w:ascii="Book Antiqua" w:hAnsi="Book Antiqua" w:cs="Arial"/>
        </w:rPr>
        <w:t>McVeety</w:t>
      </w:r>
      <w:proofErr w:type="spellEnd"/>
      <w:r w:rsidR="00613BE2" w:rsidRPr="00AA1E61">
        <w:rPr>
          <w:rFonts w:ascii="Book Antiqua" w:hAnsi="Book Antiqua" w:cs="Arial"/>
        </w:rPr>
        <w:t xml:space="preserve">, </w:t>
      </w:r>
      <w:r w:rsidRPr="00AA1E61">
        <w:rPr>
          <w:rFonts w:ascii="Book Antiqua" w:hAnsi="Book Antiqua" w:cs="Arial"/>
        </w:rPr>
        <w:t>Senior Home Office Presenting Officer</w:t>
      </w:r>
    </w:p>
    <w:p w14:paraId="4123CF56" w14:textId="77777777" w:rsidR="008133F6" w:rsidRPr="00613BE2" w:rsidRDefault="008133F6" w:rsidP="00473C4B">
      <w:pPr>
        <w:rPr>
          <w:rFonts w:ascii="Book Antiqua" w:hAnsi="Book Antiqua" w:cs="Arial"/>
          <w:b/>
        </w:rPr>
      </w:pPr>
    </w:p>
    <w:p w14:paraId="15D5F2A2" w14:textId="77777777" w:rsidR="009A0219" w:rsidRPr="00613BE2" w:rsidRDefault="009A0219" w:rsidP="00473C4B">
      <w:pPr>
        <w:rPr>
          <w:rFonts w:ascii="Book Antiqua" w:hAnsi="Book Antiqua" w:cs="Arial"/>
          <w:b/>
        </w:rPr>
      </w:pPr>
    </w:p>
    <w:p w14:paraId="4BC9E2E7" w14:textId="77777777" w:rsidR="00A10684" w:rsidRPr="00800967" w:rsidRDefault="008133F6" w:rsidP="00ED7C3A">
      <w:pPr>
        <w:tabs>
          <w:tab w:val="left" w:pos="2520"/>
        </w:tabs>
        <w:jc w:val="center"/>
        <w:outlineLvl w:val="0"/>
        <w:rPr>
          <w:rFonts w:ascii="Book Antiqua" w:hAnsi="Book Antiqua" w:cs="Arial"/>
          <w:b/>
          <w:u w:val="single"/>
        </w:rPr>
      </w:pPr>
      <w:r w:rsidRPr="00613BE2">
        <w:rPr>
          <w:rFonts w:ascii="Book Antiqua" w:hAnsi="Book Antiqua" w:cs="Arial"/>
          <w:b/>
          <w:u w:val="single"/>
        </w:rPr>
        <w:t>DECISION AND REASONS</w:t>
      </w:r>
    </w:p>
    <w:p w14:paraId="1B129EA6" w14:textId="77777777" w:rsidR="009A0219" w:rsidRPr="00BB0BED" w:rsidRDefault="009A0219" w:rsidP="00503887">
      <w:pPr>
        <w:tabs>
          <w:tab w:val="left" w:pos="2520"/>
        </w:tabs>
        <w:ind w:right="567"/>
        <w:jc w:val="both"/>
        <w:rPr>
          <w:rFonts w:ascii="Book Antiqua" w:hAnsi="Book Antiqua" w:cs="Arial"/>
        </w:rPr>
      </w:pPr>
    </w:p>
    <w:p w14:paraId="345CFAE8" w14:textId="77777777" w:rsidR="008133F6" w:rsidRDefault="008133F6" w:rsidP="00C869BC">
      <w:pPr>
        <w:numPr>
          <w:ilvl w:val="0"/>
          <w:numId w:val="1"/>
        </w:numPr>
        <w:tabs>
          <w:tab w:val="left" w:pos="567"/>
        </w:tabs>
        <w:ind w:left="567" w:right="567"/>
        <w:jc w:val="both"/>
        <w:rPr>
          <w:rFonts w:ascii="Book Antiqua" w:hAnsi="Book Antiqua" w:cs="Arial"/>
        </w:rPr>
      </w:pPr>
      <w:r w:rsidRPr="00CB32AF">
        <w:rPr>
          <w:rFonts w:ascii="Book Antiqua" w:hAnsi="Book Antiqua" w:cs="Arial"/>
        </w:rPr>
        <w:t xml:space="preserve">The Appellant </w:t>
      </w:r>
      <w:r w:rsidR="00101EAC">
        <w:rPr>
          <w:rFonts w:ascii="Book Antiqua" w:hAnsi="Book Antiqua" w:cs="Arial"/>
        </w:rPr>
        <w:t>is a national of Iraq born in 1985</w:t>
      </w:r>
      <w:r w:rsidR="009A0219">
        <w:rPr>
          <w:rFonts w:ascii="Book Antiqua" w:hAnsi="Book Antiqua" w:cs="Arial"/>
        </w:rPr>
        <w:t xml:space="preserve">. </w:t>
      </w:r>
      <w:r w:rsidR="00101EAC">
        <w:rPr>
          <w:rFonts w:ascii="Book Antiqua" w:hAnsi="Book Antiqua" w:cs="Arial"/>
        </w:rPr>
        <w:t xml:space="preserve"> Sh</w:t>
      </w:r>
      <w:r w:rsidR="003847A2" w:rsidRPr="00CB32AF">
        <w:rPr>
          <w:rFonts w:ascii="Book Antiqua" w:hAnsi="Book Antiqua" w:cs="Arial"/>
        </w:rPr>
        <w:t xml:space="preserve">e </w:t>
      </w:r>
      <w:r w:rsidRPr="00CB32AF">
        <w:rPr>
          <w:rFonts w:ascii="Book Antiqua" w:hAnsi="Book Antiqua" w:cs="Arial"/>
        </w:rPr>
        <w:t xml:space="preserve">appeals with permission </w:t>
      </w:r>
      <w:r w:rsidR="009A0219">
        <w:rPr>
          <w:rFonts w:ascii="Book Antiqua" w:hAnsi="Book Antiqua" w:cs="Arial"/>
        </w:rPr>
        <w:t>the</w:t>
      </w:r>
      <w:r w:rsidR="00CB32AF">
        <w:rPr>
          <w:rFonts w:ascii="Book Antiqua" w:hAnsi="Book Antiqua" w:cs="Arial"/>
        </w:rPr>
        <w:t xml:space="preserve"> </w:t>
      </w:r>
      <w:r w:rsidRPr="00CB32AF">
        <w:rPr>
          <w:rFonts w:ascii="Book Antiqua" w:hAnsi="Book Antiqua" w:cs="Arial"/>
        </w:rPr>
        <w:t xml:space="preserve">decision of the First-tier Tribunal </w:t>
      </w:r>
      <w:r w:rsidR="00101EAC">
        <w:rPr>
          <w:rFonts w:ascii="Book Antiqua" w:hAnsi="Book Antiqua" w:cs="Arial"/>
        </w:rPr>
        <w:t>(Judge JJ Maxwell</w:t>
      </w:r>
      <w:r w:rsidR="00D83926">
        <w:rPr>
          <w:rFonts w:ascii="Book Antiqua" w:hAnsi="Book Antiqua" w:cs="Arial"/>
        </w:rPr>
        <w:t>) dated 11</w:t>
      </w:r>
      <w:r w:rsidR="00D83926" w:rsidRPr="00D83926">
        <w:rPr>
          <w:rFonts w:ascii="Book Antiqua" w:hAnsi="Book Antiqua" w:cs="Arial"/>
          <w:vertAlign w:val="superscript"/>
        </w:rPr>
        <w:t>th</w:t>
      </w:r>
      <w:r w:rsidR="00D83926">
        <w:rPr>
          <w:rFonts w:ascii="Book Antiqua" w:hAnsi="Book Antiqua" w:cs="Arial"/>
        </w:rPr>
        <w:t xml:space="preserve"> December</w:t>
      </w:r>
      <w:r w:rsidR="00C869BC">
        <w:rPr>
          <w:rFonts w:ascii="Book Antiqua" w:hAnsi="Book Antiqua" w:cs="Arial"/>
        </w:rPr>
        <w:t xml:space="preserve"> 2017</w:t>
      </w:r>
      <w:r w:rsidR="00750F16">
        <w:rPr>
          <w:rFonts w:ascii="Book Antiqua" w:hAnsi="Book Antiqua" w:cs="Arial"/>
        </w:rPr>
        <w:t xml:space="preserve"> to dismiss her </w:t>
      </w:r>
      <w:r w:rsidR="009A0219">
        <w:rPr>
          <w:rFonts w:ascii="Book Antiqua" w:hAnsi="Book Antiqua" w:cs="Arial"/>
        </w:rPr>
        <w:t>appeal</w:t>
      </w:r>
      <w:r w:rsidR="00750F16">
        <w:rPr>
          <w:rFonts w:ascii="Book Antiqua" w:hAnsi="Book Antiqua" w:cs="Arial"/>
        </w:rPr>
        <w:t>, which was brought on human rights and protection grounds</w:t>
      </w:r>
      <w:r w:rsidR="00C869BC">
        <w:rPr>
          <w:rFonts w:ascii="Book Antiqua" w:hAnsi="Book Antiqua" w:cs="Arial"/>
        </w:rPr>
        <w:t>.</w:t>
      </w:r>
    </w:p>
    <w:p w14:paraId="6E125D63" w14:textId="77777777" w:rsidR="00C869BC" w:rsidRDefault="00C869BC" w:rsidP="00C869BC">
      <w:pPr>
        <w:tabs>
          <w:tab w:val="left" w:pos="567"/>
        </w:tabs>
        <w:ind w:left="567" w:right="567"/>
        <w:jc w:val="both"/>
        <w:rPr>
          <w:rFonts w:ascii="Book Antiqua" w:hAnsi="Book Antiqua" w:cs="Arial"/>
        </w:rPr>
      </w:pPr>
    </w:p>
    <w:p w14:paraId="51958744" w14:textId="77777777" w:rsidR="00E72AD6" w:rsidRDefault="00C869BC" w:rsidP="00224A25">
      <w:pPr>
        <w:numPr>
          <w:ilvl w:val="0"/>
          <w:numId w:val="1"/>
        </w:numPr>
        <w:tabs>
          <w:tab w:val="left" w:pos="567"/>
        </w:tabs>
        <w:ind w:left="567" w:right="567"/>
        <w:jc w:val="both"/>
        <w:rPr>
          <w:rFonts w:ascii="Book Antiqua" w:hAnsi="Book Antiqua" w:cs="Arial"/>
        </w:rPr>
      </w:pPr>
      <w:r w:rsidRPr="00BC7BE1">
        <w:rPr>
          <w:rFonts w:ascii="Book Antiqua" w:hAnsi="Book Antiqua" w:cs="Arial"/>
        </w:rPr>
        <w:t xml:space="preserve">The </w:t>
      </w:r>
      <w:r w:rsidR="009A0219" w:rsidRPr="00BC7BE1">
        <w:rPr>
          <w:rFonts w:ascii="Book Antiqua" w:hAnsi="Book Antiqua" w:cs="Arial"/>
        </w:rPr>
        <w:t>basis of the Appellant’s claim for protection</w:t>
      </w:r>
      <w:r w:rsidR="00BC7BE1" w:rsidRPr="00BC7BE1">
        <w:rPr>
          <w:rFonts w:ascii="Book Antiqua" w:hAnsi="Book Antiqua" w:cs="Arial"/>
        </w:rPr>
        <w:t xml:space="preserve"> was as follows. She is a qualified lawyer who practised in family law in </w:t>
      </w:r>
      <w:proofErr w:type="spellStart"/>
      <w:r w:rsidR="00BC7BE1" w:rsidRPr="00BC7BE1">
        <w:rPr>
          <w:rFonts w:ascii="Book Antiqua" w:hAnsi="Book Antiqua" w:cs="Arial"/>
        </w:rPr>
        <w:t>Ranya</w:t>
      </w:r>
      <w:proofErr w:type="spellEnd"/>
      <w:r w:rsidR="00BC7BE1" w:rsidRPr="00BC7BE1">
        <w:rPr>
          <w:rFonts w:ascii="Book Antiqua" w:hAnsi="Book Antiqua" w:cs="Arial"/>
        </w:rPr>
        <w:t>, in the Independent Kurdish Region (IKR) of Iraq. She lived there with her husband and two children, all of whom are British nationals</w:t>
      </w:r>
      <w:r w:rsidR="00BC7BE1" w:rsidRPr="00613BE2">
        <w:rPr>
          <w:rFonts w:ascii="Book Antiqua" w:hAnsi="Book Antiqua" w:cs="Arial"/>
        </w:rPr>
        <w:t xml:space="preserve">. In </w:t>
      </w:r>
      <w:r w:rsidR="00613BE2" w:rsidRPr="00613BE2">
        <w:rPr>
          <w:rFonts w:ascii="Book Antiqua" w:hAnsi="Book Antiqua" w:cs="Arial"/>
        </w:rPr>
        <w:t>early 2017</w:t>
      </w:r>
      <w:r w:rsidR="00BC7BE1" w:rsidRPr="00613BE2">
        <w:rPr>
          <w:rFonts w:ascii="Book Antiqua" w:hAnsi="Book Antiqua" w:cs="Arial"/>
        </w:rPr>
        <w:t xml:space="preserve"> she received</w:t>
      </w:r>
      <w:r w:rsidR="00BC7BE1" w:rsidRPr="00BC7BE1">
        <w:rPr>
          <w:rFonts w:ascii="Book Antiqua" w:hAnsi="Book Antiqua" w:cs="Arial"/>
        </w:rPr>
        <w:t xml:space="preserve"> instructions from a woman who wanted to divorce her husband </w:t>
      </w:r>
      <w:proofErr w:type="gramStart"/>
      <w:r w:rsidR="00BC7BE1" w:rsidRPr="00BC7BE1">
        <w:rPr>
          <w:rFonts w:ascii="Book Antiqua" w:hAnsi="Book Antiqua" w:cs="Arial"/>
        </w:rPr>
        <w:t>on the grounds that</w:t>
      </w:r>
      <w:proofErr w:type="gramEnd"/>
      <w:r w:rsidR="00BC7BE1" w:rsidRPr="00BC7BE1">
        <w:rPr>
          <w:rFonts w:ascii="Book Antiqua" w:hAnsi="Book Antiqua" w:cs="Arial"/>
        </w:rPr>
        <w:t xml:space="preserve"> he was violent and abusive </w:t>
      </w:r>
      <w:r w:rsidR="00BC7BE1" w:rsidRPr="00BC7BE1">
        <w:rPr>
          <w:rFonts w:ascii="Book Antiqua" w:hAnsi="Book Antiqua" w:cs="Arial"/>
        </w:rPr>
        <w:lastRenderedPageBreak/>
        <w:t>towards her. The Appellant took the case and launched proceedings on her client’s behalf. Soon after she was approached by representatives of the husband, who attempted to bribe her to desist.  The husband did not want his wife to divorce him. He is a powerful and influential man who perceived that he would suffer shame and dishonour if the divorce went through.</w:t>
      </w:r>
      <w:r w:rsidR="00BC7BE1">
        <w:rPr>
          <w:rFonts w:ascii="Book Antiqua" w:hAnsi="Book Antiqua" w:cs="Arial"/>
        </w:rPr>
        <w:t xml:space="preserve"> When t</w:t>
      </w:r>
      <w:r w:rsidR="00BC7BE1" w:rsidRPr="00BC7BE1">
        <w:rPr>
          <w:rFonts w:ascii="Book Antiqua" w:hAnsi="Book Antiqua" w:cs="Arial"/>
        </w:rPr>
        <w:t xml:space="preserve">he </w:t>
      </w:r>
      <w:r w:rsidR="00BC7BE1">
        <w:rPr>
          <w:rFonts w:ascii="Book Antiqua" w:hAnsi="Book Antiqua" w:cs="Arial"/>
        </w:rPr>
        <w:t xml:space="preserve">Appellant </w:t>
      </w:r>
      <w:r w:rsidR="00BC7BE1" w:rsidRPr="00BC7BE1">
        <w:rPr>
          <w:rFonts w:ascii="Book Antiqua" w:hAnsi="Book Antiqua" w:cs="Arial"/>
        </w:rPr>
        <w:t xml:space="preserve">refused she was threatened. The Appellant discovered that her client’s husband was a </w:t>
      </w:r>
      <w:r w:rsidR="00BC7BE1">
        <w:rPr>
          <w:rFonts w:ascii="Book Antiqua" w:hAnsi="Book Antiqua" w:cs="Arial"/>
        </w:rPr>
        <w:t xml:space="preserve">powerful figure in his tribe, and within the ruling PUK.   The Appellant and her family understood that this meant that she was in real danger of physical attack or being killed; her father arranged for her to leave Iraq.   </w:t>
      </w:r>
    </w:p>
    <w:p w14:paraId="70730F8C" w14:textId="77777777" w:rsidR="00E72AD6" w:rsidRDefault="00E72AD6" w:rsidP="00E72AD6">
      <w:pPr>
        <w:pStyle w:val="ListParagraph"/>
        <w:rPr>
          <w:rFonts w:ascii="Book Antiqua" w:hAnsi="Book Antiqua" w:cs="Arial"/>
        </w:rPr>
      </w:pPr>
    </w:p>
    <w:p w14:paraId="09285185" w14:textId="77777777" w:rsidR="00E72AD6" w:rsidRDefault="00E72AD6" w:rsidP="00224A25">
      <w:pPr>
        <w:numPr>
          <w:ilvl w:val="0"/>
          <w:numId w:val="1"/>
        </w:numPr>
        <w:tabs>
          <w:tab w:val="left" w:pos="567"/>
        </w:tabs>
        <w:ind w:left="567" w:right="567"/>
        <w:jc w:val="both"/>
        <w:rPr>
          <w:rFonts w:ascii="Book Antiqua" w:hAnsi="Book Antiqua" w:cs="Arial"/>
        </w:rPr>
      </w:pPr>
      <w:r>
        <w:rPr>
          <w:rFonts w:ascii="Book Antiqua" w:hAnsi="Book Antiqua" w:cs="Arial"/>
        </w:rPr>
        <w:t xml:space="preserve">Her husband and children were in Europe at the time, visiting relatives in Germany and the UK. She travelled alone in the back of a lorry. The entire trip was arranged by an ‘agent’ who deposited her in the UK.  Upon </w:t>
      </w:r>
      <w:r w:rsidR="00613BE2">
        <w:rPr>
          <w:rFonts w:ascii="Book Antiqua" w:hAnsi="Book Antiqua" w:cs="Arial"/>
        </w:rPr>
        <w:t>her arrival she was heavily</w:t>
      </w:r>
      <w:r>
        <w:rPr>
          <w:rFonts w:ascii="Book Antiqua" w:hAnsi="Book Antiqua" w:cs="Arial"/>
        </w:rPr>
        <w:t xml:space="preserve"> pregnant.  She was badly traumatised by the journey, and in a “terrible state”. She could not even remember her husband’s mobile phone number. She was assisted by an Immigration Officer who managed to telephone her husband after they got his contact details via Facebook.</w:t>
      </w:r>
    </w:p>
    <w:p w14:paraId="6ACBFEE8" w14:textId="77777777" w:rsidR="00E72AD6" w:rsidRDefault="00E72AD6" w:rsidP="00E72AD6">
      <w:pPr>
        <w:pStyle w:val="ListParagraph"/>
        <w:rPr>
          <w:rFonts w:ascii="Book Antiqua" w:hAnsi="Book Antiqua" w:cs="Arial"/>
        </w:rPr>
      </w:pPr>
    </w:p>
    <w:p w14:paraId="2EFEEED6" w14:textId="77777777" w:rsidR="00E72AD6" w:rsidRDefault="00E72AD6" w:rsidP="00224A25">
      <w:pPr>
        <w:numPr>
          <w:ilvl w:val="0"/>
          <w:numId w:val="1"/>
        </w:numPr>
        <w:tabs>
          <w:tab w:val="left" w:pos="567"/>
        </w:tabs>
        <w:ind w:left="567" w:right="567"/>
        <w:jc w:val="both"/>
        <w:rPr>
          <w:rFonts w:ascii="Book Antiqua" w:hAnsi="Book Antiqua" w:cs="Arial"/>
        </w:rPr>
      </w:pPr>
      <w:r>
        <w:rPr>
          <w:rFonts w:ascii="Book Antiqua" w:hAnsi="Book Antiqua" w:cs="Arial"/>
        </w:rPr>
        <w:t xml:space="preserve">The First-tier Tribunal noted that the Appellant had produced various items of documentary evidence to support her claim, including her degree transcripts from Konya University, and </w:t>
      </w:r>
      <w:proofErr w:type="gramStart"/>
      <w:r>
        <w:rPr>
          <w:rFonts w:ascii="Book Antiqua" w:hAnsi="Book Antiqua" w:cs="Arial"/>
        </w:rPr>
        <w:t>a number of</w:t>
      </w:r>
      <w:proofErr w:type="gramEnd"/>
      <w:r>
        <w:rPr>
          <w:rFonts w:ascii="Book Antiqua" w:hAnsi="Book Antiqua" w:cs="Arial"/>
        </w:rPr>
        <w:t xml:space="preserve"> judgments from </w:t>
      </w:r>
      <w:proofErr w:type="spellStart"/>
      <w:r>
        <w:rPr>
          <w:rFonts w:ascii="Book Antiqua" w:hAnsi="Book Antiqua" w:cs="Arial"/>
        </w:rPr>
        <w:t>Ranya</w:t>
      </w:r>
      <w:proofErr w:type="spellEnd"/>
      <w:r>
        <w:rPr>
          <w:rFonts w:ascii="Book Antiqua" w:hAnsi="Book Antiqua" w:cs="Arial"/>
        </w:rPr>
        <w:t xml:space="preserve"> Personal Status Court where she is named as the advocate.  She gave a detailed explanation of the way that the law works in the IKR which the Tribunal found to be credible. Having considered </w:t>
      </w:r>
      <w:proofErr w:type="gramStart"/>
      <w:r>
        <w:rPr>
          <w:rFonts w:ascii="Book Antiqua" w:hAnsi="Book Antiqua" w:cs="Arial"/>
        </w:rPr>
        <w:t>all of</w:t>
      </w:r>
      <w:proofErr w:type="gramEnd"/>
      <w:r>
        <w:rPr>
          <w:rFonts w:ascii="Book Antiqua" w:hAnsi="Book Antiqua" w:cs="Arial"/>
        </w:rPr>
        <w:t xml:space="preserve"> that evidence in the round the Tribunal was satisfied that the Appellant is a lawyer who was working in the court in </w:t>
      </w:r>
      <w:proofErr w:type="spellStart"/>
      <w:r>
        <w:rPr>
          <w:rFonts w:ascii="Book Antiqua" w:hAnsi="Book Antiqua" w:cs="Arial"/>
        </w:rPr>
        <w:t>Ranya</w:t>
      </w:r>
      <w:proofErr w:type="spellEnd"/>
      <w:r>
        <w:rPr>
          <w:rFonts w:ascii="Book Antiqua" w:hAnsi="Book Antiqua" w:cs="Arial"/>
        </w:rPr>
        <w:t>.  Having made that positive finding, the Tribunal go on to reject the claim for protection for the following reasons:</w:t>
      </w:r>
    </w:p>
    <w:p w14:paraId="051D5898" w14:textId="77777777" w:rsidR="00E72AD6" w:rsidRDefault="00E72AD6" w:rsidP="00E72AD6">
      <w:pPr>
        <w:pStyle w:val="ListParagraph"/>
        <w:rPr>
          <w:rFonts w:ascii="Book Antiqua" w:hAnsi="Book Antiqua" w:cs="Arial"/>
        </w:rPr>
      </w:pPr>
    </w:p>
    <w:p w14:paraId="51DC7252" w14:textId="77777777" w:rsidR="00E72AD6" w:rsidRDefault="00E72AD6" w:rsidP="00E72AD6">
      <w:pPr>
        <w:numPr>
          <w:ilvl w:val="0"/>
          <w:numId w:val="24"/>
        </w:numPr>
        <w:tabs>
          <w:tab w:val="left" w:pos="567"/>
        </w:tabs>
        <w:ind w:right="567"/>
        <w:jc w:val="both"/>
        <w:rPr>
          <w:rFonts w:ascii="Book Antiqua" w:hAnsi="Book Antiqua" w:cs="Arial"/>
        </w:rPr>
      </w:pPr>
      <w:r>
        <w:rPr>
          <w:rFonts w:ascii="Book Antiqua" w:hAnsi="Book Antiqua" w:cs="Arial"/>
        </w:rPr>
        <w:t>The claim is not one which engages the Refugee Convention. If the Appellant faces a risk from her client’s husband that is the same as any lawyer facing threats and intimidation by a litigation opponent anywhere in the world. He is not threatening her for any of the five Refugee Convention reasons;</w:t>
      </w:r>
    </w:p>
    <w:p w14:paraId="111A88FC" w14:textId="77777777" w:rsidR="00E72AD6" w:rsidRDefault="00E72AD6" w:rsidP="00E72AD6">
      <w:pPr>
        <w:tabs>
          <w:tab w:val="left" w:pos="567"/>
        </w:tabs>
        <w:ind w:left="2163" w:right="567"/>
        <w:jc w:val="both"/>
        <w:rPr>
          <w:rFonts w:ascii="Book Antiqua" w:hAnsi="Book Antiqua" w:cs="Arial"/>
        </w:rPr>
      </w:pPr>
      <w:r>
        <w:rPr>
          <w:rFonts w:ascii="Book Antiqua" w:hAnsi="Book Antiqua" w:cs="Arial"/>
        </w:rPr>
        <w:t xml:space="preserve"> </w:t>
      </w:r>
    </w:p>
    <w:p w14:paraId="4205F32E" w14:textId="77777777" w:rsidR="00750F16" w:rsidRDefault="00750F16" w:rsidP="00E72AD6">
      <w:pPr>
        <w:numPr>
          <w:ilvl w:val="0"/>
          <w:numId w:val="24"/>
        </w:numPr>
        <w:tabs>
          <w:tab w:val="left" w:pos="567"/>
        </w:tabs>
        <w:ind w:right="567"/>
        <w:jc w:val="both"/>
        <w:rPr>
          <w:rFonts w:ascii="Book Antiqua" w:hAnsi="Book Antiqua" w:cs="Arial"/>
        </w:rPr>
      </w:pPr>
      <w:r>
        <w:rPr>
          <w:rFonts w:ascii="Book Antiqua" w:hAnsi="Book Antiqua" w:cs="Arial"/>
        </w:rPr>
        <w:t xml:space="preserve">The Tribunal did not accept that the Appellant had in fact been threatened as claimed. The reasons given for rejecting this core element of the claim are: </w:t>
      </w:r>
    </w:p>
    <w:p w14:paraId="794EF80F" w14:textId="77777777" w:rsidR="00750F16" w:rsidRDefault="00750F16" w:rsidP="00750F16">
      <w:pPr>
        <w:pStyle w:val="ListParagraph"/>
        <w:rPr>
          <w:rFonts w:ascii="Book Antiqua" w:hAnsi="Book Antiqua" w:cs="Arial"/>
        </w:rPr>
      </w:pPr>
    </w:p>
    <w:p w14:paraId="658F5B2C" w14:textId="77777777" w:rsidR="00E72AD6" w:rsidRDefault="00750F16" w:rsidP="00750F16">
      <w:pPr>
        <w:numPr>
          <w:ilvl w:val="0"/>
          <w:numId w:val="25"/>
        </w:numPr>
        <w:tabs>
          <w:tab w:val="left" w:pos="567"/>
        </w:tabs>
        <w:ind w:right="567"/>
        <w:jc w:val="both"/>
        <w:rPr>
          <w:rFonts w:ascii="Book Antiqua" w:hAnsi="Book Antiqua" w:cs="Arial"/>
        </w:rPr>
      </w:pPr>
      <w:r>
        <w:rPr>
          <w:rFonts w:ascii="Book Antiqua" w:hAnsi="Book Antiqua" w:cs="Arial"/>
        </w:rPr>
        <w:t xml:space="preserve">The Appellant’s colleagues at </w:t>
      </w:r>
      <w:proofErr w:type="spellStart"/>
      <w:r>
        <w:rPr>
          <w:rFonts w:ascii="Book Antiqua" w:hAnsi="Book Antiqua" w:cs="Arial"/>
        </w:rPr>
        <w:t>Ranya</w:t>
      </w:r>
      <w:proofErr w:type="spellEnd"/>
      <w:r>
        <w:rPr>
          <w:rFonts w:ascii="Book Antiqua" w:hAnsi="Book Antiqua" w:cs="Arial"/>
        </w:rPr>
        <w:t xml:space="preserve"> Court, who had written a letter in her support, had said that she had left the IKR “because she got a social problem”. The Tribunal considered this to be inconsistent with the evidence presented, that the Appellant had to leave because of her client’s husband;</w:t>
      </w:r>
    </w:p>
    <w:p w14:paraId="47A98D69" w14:textId="77777777" w:rsidR="00750F16" w:rsidRDefault="00750F16" w:rsidP="00750F16">
      <w:pPr>
        <w:tabs>
          <w:tab w:val="left" w:pos="567"/>
        </w:tabs>
        <w:ind w:left="3243" w:right="567"/>
        <w:jc w:val="both"/>
        <w:rPr>
          <w:rFonts w:ascii="Book Antiqua" w:hAnsi="Book Antiqua" w:cs="Arial"/>
        </w:rPr>
      </w:pPr>
    </w:p>
    <w:p w14:paraId="4EA2DA99" w14:textId="77777777" w:rsidR="00750F16" w:rsidRDefault="00750F16" w:rsidP="00750F16">
      <w:pPr>
        <w:numPr>
          <w:ilvl w:val="0"/>
          <w:numId w:val="25"/>
        </w:numPr>
        <w:tabs>
          <w:tab w:val="left" w:pos="567"/>
        </w:tabs>
        <w:ind w:right="567"/>
        <w:jc w:val="both"/>
        <w:rPr>
          <w:rFonts w:ascii="Book Antiqua" w:hAnsi="Book Antiqua" w:cs="Arial"/>
        </w:rPr>
      </w:pPr>
      <w:r>
        <w:rPr>
          <w:rFonts w:ascii="Book Antiqua" w:hAnsi="Book Antiqua" w:cs="Arial"/>
        </w:rPr>
        <w:t xml:space="preserve">Because the Appellant is a lawyer she would have been aware of the difficulties that she would face in trying to </w:t>
      </w:r>
      <w:r>
        <w:rPr>
          <w:rFonts w:ascii="Book Antiqua" w:hAnsi="Book Antiqua" w:cs="Arial"/>
        </w:rPr>
        <w:lastRenderedPageBreak/>
        <w:t>gain entry to the UK as the spouse of a British national. Her husband was working in the IKR and so could not meet the minimum income requirement in Appendix FM;</w:t>
      </w:r>
    </w:p>
    <w:p w14:paraId="58A8F72C" w14:textId="77777777" w:rsidR="00750F16" w:rsidRDefault="00750F16" w:rsidP="00750F16">
      <w:pPr>
        <w:pStyle w:val="ListParagraph"/>
        <w:rPr>
          <w:rFonts w:ascii="Book Antiqua" w:hAnsi="Book Antiqua" w:cs="Arial"/>
        </w:rPr>
      </w:pPr>
    </w:p>
    <w:p w14:paraId="651F39C9" w14:textId="77777777" w:rsidR="00750F16" w:rsidRDefault="00750F16" w:rsidP="00750F16">
      <w:pPr>
        <w:numPr>
          <w:ilvl w:val="0"/>
          <w:numId w:val="25"/>
        </w:numPr>
        <w:tabs>
          <w:tab w:val="left" w:pos="567"/>
        </w:tabs>
        <w:ind w:right="567"/>
        <w:jc w:val="both"/>
        <w:rPr>
          <w:rFonts w:ascii="Book Antiqua" w:hAnsi="Book Antiqua" w:cs="Arial"/>
        </w:rPr>
      </w:pPr>
      <w:r>
        <w:rPr>
          <w:rFonts w:ascii="Book Antiqua" w:hAnsi="Book Antiqua" w:cs="Arial"/>
        </w:rPr>
        <w:t>The fact that her husband and children were in the UK at the time indicates that the trip was pre-planned and beyond mere coincidence;</w:t>
      </w:r>
    </w:p>
    <w:p w14:paraId="79F8B5F3" w14:textId="77777777" w:rsidR="00750F16" w:rsidRDefault="00750F16" w:rsidP="00750F16">
      <w:pPr>
        <w:pStyle w:val="ListParagraph"/>
        <w:rPr>
          <w:rFonts w:ascii="Book Antiqua" w:hAnsi="Book Antiqua" w:cs="Arial"/>
        </w:rPr>
      </w:pPr>
    </w:p>
    <w:p w14:paraId="556914A0" w14:textId="77777777" w:rsidR="00750F16" w:rsidRDefault="00750F16" w:rsidP="00750F16">
      <w:pPr>
        <w:numPr>
          <w:ilvl w:val="0"/>
          <w:numId w:val="25"/>
        </w:numPr>
        <w:tabs>
          <w:tab w:val="left" w:pos="567"/>
        </w:tabs>
        <w:ind w:right="567"/>
        <w:jc w:val="both"/>
        <w:rPr>
          <w:rFonts w:ascii="Book Antiqua" w:hAnsi="Book Antiqua" w:cs="Arial"/>
        </w:rPr>
      </w:pPr>
      <w:r>
        <w:rPr>
          <w:rFonts w:ascii="Book Antiqua" w:hAnsi="Book Antiqua" w:cs="Arial"/>
        </w:rPr>
        <w:t>It was unlikely that the Appellant would not have contacted her husband before she left the IKR to alert him to the fact that she was on her way. It was clear that he was easily contactable by Facebook but she had not attempted to do so prior to her arrival here;</w:t>
      </w:r>
    </w:p>
    <w:p w14:paraId="3B4926F3" w14:textId="77777777" w:rsidR="00750F16" w:rsidRDefault="00750F16" w:rsidP="00750F16">
      <w:pPr>
        <w:pStyle w:val="ListParagraph"/>
        <w:rPr>
          <w:rFonts w:ascii="Book Antiqua" w:hAnsi="Book Antiqua" w:cs="Arial"/>
        </w:rPr>
      </w:pPr>
    </w:p>
    <w:p w14:paraId="0068168B" w14:textId="77777777" w:rsidR="00750F16" w:rsidRDefault="00750F16" w:rsidP="00750F16">
      <w:pPr>
        <w:numPr>
          <w:ilvl w:val="0"/>
          <w:numId w:val="25"/>
        </w:numPr>
        <w:tabs>
          <w:tab w:val="left" w:pos="567"/>
        </w:tabs>
        <w:ind w:right="567"/>
        <w:jc w:val="both"/>
        <w:rPr>
          <w:rFonts w:ascii="Book Antiqua" w:hAnsi="Book Antiqua" w:cs="Arial"/>
        </w:rPr>
      </w:pPr>
      <w:r>
        <w:rPr>
          <w:rFonts w:ascii="Book Antiqua" w:hAnsi="Book Antiqua" w:cs="Arial"/>
        </w:rPr>
        <w:t>If the Appellant is at risk there is no background material to indicate that she would be unable to seek the effective protection of the IKR authorities.</w:t>
      </w:r>
    </w:p>
    <w:p w14:paraId="343572F1" w14:textId="77777777" w:rsidR="00E72AD6" w:rsidRDefault="00E72AD6" w:rsidP="00E72AD6">
      <w:pPr>
        <w:pStyle w:val="ListParagraph"/>
        <w:rPr>
          <w:rFonts w:ascii="Book Antiqua" w:hAnsi="Book Antiqua" w:cs="Arial"/>
        </w:rPr>
      </w:pPr>
    </w:p>
    <w:p w14:paraId="018753FC" w14:textId="77777777" w:rsidR="00E72AD6" w:rsidRDefault="00750F16" w:rsidP="00224A25">
      <w:pPr>
        <w:numPr>
          <w:ilvl w:val="0"/>
          <w:numId w:val="1"/>
        </w:numPr>
        <w:tabs>
          <w:tab w:val="left" w:pos="567"/>
        </w:tabs>
        <w:ind w:left="567" w:right="567"/>
        <w:jc w:val="both"/>
        <w:rPr>
          <w:rFonts w:ascii="Book Antiqua" w:hAnsi="Book Antiqua" w:cs="Arial"/>
        </w:rPr>
      </w:pPr>
      <w:r>
        <w:rPr>
          <w:rFonts w:ascii="Book Antiqua" w:hAnsi="Book Antiqua" w:cs="Arial"/>
        </w:rPr>
        <w:t>The Tribunal thereby dismissed the appeal on protection grounds.</w:t>
      </w:r>
    </w:p>
    <w:p w14:paraId="3FAD9089" w14:textId="77777777" w:rsidR="00750F16" w:rsidRDefault="00750F16" w:rsidP="00750F16">
      <w:pPr>
        <w:tabs>
          <w:tab w:val="left" w:pos="567"/>
        </w:tabs>
        <w:ind w:left="567" w:right="567"/>
        <w:jc w:val="both"/>
        <w:rPr>
          <w:rFonts w:ascii="Book Antiqua" w:hAnsi="Book Antiqua" w:cs="Arial"/>
        </w:rPr>
      </w:pPr>
    </w:p>
    <w:p w14:paraId="008EB523" w14:textId="77777777" w:rsidR="0060242C" w:rsidRDefault="00750F16" w:rsidP="00A06D47">
      <w:pPr>
        <w:numPr>
          <w:ilvl w:val="0"/>
          <w:numId w:val="1"/>
        </w:numPr>
        <w:tabs>
          <w:tab w:val="left" w:pos="567"/>
        </w:tabs>
        <w:ind w:left="567" w:right="567"/>
        <w:jc w:val="both"/>
        <w:rPr>
          <w:rFonts w:ascii="Book Antiqua" w:hAnsi="Book Antiqua" w:cs="Arial"/>
        </w:rPr>
      </w:pPr>
      <w:r w:rsidRPr="00613BE2">
        <w:rPr>
          <w:rFonts w:ascii="Book Antiqua" w:hAnsi="Book Antiqua" w:cs="Arial"/>
        </w:rPr>
        <w:t xml:space="preserve">The determination then turns to consider Article 8 ECHR.  </w:t>
      </w:r>
      <w:r w:rsidR="0060242C" w:rsidRPr="00613BE2">
        <w:rPr>
          <w:rFonts w:ascii="Book Antiqua" w:hAnsi="Book Antiqua" w:cs="Arial"/>
        </w:rPr>
        <w:t xml:space="preserve">It proceeds on the basis that the Appellant does not qualify for leave under any of the Immigration Rules. It also appears to proceed on the assumption that the first four </w:t>
      </w:r>
      <w:proofErr w:type="spellStart"/>
      <w:r w:rsidR="0060242C" w:rsidRPr="00613BE2">
        <w:rPr>
          <w:rFonts w:ascii="Book Antiqua" w:hAnsi="Book Antiqua" w:cs="Arial"/>
          <w:i/>
        </w:rPr>
        <w:t>Razgar</w:t>
      </w:r>
      <w:proofErr w:type="spellEnd"/>
      <w:r w:rsidR="0060242C" w:rsidRPr="00613BE2">
        <w:rPr>
          <w:rFonts w:ascii="Book Antiqua" w:hAnsi="Book Antiqua" w:cs="Arial"/>
        </w:rPr>
        <w:t xml:space="preserve"> questions are answered in the affirmative so that the only matter in issue is proportionality. The Tribunal (repeatedly) directs itself to the test in </w:t>
      </w:r>
      <w:proofErr w:type="spellStart"/>
      <w:r w:rsidR="0060242C" w:rsidRPr="00613BE2">
        <w:rPr>
          <w:rFonts w:ascii="Book Antiqua" w:hAnsi="Book Antiqua" w:cs="Arial"/>
          <w:u w:val="single"/>
        </w:rPr>
        <w:t>Nagre</w:t>
      </w:r>
      <w:proofErr w:type="spellEnd"/>
      <w:r w:rsidR="00613BE2" w:rsidRPr="00613BE2">
        <w:rPr>
          <w:rFonts w:ascii="Book Antiqua" w:hAnsi="Book Antiqua" w:cs="Arial"/>
        </w:rPr>
        <w:t xml:space="preserve"> v Secretary of State for the Home Department [2013] UKUT 45</w:t>
      </w:r>
      <w:r w:rsidR="0060242C" w:rsidRPr="00613BE2">
        <w:rPr>
          <w:rFonts w:ascii="Book Antiqua" w:hAnsi="Book Antiqua" w:cs="Arial"/>
        </w:rPr>
        <w:t xml:space="preserve"> that the Appellant must demonstrate that the refusal to grant her leave would result in “unjustifiably harsh” consequences.   It then turns to consider the position of the Appellant’s children. The Tribunal notes the terms of the Respondent’s (then) policy guidance on when it would be reasonable to expect British children to leave the UK. Th</w:t>
      </w:r>
      <w:r w:rsidR="00A06D47">
        <w:rPr>
          <w:rFonts w:ascii="Book Antiqua" w:hAnsi="Book Antiqua" w:cs="Arial"/>
        </w:rPr>
        <w:t xml:space="preserve">at </w:t>
      </w:r>
      <w:r w:rsidR="0060242C" w:rsidRPr="00613BE2">
        <w:rPr>
          <w:rFonts w:ascii="Book Antiqua" w:hAnsi="Book Antiqua" w:cs="Arial"/>
        </w:rPr>
        <w:t xml:space="preserve">published guidance was that decision-makers must give effect to the judgment in </w:t>
      </w:r>
      <w:r w:rsidR="0060242C" w:rsidRPr="00A06D47">
        <w:rPr>
          <w:rFonts w:ascii="Book Antiqua" w:hAnsi="Book Antiqua" w:cs="Arial"/>
          <w:u w:val="single"/>
        </w:rPr>
        <w:t>Zambrano</w:t>
      </w:r>
      <w:r w:rsidR="00A06D47">
        <w:rPr>
          <w:rFonts w:ascii="Book Antiqua" w:hAnsi="Book Antiqua" w:cs="Arial"/>
        </w:rPr>
        <w:t xml:space="preserve"> (</w:t>
      </w:r>
      <w:r w:rsidR="00A06D47" w:rsidRPr="00A06D47">
        <w:rPr>
          <w:rFonts w:ascii="Book Antiqua" w:hAnsi="Book Antiqua" w:cs="Arial"/>
        </w:rPr>
        <w:t>C34/09)</w:t>
      </w:r>
      <w:r w:rsidR="00A06D47">
        <w:rPr>
          <w:rFonts w:ascii="Book Antiqua" w:hAnsi="Book Antiqua" w:cs="Arial"/>
        </w:rPr>
        <w:t>:</w:t>
      </w:r>
    </w:p>
    <w:p w14:paraId="7DC7A4BA" w14:textId="77777777" w:rsidR="00A06D47" w:rsidRPr="00A06D47" w:rsidRDefault="00A06D47" w:rsidP="00A06D47">
      <w:pPr>
        <w:tabs>
          <w:tab w:val="left" w:pos="567"/>
        </w:tabs>
        <w:ind w:left="567" w:right="567"/>
        <w:jc w:val="both"/>
        <w:rPr>
          <w:rFonts w:ascii="Book Antiqua" w:hAnsi="Book Antiqua" w:cs="Arial"/>
        </w:rPr>
      </w:pPr>
    </w:p>
    <w:p w14:paraId="6F07696E" w14:textId="77777777" w:rsidR="0060242C" w:rsidRDefault="0060242C" w:rsidP="00344E23">
      <w:pPr>
        <w:tabs>
          <w:tab w:val="left" w:pos="567"/>
        </w:tabs>
        <w:ind w:left="1134" w:right="1134"/>
        <w:jc w:val="both"/>
        <w:rPr>
          <w:rFonts w:ascii="Book Antiqua" w:hAnsi="Book Antiqua" w:cs="Arial"/>
        </w:rPr>
      </w:pPr>
      <w:r>
        <w:rPr>
          <w:rFonts w:ascii="Book Antiqua" w:hAnsi="Book Antiqua" w:cs="Arial"/>
        </w:rPr>
        <w:t>“Where a decision to refuse the application would require a parent or primary carer to return to a country outside the EU, the case must always be assessed on the basis that it would be unreasonable to expect a British Citizen child to leave the EU with that parent or primary carer…</w:t>
      </w:r>
    </w:p>
    <w:p w14:paraId="0A64A211" w14:textId="77777777" w:rsidR="00344E23" w:rsidRDefault="00344E23" w:rsidP="00344E23">
      <w:pPr>
        <w:tabs>
          <w:tab w:val="left" w:pos="567"/>
        </w:tabs>
        <w:ind w:left="1134" w:right="1134"/>
        <w:jc w:val="both"/>
        <w:rPr>
          <w:rFonts w:ascii="Book Antiqua" w:hAnsi="Book Antiqua" w:cs="Arial"/>
        </w:rPr>
      </w:pPr>
      <w:r>
        <w:rPr>
          <w:rFonts w:ascii="Book Antiqua" w:hAnsi="Book Antiqua" w:cs="Arial"/>
        </w:rPr>
        <w:t>…</w:t>
      </w:r>
    </w:p>
    <w:p w14:paraId="51AA1874" w14:textId="77777777" w:rsidR="00344E23" w:rsidRDefault="00344E23" w:rsidP="00344E23">
      <w:pPr>
        <w:tabs>
          <w:tab w:val="left" w:pos="567"/>
        </w:tabs>
        <w:ind w:left="1134" w:right="1134"/>
        <w:jc w:val="both"/>
        <w:rPr>
          <w:rFonts w:ascii="Book Antiqua" w:hAnsi="Book Antiqua" w:cs="Arial"/>
        </w:rPr>
      </w:pPr>
    </w:p>
    <w:p w14:paraId="0578EF6A" w14:textId="77777777" w:rsidR="00344E23" w:rsidRDefault="00344E23" w:rsidP="00344E23">
      <w:pPr>
        <w:tabs>
          <w:tab w:val="left" w:pos="567"/>
        </w:tabs>
        <w:ind w:left="1134" w:right="1134"/>
        <w:jc w:val="both"/>
        <w:rPr>
          <w:rFonts w:ascii="Book Antiqua" w:hAnsi="Book Antiqua" w:cs="Arial"/>
        </w:rPr>
      </w:pPr>
      <w:r>
        <w:rPr>
          <w:rFonts w:ascii="Book Antiqua" w:hAnsi="Book Antiqua" w:cs="Arial"/>
        </w:rPr>
        <w:t>It may, however, be appropriate to refuse to grant leave where the conduct of the parent or primary carer gives rise to considerations of such weight as to justify separation, if the child could otherwise stay with another parent or alternative primary carer in the UK or in the EU.</w:t>
      </w:r>
    </w:p>
    <w:p w14:paraId="0B855DBF" w14:textId="77777777" w:rsidR="00344E23" w:rsidRDefault="00344E23" w:rsidP="00344E23">
      <w:pPr>
        <w:tabs>
          <w:tab w:val="left" w:pos="567"/>
        </w:tabs>
        <w:ind w:left="1134" w:right="1134"/>
        <w:jc w:val="both"/>
        <w:rPr>
          <w:rFonts w:ascii="Book Antiqua" w:hAnsi="Book Antiqua" w:cs="Arial"/>
        </w:rPr>
      </w:pPr>
    </w:p>
    <w:p w14:paraId="166A309F" w14:textId="77777777" w:rsidR="00344E23" w:rsidRDefault="00344E23" w:rsidP="00344E23">
      <w:pPr>
        <w:tabs>
          <w:tab w:val="left" w:pos="567"/>
        </w:tabs>
        <w:ind w:left="1134" w:right="1134"/>
        <w:jc w:val="both"/>
        <w:rPr>
          <w:rFonts w:ascii="Book Antiqua" w:hAnsi="Book Antiqua" w:cs="Arial"/>
        </w:rPr>
      </w:pPr>
      <w:r>
        <w:rPr>
          <w:rFonts w:ascii="Book Antiqua" w:hAnsi="Book Antiqua" w:cs="Arial"/>
        </w:rPr>
        <w:lastRenderedPageBreak/>
        <w:t>The circumstances envisaged could cover amongst others:</w:t>
      </w:r>
    </w:p>
    <w:p w14:paraId="02D7FB23" w14:textId="77777777" w:rsidR="00344E23" w:rsidRDefault="00344E23" w:rsidP="00344E23">
      <w:pPr>
        <w:tabs>
          <w:tab w:val="left" w:pos="567"/>
        </w:tabs>
        <w:ind w:left="1134" w:right="1134"/>
        <w:jc w:val="both"/>
        <w:rPr>
          <w:rFonts w:ascii="Book Antiqua" w:hAnsi="Book Antiqua" w:cs="Arial"/>
        </w:rPr>
      </w:pPr>
    </w:p>
    <w:p w14:paraId="32CA2A1C" w14:textId="77777777" w:rsidR="00344E23" w:rsidRDefault="00344E23" w:rsidP="00344E23">
      <w:pPr>
        <w:numPr>
          <w:ilvl w:val="0"/>
          <w:numId w:val="26"/>
        </w:numPr>
        <w:tabs>
          <w:tab w:val="left" w:pos="567"/>
        </w:tabs>
        <w:ind w:left="1134" w:right="1134"/>
        <w:jc w:val="both"/>
        <w:rPr>
          <w:rFonts w:ascii="Book Antiqua" w:hAnsi="Book Antiqua" w:cs="Arial"/>
        </w:rPr>
      </w:pPr>
      <w:r>
        <w:rPr>
          <w:rFonts w:ascii="Book Antiqua" w:hAnsi="Book Antiqua" w:cs="Arial"/>
        </w:rPr>
        <w:t>Criminality falling below the thresholds set out in paragraph 398 of the Immigration Rules;</w:t>
      </w:r>
    </w:p>
    <w:p w14:paraId="10BE3717" w14:textId="77777777" w:rsidR="00344E23" w:rsidRDefault="00344E23" w:rsidP="00344E23">
      <w:pPr>
        <w:tabs>
          <w:tab w:val="left" w:pos="567"/>
        </w:tabs>
        <w:ind w:left="1134" w:right="1134"/>
        <w:jc w:val="both"/>
        <w:rPr>
          <w:rFonts w:ascii="Book Antiqua" w:hAnsi="Book Antiqua" w:cs="Arial"/>
        </w:rPr>
      </w:pPr>
    </w:p>
    <w:p w14:paraId="6C541956" w14:textId="77777777" w:rsidR="00344E23" w:rsidRDefault="00344E23" w:rsidP="00344E23">
      <w:pPr>
        <w:numPr>
          <w:ilvl w:val="0"/>
          <w:numId w:val="26"/>
        </w:numPr>
        <w:tabs>
          <w:tab w:val="left" w:pos="567"/>
        </w:tabs>
        <w:ind w:left="1134" w:right="1134"/>
        <w:jc w:val="both"/>
        <w:rPr>
          <w:rFonts w:ascii="Book Antiqua" w:hAnsi="Book Antiqua" w:cs="Arial"/>
        </w:rPr>
      </w:pPr>
      <w:r>
        <w:rPr>
          <w:rFonts w:ascii="Book Antiqua" w:hAnsi="Book Antiqua" w:cs="Arial"/>
        </w:rPr>
        <w:t>A very poor immigration history such as where the person has repeatedly and deliberately breached the Immigration Rules.</w:t>
      </w:r>
    </w:p>
    <w:p w14:paraId="715CE9FB" w14:textId="77777777" w:rsidR="0060242C" w:rsidRDefault="0060242C" w:rsidP="0060242C">
      <w:pPr>
        <w:pStyle w:val="ListParagraph"/>
        <w:rPr>
          <w:rFonts w:ascii="Book Antiqua" w:hAnsi="Book Antiqua" w:cs="Arial"/>
        </w:rPr>
      </w:pPr>
    </w:p>
    <w:p w14:paraId="14893833" w14:textId="77777777" w:rsidR="00750F16" w:rsidRDefault="00344E23" w:rsidP="00A06D47">
      <w:pPr>
        <w:numPr>
          <w:ilvl w:val="0"/>
          <w:numId w:val="1"/>
        </w:numPr>
        <w:tabs>
          <w:tab w:val="left" w:pos="567"/>
        </w:tabs>
        <w:ind w:left="567" w:right="567"/>
        <w:jc w:val="both"/>
        <w:rPr>
          <w:rFonts w:ascii="Book Antiqua" w:hAnsi="Book Antiqua" w:cs="Arial"/>
        </w:rPr>
      </w:pPr>
      <w:r>
        <w:rPr>
          <w:rFonts w:ascii="Book Antiqua" w:hAnsi="Book Antiqua" w:cs="Arial"/>
        </w:rPr>
        <w:t>The</w:t>
      </w:r>
      <w:r w:rsidR="00A06D47">
        <w:rPr>
          <w:rFonts w:ascii="Book Antiqua" w:hAnsi="Book Antiqua" w:cs="Arial"/>
        </w:rPr>
        <w:t xml:space="preserve"> First-tier Tribunal </w:t>
      </w:r>
      <w:r w:rsidRPr="00A06D47">
        <w:rPr>
          <w:rFonts w:ascii="Book Antiqua" w:hAnsi="Book Antiqua" w:cs="Arial"/>
        </w:rPr>
        <w:t>recognises that this guidance creates a presumption that leave should be granted. It finds however that in this case the presumption is rebutted because the Appellant has a “very poor immigration history” because of her rejected asylum claim: it finds that she has made a “concerted and dishonest attempt” to circumvent the Rules. It further finds that the Appellant’s children can be cared for by their father if he wishes to remain in the UK. If he chooses to take them back to the IKR that is a matter for him.  The decision to refuse her leave would no</w:t>
      </w:r>
      <w:r w:rsidR="00F54E4B">
        <w:rPr>
          <w:rFonts w:ascii="Book Antiqua" w:hAnsi="Book Antiqua" w:cs="Arial"/>
        </w:rPr>
        <w:t>t have the effect of forcing the children</w:t>
      </w:r>
      <w:r w:rsidRPr="00A06D47">
        <w:rPr>
          <w:rFonts w:ascii="Book Antiqua" w:hAnsi="Book Antiqua" w:cs="Arial"/>
        </w:rPr>
        <w:t xml:space="preserve"> to leave the UK.  It would be reasonable to expect the children to live in the IKR where they have their extended family and where their parents were both previously employed.  The appeal is therefore dismissed on Article 8 grounds.</w:t>
      </w:r>
    </w:p>
    <w:p w14:paraId="6F3DB34C" w14:textId="77777777" w:rsidR="00CA4525" w:rsidRDefault="00CA4525" w:rsidP="00CA4525">
      <w:pPr>
        <w:tabs>
          <w:tab w:val="left" w:pos="567"/>
        </w:tabs>
        <w:ind w:left="567" w:right="567"/>
        <w:jc w:val="both"/>
        <w:rPr>
          <w:rFonts w:ascii="Book Antiqua" w:hAnsi="Book Antiqua" w:cs="Arial"/>
        </w:rPr>
      </w:pPr>
    </w:p>
    <w:p w14:paraId="2D146259" w14:textId="77777777" w:rsidR="00A06D47" w:rsidRPr="009438CF" w:rsidRDefault="00CA4525" w:rsidP="009A5F84">
      <w:pPr>
        <w:numPr>
          <w:ilvl w:val="0"/>
          <w:numId w:val="1"/>
        </w:numPr>
        <w:tabs>
          <w:tab w:val="left" w:pos="567"/>
        </w:tabs>
        <w:ind w:left="567" w:right="567"/>
        <w:jc w:val="both"/>
        <w:rPr>
          <w:rFonts w:ascii="Book Antiqua" w:hAnsi="Book Antiqua" w:cs="Arial"/>
        </w:rPr>
      </w:pPr>
      <w:r w:rsidRPr="009438CF">
        <w:rPr>
          <w:rFonts w:ascii="Book Antiqua" w:hAnsi="Book Antiqua" w:cs="Arial"/>
        </w:rPr>
        <w:t xml:space="preserve">The Appellant has permission to appeal against the decision on Article 8, </w:t>
      </w:r>
      <w:proofErr w:type="gramStart"/>
      <w:r w:rsidRPr="009438CF">
        <w:rPr>
          <w:rFonts w:ascii="Book Antiqua" w:hAnsi="Book Antiqua" w:cs="Arial"/>
        </w:rPr>
        <w:t>on the grounds that</w:t>
      </w:r>
      <w:proofErr w:type="gramEnd"/>
      <w:r w:rsidRPr="009438CF">
        <w:rPr>
          <w:rFonts w:ascii="Book Antiqua" w:hAnsi="Book Antiqua" w:cs="Arial"/>
        </w:rPr>
        <w:t xml:space="preserve"> the Tribunal failed to give effect to the Respondent’s published policy on whether it would be ‘reasonable’ to expect British children to leave this country. Th</w:t>
      </w:r>
      <w:r w:rsidR="009438CF">
        <w:rPr>
          <w:rFonts w:ascii="Book Antiqua" w:hAnsi="Book Antiqua" w:cs="Arial"/>
        </w:rPr>
        <w:t xml:space="preserve">ere is no </w:t>
      </w:r>
      <w:r w:rsidRPr="009438CF">
        <w:rPr>
          <w:rFonts w:ascii="Book Antiqua" w:hAnsi="Book Antiqua" w:cs="Arial"/>
        </w:rPr>
        <w:t>chall</w:t>
      </w:r>
      <w:r w:rsidR="009438CF">
        <w:rPr>
          <w:rFonts w:ascii="Book Antiqua" w:hAnsi="Book Antiqua" w:cs="Arial"/>
        </w:rPr>
        <w:t>enge to the protection decision.</w:t>
      </w:r>
      <w:r w:rsidRPr="009438CF">
        <w:rPr>
          <w:rFonts w:ascii="Book Antiqua" w:hAnsi="Book Antiqua" w:cs="Arial"/>
        </w:rPr>
        <w:t xml:space="preserve"> </w:t>
      </w:r>
    </w:p>
    <w:p w14:paraId="020DAE01" w14:textId="77777777" w:rsidR="00A06D47" w:rsidRDefault="00A06D47" w:rsidP="00A06D47">
      <w:pPr>
        <w:tabs>
          <w:tab w:val="left" w:pos="567"/>
        </w:tabs>
        <w:ind w:left="567" w:right="567"/>
        <w:jc w:val="both"/>
        <w:rPr>
          <w:rFonts w:ascii="Book Antiqua" w:hAnsi="Book Antiqua" w:cs="Arial"/>
        </w:rPr>
      </w:pPr>
    </w:p>
    <w:p w14:paraId="61D8FC48" w14:textId="77777777" w:rsidR="009438CF" w:rsidRDefault="009438CF" w:rsidP="00A06D47">
      <w:pPr>
        <w:tabs>
          <w:tab w:val="left" w:pos="567"/>
        </w:tabs>
        <w:ind w:left="567" w:right="567"/>
        <w:jc w:val="both"/>
        <w:rPr>
          <w:rFonts w:ascii="Book Antiqua" w:hAnsi="Book Antiqua" w:cs="Arial"/>
        </w:rPr>
      </w:pPr>
    </w:p>
    <w:p w14:paraId="5C533E88" w14:textId="77777777" w:rsidR="00A06D47" w:rsidRPr="00A06D47" w:rsidRDefault="00A06D47" w:rsidP="00A06D47">
      <w:pPr>
        <w:tabs>
          <w:tab w:val="left" w:pos="567"/>
        </w:tabs>
        <w:ind w:left="567" w:right="567"/>
        <w:jc w:val="both"/>
        <w:rPr>
          <w:rFonts w:ascii="Book Antiqua" w:hAnsi="Book Antiqua" w:cs="Arial"/>
          <w:b/>
        </w:rPr>
      </w:pPr>
      <w:r w:rsidRPr="00A06D47">
        <w:rPr>
          <w:rFonts w:ascii="Book Antiqua" w:hAnsi="Book Antiqua" w:cs="Arial"/>
          <w:b/>
        </w:rPr>
        <w:t>Discussion and Findings</w:t>
      </w:r>
    </w:p>
    <w:p w14:paraId="0092D93A" w14:textId="77777777" w:rsidR="00E72AD6" w:rsidRDefault="00E72AD6" w:rsidP="00E72AD6">
      <w:pPr>
        <w:pStyle w:val="ListParagraph"/>
        <w:rPr>
          <w:rFonts w:ascii="Book Antiqua" w:hAnsi="Book Antiqua" w:cs="Arial"/>
        </w:rPr>
      </w:pPr>
    </w:p>
    <w:p w14:paraId="1CA4362D" w14:textId="77777777" w:rsidR="00CA4525" w:rsidRDefault="00CA4525" w:rsidP="00224A25">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 Holt relied squarely on the Respondent’s published policy, applicable at the date of appeal. He submitted that the First-tier Tribunal erred in its application of that policy guidance to the </w:t>
      </w:r>
      <w:r w:rsidR="00D30BB3">
        <w:rPr>
          <w:rFonts w:ascii="Book Antiqua" w:hAnsi="Book Antiqua" w:cs="Arial"/>
        </w:rPr>
        <w:t xml:space="preserve">matter </w:t>
      </w:r>
      <w:r>
        <w:rPr>
          <w:rFonts w:ascii="Book Antiqua" w:hAnsi="Book Antiqua" w:cs="Arial"/>
        </w:rPr>
        <w:t xml:space="preserve">at the heart of the human rights appeal, whether it was reasonable to expect the Appellant’s two British sons to leave the UK. </w:t>
      </w:r>
    </w:p>
    <w:p w14:paraId="62BF275A" w14:textId="77777777" w:rsidR="00CA4525" w:rsidRDefault="00CA4525" w:rsidP="00CA4525">
      <w:pPr>
        <w:tabs>
          <w:tab w:val="left" w:pos="567"/>
        </w:tabs>
        <w:ind w:left="567" w:right="567"/>
        <w:jc w:val="both"/>
        <w:rPr>
          <w:rFonts w:ascii="Book Antiqua" w:hAnsi="Book Antiqua" w:cs="Arial"/>
        </w:rPr>
      </w:pPr>
    </w:p>
    <w:p w14:paraId="5A558637" w14:textId="77777777" w:rsidR="00A06D47" w:rsidRPr="00D30BB3" w:rsidRDefault="00CA4525" w:rsidP="00D30BB3">
      <w:pPr>
        <w:numPr>
          <w:ilvl w:val="0"/>
          <w:numId w:val="1"/>
        </w:numPr>
        <w:tabs>
          <w:tab w:val="left" w:pos="567"/>
        </w:tabs>
        <w:ind w:left="567" w:right="567"/>
        <w:jc w:val="both"/>
        <w:rPr>
          <w:rFonts w:ascii="Book Antiqua" w:hAnsi="Book Antiqua" w:cs="Arial"/>
        </w:rPr>
      </w:pPr>
      <w:r>
        <w:rPr>
          <w:rFonts w:ascii="Book Antiqua" w:hAnsi="Book Antiqua" w:cs="Arial"/>
        </w:rPr>
        <w:t xml:space="preserve">The Appellant’s sons are, by the terms </w:t>
      </w:r>
      <w:r w:rsidR="00C26C26" w:rsidRPr="00CA4525">
        <w:rPr>
          <w:rFonts w:ascii="Book Antiqua" w:hAnsi="Book Antiqua" w:cs="Arial"/>
        </w:rPr>
        <w:t>of s117D Nationality Immigration and Asylum</w:t>
      </w:r>
      <w:r>
        <w:rPr>
          <w:rFonts w:ascii="Book Antiqua" w:hAnsi="Book Antiqua" w:cs="Arial"/>
        </w:rPr>
        <w:t xml:space="preserve"> Act 2002, “qualifying” children. </w:t>
      </w:r>
      <w:r w:rsidR="00D30BB3">
        <w:rPr>
          <w:rFonts w:ascii="Book Antiqua" w:hAnsi="Book Antiqua" w:cs="Arial"/>
        </w:rPr>
        <w:t>A</w:t>
      </w:r>
      <w:r w:rsidR="00C26C26" w:rsidRPr="00D30BB3">
        <w:rPr>
          <w:rFonts w:ascii="Book Antiqua" w:hAnsi="Book Antiqua" w:cs="Arial"/>
        </w:rPr>
        <w:t xml:space="preserve">s such the operative question for the Tribunal was not whether the Appellant’s removal would have “unjustifiably harsh” consequences for </w:t>
      </w:r>
      <w:r w:rsidR="00C26C26" w:rsidRPr="009438CF">
        <w:rPr>
          <w:rFonts w:ascii="Book Antiqua" w:hAnsi="Book Antiqua" w:cs="Arial"/>
          <w:i/>
        </w:rPr>
        <w:t>her</w:t>
      </w:r>
      <w:r w:rsidR="00C26C26" w:rsidRPr="00D30BB3">
        <w:rPr>
          <w:rFonts w:ascii="Book Antiqua" w:hAnsi="Book Antiqua" w:cs="Arial"/>
        </w:rPr>
        <w:t xml:space="preserve">, but whether, taking all relevant factors into account, it was </w:t>
      </w:r>
      <w:r w:rsidR="00C26C26" w:rsidRPr="00D30BB3">
        <w:rPr>
          <w:rFonts w:ascii="Book Antiqua" w:hAnsi="Book Antiqua" w:cs="Arial"/>
          <w:i/>
        </w:rPr>
        <w:t xml:space="preserve">reasonable </w:t>
      </w:r>
      <w:r w:rsidR="00C26C26" w:rsidRPr="00D30BB3">
        <w:rPr>
          <w:rFonts w:ascii="Book Antiqua" w:hAnsi="Book Antiqua" w:cs="Arial"/>
        </w:rPr>
        <w:t xml:space="preserve">to expect these </w:t>
      </w:r>
      <w:r w:rsidR="00C26C26" w:rsidRPr="009E3889">
        <w:rPr>
          <w:rFonts w:ascii="Book Antiqua" w:hAnsi="Book Antiqua" w:cs="Arial"/>
          <w:i/>
        </w:rPr>
        <w:t>children</w:t>
      </w:r>
      <w:r w:rsidR="00C26C26" w:rsidRPr="00D30BB3">
        <w:rPr>
          <w:rFonts w:ascii="Book Antiqua" w:hAnsi="Book Antiqua" w:cs="Arial"/>
        </w:rPr>
        <w:t xml:space="preserve"> to leave the UK.</w:t>
      </w:r>
      <w:r w:rsidRPr="00D30BB3">
        <w:rPr>
          <w:rFonts w:ascii="Book Antiqua" w:hAnsi="Book Antiqua" w:cs="Arial"/>
        </w:rPr>
        <w:t xml:space="preserve">  That is the effect of s117</w:t>
      </w:r>
      <w:proofErr w:type="gramStart"/>
      <w:r w:rsidRPr="00D30BB3">
        <w:rPr>
          <w:rFonts w:ascii="Book Antiqua" w:hAnsi="Book Antiqua" w:cs="Arial"/>
        </w:rPr>
        <w:t>B(</w:t>
      </w:r>
      <w:proofErr w:type="gramEnd"/>
      <w:r w:rsidRPr="00D30BB3">
        <w:rPr>
          <w:rFonts w:ascii="Book Antiqua" w:hAnsi="Book Antiqua" w:cs="Arial"/>
        </w:rPr>
        <w:t>6) of the 2002 Act:</w:t>
      </w:r>
    </w:p>
    <w:p w14:paraId="1E0ADE53" w14:textId="77777777" w:rsidR="00C26C26" w:rsidRPr="00836521" w:rsidRDefault="00C26C26" w:rsidP="00C26C26">
      <w:pPr>
        <w:shd w:val="clear" w:color="auto" w:fill="FFFFFF"/>
        <w:spacing w:before="100" w:beforeAutospacing="1" w:after="120" w:line="288" w:lineRule="atLeast"/>
        <w:ind w:left="1134" w:right="1134"/>
        <w:outlineLvl w:val="5"/>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Article 8: public interest considerations applicable in all cases:</w:t>
      </w:r>
    </w:p>
    <w:p w14:paraId="21FFD0AC" w14:textId="77777777" w:rsidR="00C26C26" w:rsidRPr="00836521" w:rsidRDefault="00C26C26" w:rsidP="00C26C26">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(1) The maintenance of effective immigration controls is in the public interest.</w:t>
      </w:r>
    </w:p>
    <w:p w14:paraId="6DF52B00" w14:textId="77777777" w:rsidR="00C26C26" w:rsidRPr="00836521" w:rsidRDefault="00C26C26" w:rsidP="00C26C26">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lastRenderedPageBreak/>
        <w:t xml:space="preserve">(2) It is in the public interest, and </w:t>
      </w:r>
      <w:proofErr w:type="gramStart"/>
      <w:r w:rsidRPr="00836521">
        <w:rPr>
          <w:rFonts w:ascii="Book Antiqua" w:eastAsia="Times New Roman" w:hAnsi="Book Antiqua" w:cs="Arial"/>
          <w:color w:val="000000"/>
          <w:sz w:val="20"/>
          <w:szCs w:val="20"/>
          <w:lang w:val="en"/>
        </w:rPr>
        <w:t>in particular in</w:t>
      </w:r>
      <w:proofErr w:type="gramEnd"/>
      <w:r w:rsidRPr="00836521">
        <w:rPr>
          <w:rFonts w:ascii="Book Antiqua" w:eastAsia="Times New Roman" w:hAnsi="Book Antiqua" w:cs="Arial"/>
          <w:color w:val="000000"/>
          <w:sz w:val="20"/>
          <w:szCs w:val="20"/>
          <w:lang w:val="en"/>
        </w:rPr>
        <w:t xml:space="preserve"> the interests of the economic well-being of the United Kingdom, that persons who seek to enter or remain in the United Kingdom are able to speak English, because persons who can speak English—</w:t>
      </w:r>
    </w:p>
    <w:p w14:paraId="717F9B01" w14:textId="77777777" w:rsidR="00C26C26" w:rsidRDefault="00C26C26" w:rsidP="00C26C26">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are less of a burden on taxpayers, and</w:t>
      </w:r>
    </w:p>
    <w:p w14:paraId="476A66E1" w14:textId="77777777" w:rsidR="00C26C26" w:rsidRPr="00836521" w:rsidRDefault="00C26C26" w:rsidP="00C26C26">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are better able to integrate into society.</w:t>
      </w:r>
    </w:p>
    <w:p w14:paraId="57F9A6C5" w14:textId="77777777" w:rsidR="00C26C26" w:rsidRPr="00836521" w:rsidRDefault="00C26C26" w:rsidP="00C26C26">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(3)  It is in the public interest, and </w:t>
      </w:r>
      <w:proofErr w:type="gramStart"/>
      <w:r w:rsidRPr="00836521">
        <w:rPr>
          <w:rFonts w:ascii="Book Antiqua" w:eastAsia="Times New Roman" w:hAnsi="Book Antiqua" w:cs="Arial"/>
          <w:color w:val="000000"/>
          <w:sz w:val="20"/>
          <w:szCs w:val="20"/>
          <w:lang w:val="en"/>
        </w:rPr>
        <w:t>in particular in</w:t>
      </w:r>
      <w:proofErr w:type="gramEnd"/>
      <w:r w:rsidRPr="00836521">
        <w:rPr>
          <w:rFonts w:ascii="Book Antiqua" w:eastAsia="Times New Roman" w:hAnsi="Book Antiqua" w:cs="Arial"/>
          <w:color w:val="000000"/>
          <w:sz w:val="20"/>
          <w:szCs w:val="20"/>
          <w:lang w:val="en"/>
        </w:rPr>
        <w:t xml:space="preserve"> the interests of the economic well-being of the United Kingdom, that persons who seek to enter or remain in the United Kingdom are financially independent, because such persons—</w:t>
      </w:r>
    </w:p>
    <w:p w14:paraId="1F7FB606" w14:textId="77777777" w:rsidR="00C26C26" w:rsidRPr="00836521" w:rsidRDefault="00C26C26" w:rsidP="00C26C26">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are not a burden on taxpayers, and</w:t>
      </w:r>
    </w:p>
    <w:p w14:paraId="0176D196" w14:textId="77777777" w:rsidR="00C26C26" w:rsidRPr="00836521" w:rsidRDefault="00C26C26" w:rsidP="00C26C26">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are better able to integrate into society.</w:t>
      </w:r>
    </w:p>
    <w:p w14:paraId="46530CF5" w14:textId="77777777" w:rsidR="00C26C26" w:rsidRPr="00836521" w:rsidRDefault="00C26C26" w:rsidP="00C26C26">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(4) Little weight should be given to—</w:t>
      </w:r>
    </w:p>
    <w:p w14:paraId="7B24E5F3" w14:textId="77777777" w:rsidR="00C26C26" w:rsidRPr="00836521" w:rsidRDefault="00C26C26" w:rsidP="00C26C26">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(a) a private life, or</w:t>
      </w:r>
    </w:p>
    <w:p w14:paraId="51968380" w14:textId="77777777" w:rsidR="00C26C26" w:rsidRPr="00836521" w:rsidRDefault="00C26C26" w:rsidP="00C26C26">
      <w:pPr>
        <w:shd w:val="clear" w:color="auto" w:fill="FFFFFF"/>
        <w:spacing w:before="100" w:beforeAutospacing="1" w:after="120" w:line="360" w:lineRule="atLeast"/>
        <w:ind w:left="1134" w:right="1134" w:firstLine="306"/>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(b) a relationship formed with a qualifying partner,</w:t>
      </w:r>
    </w:p>
    <w:p w14:paraId="163FB8D1" w14:textId="77777777" w:rsidR="00C26C26" w:rsidRPr="00836521" w:rsidRDefault="00C26C26" w:rsidP="00C26C26">
      <w:pPr>
        <w:shd w:val="clear" w:color="auto" w:fill="FFFFFF"/>
        <w:spacing w:before="100" w:beforeAutospacing="1" w:after="120" w:line="360" w:lineRule="atLeast"/>
        <w:ind w:left="1134" w:right="1134"/>
        <w:jc w:val="both"/>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that is established by a person at a time when the person is in the United Kingdom unlawfully. </w:t>
      </w:r>
    </w:p>
    <w:p w14:paraId="25A1F24F" w14:textId="77777777" w:rsidR="00C26C26" w:rsidRPr="00836521" w:rsidRDefault="00C26C26" w:rsidP="00C26C26">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(5) Little weight should be given to a private life established by a person at a time when the person’s immigration status is precarious.</w:t>
      </w:r>
    </w:p>
    <w:p w14:paraId="50D98602" w14:textId="77777777" w:rsidR="00C26C26" w:rsidRPr="00836521" w:rsidRDefault="00C26C26" w:rsidP="00C26C26">
      <w:pPr>
        <w:shd w:val="clear" w:color="auto" w:fill="FFFFFF"/>
        <w:spacing w:before="100" w:beforeAutospacing="1" w:after="120" w:line="360" w:lineRule="atLeast"/>
        <w:ind w:left="1134" w:right="1134"/>
        <w:rPr>
          <w:rFonts w:ascii="Book Antiqua" w:eastAsia="Times New Roman" w:hAnsi="Book Antiqua" w:cs="Arial"/>
          <w:color w:val="000000"/>
          <w:sz w:val="20"/>
          <w:szCs w:val="20"/>
          <w:lang w:val="en"/>
        </w:rPr>
      </w:pPr>
      <w:r w:rsidRPr="00836521">
        <w:rPr>
          <w:rFonts w:ascii="Book Antiqua" w:eastAsia="Times New Roman" w:hAnsi="Book Antiqua" w:cs="Arial"/>
          <w:color w:val="000000"/>
          <w:sz w:val="20"/>
          <w:szCs w:val="20"/>
          <w:lang w:val="en"/>
        </w:rPr>
        <w:t xml:space="preserve">(6) </w:t>
      </w:r>
      <w:r w:rsidRPr="0084508A">
        <w:rPr>
          <w:rFonts w:ascii="Book Antiqua" w:eastAsia="Times New Roman" w:hAnsi="Book Antiqua" w:cs="Arial"/>
          <w:b/>
          <w:color w:val="000000"/>
          <w:sz w:val="20"/>
          <w:szCs w:val="20"/>
          <w:lang w:val="en"/>
        </w:rPr>
        <w:t>In the case of a person who is not liable to deportation, the public interest does not require the person’s removal where</w:t>
      </w:r>
      <w:r w:rsidRPr="00836521">
        <w:rPr>
          <w:rFonts w:ascii="Book Antiqua" w:eastAsia="Times New Roman" w:hAnsi="Book Antiqua" w:cs="Arial"/>
          <w:color w:val="000000"/>
          <w:sz w:val="20"/>
          <w:szCs w:val="20"/>
          <w:lang w:val="en"/>
        </w:rPr>
        <w:t>—</w:t>
      </w:r>
    </w:p>
    <w:p w14:paraId="43F6D53D" w14:textId="77777777" w:rsidR="00C26C26" w:rsidRPr="0084508A" w:rsidRDefault="00C26C26" w:rsidP="00C26C26">
      <w:pPr>
        <w:shd w:val="clear" w:color="auto" w:fill="FFFFFF"/>
        <w:spacing w:before="100" w:beforeAutospacing="1" w:after="120" w:line="360" w:lineRule="atLeast"/>
        <w:ind w:left="1440" w:right="1134" w:firstLine="48"/>
        <w:rPr>
          <w:rFonts w:ascii="Book Antiqua" w:eastAsia="Times New Roman" w:hAnsi="Book Antiqua" w:cs="Arial"/>
          <w:b/>
          <w:color w:val="000000"/>
          <w:sz w:val="20"/>
          <w:szCs w:val="20"/>
          <w:lang w:val="en"/>
        </w:rPr>
      </w:pPr>
      <w:r w:rsidRPr="0084508A">
        <w:rPr>
          <w:rFonts w:ascii="Book Antiqua" w:eastAsia="Times New Roman" w:hAnsi="Book Antiqua" w:cs="Arial"/>
          <w:b/>
          <w:color w:val="000000"/>
          <w:sz w:val="20"/>
          <w:szCs w:val="20"/>
          <w:lang w:val="en"/>
        </w:rPr>
        <w:t>(a) the person has a genuine and subsisting parental relationship with a qualifying child, and</w:t>
      </w:r>
    </w:p>
    <w:p w14:paraId="6F5F6F2E" w14:textId="77777777" w:rsidR="00C26C26" w:rsidRPr="00836521" w:rsidRDefault="00C26C26" w:rsidP="00C26C26">
      <w:pPr>
        <w:shd w:val="clear" w:color="auto" w:fill="FFFFFF"/>
        <w:spacing w:before="100" w:beforeAutospacing="1" w:after="120" w:line="360" w:lineRule="atLeast"/>
        <w:ind w:left="1440" w:right="1134" w:firstLine="6"/>
        <w:rPr>
          <w:rFonts w:ascii="Book Antiqua" w:eastAsia="Times New Roman" w:hAnsi="Book Antiqua" w:cs="Arial"/>
          <w:color w:val="000000"/>
          <w:sz w:val="20"/>
          <w:szCs w:val="20"/>
          <w:lang w:val="en"/>
        </w:rPr>
      </w:pPr>
      <w:r w:rsidRPr="0084508A">
        <w:rPr>
          <w:rFonts w:ascii="Book Antiqua" w:eastAsia="Times New Roman" w:hAnsi="Book Antiqua" w:cs="Arial"/>
          <w:b/>
          <w:color w:val="000000"/>
          <w:sz w:val="20"/>
          <w:szCs w:val="20"/>
          <w:lang w:val="en"/>
        </w:rPr>
        <w:t>(b) it would not be reasonable to expect the child to leave the United Kingdom</w:t>
      </w:r>
      <w:r w:rsidRPr="00836521">
        <w:rPr>
          <w:rFonts w:ascii="Book Antiqua" w:eastAsia="Times New Roman" w:hAnsi="Book Antiqua" w:cs="Arial"/>
          <w:color w:val="000000"/>
          <w:sz w:val="20"/>
          <w:szCs w:val="20"/>
          <w:lang w:val="en"/>
        </w:rPr>
        <w:t>.</w:t>
      </w:r>
    </w:p>
    <w:p w14:paraId="3B3938BD" w14:textId="77777777" w:rsidR="00C26C26" w:rsidRDefault="00C26C26" w:rsidP="00C26C26">
      <w:pPr>
        <w:tabs>
          <w:tab w:val="left" w:pos="567"/>
        </w:tabs>
        <w:ind w:left="567" w:right="567"/>
        <w:jc w:val="both"/>
        <w:rPr>
          <w:rFonts w:ascii="Book Antiqua" w:hAnsi="Book Antiqua" w:cs="Arial"/>
        </w:rPr>
      </w:pPr>
    </w:p>
    <w:p w14:paraId="1D427C69" w14:textId="77777777" w:rsidR="00CA4525" w:rsidRDefault="00D30BB3" w:rsidP="00C26C26">
      <w:pPr>
        <w:numPr>
          <w:ilvl w:val="0"/>
          <w:numId w:val="1"/>
        </w:numPr>
        <w:tabs>
          <w:tab w:val="left" w:pos="567"/>
        </w:tabs>
        <w:ind w:left="567" w:right="567"/>
        <w:jc w:val="both"/>
        <w:rPr>
          <w:rFonts w:ascii="Book Antiqua" w:hAnsi="Book Antiqua" w:cs="Arial"/>
        </w:rPr>
      </w:pPr>
      <w:r>
        <w:rPr>
          <w:rFonts w:ascii="Book Antiqua" w:hAnsi="Book Antiqua" w:cs="Arial"/>
        </w:rPr>
        <w:t xml:space="preserve">It was the Respondent’s stated position that it is </w:t>
      </w:r>
      <w:r w:rsidRPr="00D30BB3">
        <w:rPr>
          <w:rFonts w:ascii="Book Antiqua" w:hAnsi="Book Antiqua" w:cs="Arial"/>
          <w:i/>
        </w:rPr>
        <w:t>un</w:t>
      </w:r>
      <w:r>
        <w:rPr>
          <w:rFonts w:ascii="Book Antiqua" w:hAnsi="Book Antiqua" w:cs="Arial"/>
        </w:rPr>
        <w:t>reasonable to expect British children to leave the EU</w:t>
      </w:r>
      <w:r w:rsidR="00224A25">
        <w:rPr>
          <w:rFonts w:ascii="Book Antiqua" w:hAnsi="Book Antiqua" w:cs="Arial"/>
        </w:rPr>
        <w:t xml:space="preserve"> with a parent or primary carer: see the passages cited at [6] above from the IDI </w:t>
      </w:r>
      <w:r w:rsidR="00224A25" w:rsidRPr="00224A25">
        <w:rPr>
          <w:rFonts w:ascii="Book Antiqua" w:hAnsi="Book Antiqua" w:cs="Arial"/>
          <w:i/>
        </w:rPr>
        <w:t>Family Migration: Appendix FM</w:t>
      </w:r>
      <w:r w:rsidR="00224A25">
        <w:rPr>
          <w:rFonts w:ascii="Book Antiqua" w:hAnsi="Book Antiqua" w:cs="Arial"/>
        </w:rPr>
        <w:t xml:space="preserve"> section 1.0b </w:t>
      </w:r>
      <w:r w:rsidR="00224A25">
        <w:rPr>
          <w:rFonts w:ascii="Book Antiqua" w:hAnsi="Book Antiqua" w:cs="Arial"/>
          <w:i/>
        </w:rPr>
        <w:t>Family Life (as a Pa</w:t>
      </w:r>
      <w:r w:rsidR="00224A25" w:rsidRPr="00224A25">
        <w:rPr>
          <w:rFonts w:ascii="Book Antiqua" w:hAnsi="Book Antiqua" w:cs="Arial"/>
          <w:i/>
        </w:rPr>
        <w:t>rtner o</w:t>
      </w:r>
      <w:r w:rsidR="00224A25">
        <w:rPr>
          <w:rFonts w:ascii="Book Antiqua" w:hAnsi="Book Antiqua" w:cs="Arial"/>
          <w:i/>
        </w:rPr>
        <w:t>r Parent) and Private Life: 10 Year R</w:t>
      </w:r>
      <w:r w:rsidR="00224A25" w:rsidRPr="00224A25">
        <w:rPr>
          <w:rFonts w:ascii="Book Antiqua" w:hAnsi="Book Antiqua" w:cs="Arial"/>
          <w:i/>
        </w:rPr>
        <w:t>outes</w:t>
      </w:r>
      <w:r w:rsidR="00224A25">
        <w:rPr>
          <w:rFonts w:ascii="Book Antiqua" w:hAnsi="Book Antiqua" w:cs="Arial"/>
        </w:rPr>
        <w:t xml:space="preserve"> (July 2014).</w:t>
      </w:r>
      <w:r>
        <w:rPr>
          <w:rFonts w:ascii="Book Antiqua" w:hAnsi="Book Antiqua" w:cs="Arial"/>
        </w:rPr>
        <w:t xml:space="preserve"> The First-tier </w:t>
      </w:r>
      <w:r>
        <w:rPr>
          <w:rFonts w:ascii="Book Antiqua" w:hAnsi="Book Antiqua" w:cs="Arial"/>
        </w:rPr>
        <w:lastRenderedPageBreak/>
        <w:t xml:space="preserve">Tribunal recognised that, but found reason to depart from that guidance </w:t>
      </w:r>
      <w:proofErr w:type="gramStart"/>
      <w:r>
        <w:rPr>
          <w:rFonts w:ascii="Book Antiqua" w:hAnsi="Book Antiqua" w:cs="Arial"/>
        </w:rPr>
        <w:t>on the grounds that</w:t>
      </w:r>
      <w:proofErr w:type="gramEnd"/>
      <w:r>
        <w:rPr>
          <w:rFonts w:ascii="Book Antiqua" w:hAnsi="Book Antiqua" w:cs="Arial"/>
        </w:rPr>
        <w:t xml:space="preserve"> the Appellant had a “very poor immigration history”, viz her failed asylum claim. </w:t>
      </w:r>
    </w:p>
    <w:p w14:paraId="1AAB8224" w14:textId="77777777" w:rsidR="00D30BB3" w:rsidRDefault="00D30BB3" w:rsidP="00D30BB3">
      <w:pPr>
        <w:tabs>
          <w:tab w:val="left" w:pos="567"/>
        </w:tabs>
        <w:ind w:left="567" w:right="567"/>
        <w:jc w:val="both"/>
        <w:rPr>
          <w:rFonts w:ascii="Book Antiqua" w:hAnsi="Book Antiqua" w:cs="Arial"/>
        </w:rPr>
      </w:pPr>
    </w:p>
    <w:p w14:paraId="40AC692F" w14:textId="77777777" w:rsidR="00D30BB3" w:rsidRPr="00224A25" w:rsidRDefault="00D30BB3" w:rsidP="00D30BB3">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 </w:t>
      </w:r>
      <w:proofErr w:type="spellStart"/>
      <w:r>
        <w:rPr>
          <w:rFonts w:ascii="Book Antiqua" w:hAnsi="Book Antiqua" w:cs="Arial"/>
        </w:rPr>
        <w:t>McVeety</w:t>
      </w:r>
      <w:proofErr w:type="spellEnd"/>
      <w:r>
        <w:rPr>
          <w:rFonts w:ascii="Book Antiqua" w:hAnsi="Book Antiqua" w:cs="Arial"/>
        </w:rPr>
        <w:t xml:space="preserve"> found some difficulty in defending that reasoning. </w:t>
      </w:r>
      <w:r w:rsidR="009E4D0C">
        <w:rPr>
          <w:rFonts w:ascii="Book Antiqua" w:hAnsi="Book Antiqua" w:cs="Arial"/>
        </w:rPr>
        <w:t>Whilst he maintained that the Tribunal was obliged to consider the countervailing factors, he conceded that h</w:t>
      </w:r>
      <w:r>
        <w:rPr>
          <w:rFonts w:ascii="Book Antiqua" w:hAnsi="Book Antiqua" w:cs="Arial"/>
        </w:rPr>
        <w:t xml:space="preserve">aving had one asylum appeal dismissed was </w:t>
      </w:r>
      <w:r w:rsidR="009E4D0C">
        <w:rPr>
          <w:rFonts w:ascii="Book Antiqua" w:hAnsi="Book Antiqua" w:cs="Arial"/>
        </w:rPr>
        <w:t>possibl</w:t>
      </w:r>
      <w:r>
        <w:rPr>
          <w:rFonts w:ascii="Book Antiqua" w:hAnsi="Book Antiqua" w:cs="Arial"/>
        </w:rPr>
        <w:t xml:space="preserve">y not the sort of deliberate and conniving behaviour that the Secretary of State had in mind when the policy was formulated following </w:t>
      </w:r>
      <w:r w:rsidRPr="00D30BB3">
        <w:rPr>
          <w:rFonts w:ascii="Book Antiqua" w:hAnsi="Book Antiqua" w:cs="Arial"/>
          <w:u w:val="single"/>
        </w:rPr>
        <w:t>Zambrano</w:t>
      </w:r>
      <w:r>
        <w:rPr>
          <w:rFonts w:ascii="Book Antiqua" w:hAnsi="Book Antiqua" w:cs="Arial"/>
        </w:rPr>
        <w:t xml:space="preserve">. That this is so is illustrated by the recent Presidential decision in </w:t>
      </w:r>
      <w:r w:rsidRPr="00D30BB3">
        <w:rPr>
          <w:rFonts w:ascii="Book Antiqua" w:hAnsi="Book Antiqua"/>
          <w:u w:val="single"/>
        </w:rPr>
        <w:t>MT and ET (child's best interests; ex tempore pilot</w:t>
      </w:r>
      <w:r w:rsidRPr="00D30BB3">
        <w:rPr>
          <w:rFonts w:ascii="Book Antiqua" w:hAnsi="Book Antiqua"/>
        </w:rPr>
        <w:t>) Nigeria [2018] UKUT 00088(IAC)</w:t>
      </w:r>
      <w:r w:rsidR="00224A25">
        <w:rPr>
          <w:rFonts w:ascii="Book Antiqua" w:hAnsi="Book Antiqua"/>
        </w:rPr>
        <w:t xml:space="preserve">. MT sought to avoid removal on the basis that it was unreasonable to expect her qualifying child, ET, to leave the UK with her. The First-tier Tribunal had found that it would be reasonable, given MT’s poor immigration history, which included long-term overstaying, the pursuit of various means of remaining here and the making of a fraudulent asylum claim. The Upper Tribunal </w:t>
      </w:r>
      <w:r w:rsidR="001E7CF4">
        <w:rPr>
          <w:rFonts w:ascii="Book Antiqua" w:hAnsi="Book Antiqua"/>
        </w:rPr>
        <w:t xml:space="preserve">set that decision aside. While it </w:t>
      </w:r>
      <w:r w:rsidR="00224A25">
        <w:rPr>
          <w:rFonts w:ascii="Book Antiqua" w:hAnsi="Book Antiqua"/>
        </w:rPr>
        <w:t>did not downplay or excuse MT’s unlawful behaviour, but found that it did not amount to the kind of bad faith that would justify the separation of a mother from her young child. It is apparent from my brief recitation of the facts that MT’s immigration history was considerably worse than the Appellant’s.</w:t>
      </w:r>
    </w:p>
    <w:p w14:paraId="314BFC34" w14:textId="77777777" w:rsidR="00224A25" w:rsidRPr="00224A25" w:rsidRDefault="00224A25" w:rsidP="00224A25">
      <w:pPr>
        <w:tabs>
          <w:tab w:val="left" w:pos="567"/>
        </w:tabs>
        <w:ind w:left="567" w:right="567"/>
        <w:jc w:val="both"/>
        <w:rPr>
          <w:rFonts w:ascii="Book Antiqua" w:hAnsi="Book Antiqua" w:cs="Arial"/>
        </w:rPr>
      </w:pPr>
    </w:p>
    <w:p w14:paraId="4B171F59" w14:textId="77777777" w:rsidR="00F26946" w:rsidRDefault="009E3889" w:rsidP="00F26946">
      <w:pPr>
        <w:numPr>
          <w:ilvl w:val="0"/>
          <w:numId w:val="1"/>
        </w:numPr>
        <w:tabs>
          <w:tab w:val="left" w:pos="567"/>
        </w:tabs>
        <w:ind w:left="567" w:right="567"/>
        <w:jc w:val="both"/>
        <w:rPr>
          <w:rFonts w:ascii="Book Antiqua" w:hAnsi="Book Antiqua" w:cs="Arial"/>
        </w:rPr>
      </w:pPr>
      <w:r>
        <w:rPr>
          <w:rFonts w:ascii="Book Antiqua" w:hAnsi="Book Antiqua" w:cs="Arial"/>
        </w:rPr>
        <w:t>The determination goes on from there to implicitly suggest that s117</w:t>
      </w:r>
      <w:proofErr w:type="gramStart"/>
      <w:r>
        <w:rPr>
          <w:rFonts w:ascii="Book Antiqua" w:hAnsi="Book Antiqua" w:cs="Arial"/>
        </w:rPr>
        <w:t>B(</w:t>
      </w:r>
      <w:proofErr w:type="gramEnd"/>
      <w:r>
        <w:rPr>
          <w:rFonts w:ascii="Book Antiqua" w:hAnsi="Book Antiqua" w:cs="Arial"/>
        </w:rPr>
        <w:t xml:space="preserve">6) has no application at all in this case. At paragraph 58 the determination notes that the father and children have an “absolute right” to remain in this country and as such no one is “expecting” the children to go back to the IKR with their mother.   </w:t>
      </w:r>
      <w:r w:rsidR="00F26946">
        <w:rPr>
          <w:rFonts w:ascii="Book Antiqua" w:hAnsi="Book Antiqua" w:cs="Arial"/>
        </w:rPr>
        <w:t xml:space="preserve"> </w:t>
      </w:r>
      <w:r w:rsidR="00F26946" w:rsidRPr="00F26946">
        <w:rPr>
          <w:rFonts w:ascii="Book Antiqua" w:hAnsi="Book Antiqua" w:cs="Arial"/>
        </w:rPr>
        <w:t>At paragraph 59 the determination reads “I find the removal of the appellant would not have the effect of forcing the child</w:t>
      </w:r>
      <w:r w:rsidR="00F26946">
        <w:rPr>
          <w:rFonts w:ascii="Book Antiqua" w:hAnsi="Book Antiqua" w:cs="Arial"/>
        </w:rPr>
        <w:t>ren to leave the United K</w:t>
      </w:r>
      <w:r w:rsidR="00F26946" w:rsidRPr="00F26946">
        <w:rPr>
          <w:rFonts w:ascii="Book Antiqua" w:hAnsi="Book Antiqua" w:cs="Arial"/>
        </w:rPr>
        <w:t>ingdom and therefore the appellant cannot rely on the respondent’s policy as grounds to remain”</w:t>
      </w:r>
      <w:r w:rsidR="00F26946">
        <w:rPr>
          <w:rFonts w:ascii="Book Antiqua" w:hAnsi="Book Antiqua" w:cs="Arial"/>
        </w:rPr>
        <w:t xml:space="preserve">. Several </w:t>
      </w:r>
      <w:r w:rsidR="00707C4A">
        <w:rPr>
          <w:rFonts w:ascii="Book Antiqua" w:hAnsi="Book Antiqua" w:cs="Arial"/>
        </w:rPr>
        <w:t xml:space="preserve">points are to </w:t>
      </w:r>
      <w:r w:rsidR="00F26946">
        <w:rPr>
          <w:rFonts w:ascii="Book Antiqua" w:hAnsi="Book Antiqua" w:cs="Arial"/>
        </w:rPr>
        <w:t xml:space="preserve">be made about that reasoning. </w:t>
      </w:r>
    </w:p>
    <w:p w14:paraId="511A659C" w14:textId="77777777" w:rsidR="00F26946" w:rsidRDefault="00F26946" w:rsidP="00F26946">
      <w:pPr>
        <w:pStyle w:val="ListParagraph"/>
        <w:rPr>
          <w:rFonts w:ascii="Book Antiqua" w:hAnsi="Book Antiqua" w:cs="Arial"/>
        </w:rPr>
      </w:pPr>
    </w:p>
    <w:p w14:paraId="7CB8E810" w14:textId="77777777" w:rsidR="00F26946" w:rsidRDefault="00F26946" w:rsidP="00F26946">
      <w:pPr>
        <w:numPr>
          <w:ilvl w:val="0"/>
          <w:numId w:val="1"/>
        </w:numPr>
        <w:tabs>
          <w:tab w:val="left" w:pos="567"/>
        </w:tabs>
        <w:ind w:left="567" w:right="567"/>
        <w:jc w:val="both"/>
        <w:rPr>
          <w:rFonts w:ascii="Book Antiqua" w:hAnsi="Book Antiqua" w:cs="Arial"/>
        </w:rPr>
      </w:pPr>
      <w:r>
        <w:rPr>
          <w:rFonts w:ascii="Book Antiqua" w:hAnsi="Book Antiqua" w:cs="Arial"/>
        </w:rPr>
        <w:t>First, the Tribunal has erred in law in failing to conduct any assessment of whether it would be in the best interests of these very young children (one only a baby) to be separated from their mother</w:t>
      </w:r>
      <w:r w:rsidR="009438CF">
        <w:rPr>
          <w:rFonts w:ascii="Book Antiqua" w:hAnsi="Book Antiqua" w:cs="Arial"/>
        </w:rPr>
        <w:t xml:space="preserve"> in the manner that it envisages as an appropriate resolution of this claim</w:t>
      </w:r>
      <w:r>
        <w:rPr>
          <w:rFonts w:ascii="Book Antiqua" w:hAnsi="Book Antiqua" w:cs="Arial"/>
        </w:rPr>
        <w:t xml:space="preserve">. </w:t>
      </w:r>
    </w:p>
    <w:p w14:paraId="5CAB9836" w14:textId="77777777" w:rsidR="00F26946" w:rsidRDefault="00F26946" w:rsidP="00F26946">
      <w:pPr>
        <w:pStyle w:val="ListParagraph"/>
        <w:rPr>
          <w:rFonts w:ascii="Book Antiqua" w:hAnsi="Book Antiqua" w:cs="Arial"/>
        </w:rPr>
      </w:pPr>
    </w:p>
    <w:p w14:paraId="3DFB26C2" w14:textId="77777777" w:rsidR="00F26946" w:rsidRDefault="00F26946" w:rsidP="001E7CF4">
      <w:pPr>
        <w:numPr>
          <w:ilvl w:val="0"/>
          <w:numId w:val="1"/>
        </w:numPr>
        <w:tabs>
          <w:tab w:val="left" w:pos="567"/>
        </w:tabs>
        <w:ind w:left="567" w:right="567"/>
        <w:jc w:val="both"/>
        <w:rPr>
          <w:rFonts w:ascii="Book Antiqua" w:hAnsi="Book Antiqua" w:cs="Arial"/>
        </w:rPr>
      </w:pPr>
      <w:r>
        <w:rPr>
          <w:rFonts w:ascii="Book Antiqua" w:hAnsi="Book Antiqua" w:cs="Arial"/>
        </w:rPr>
        <w:t>Second, the logical consequence of the Tribunal’s analysis is that the word ‘expecting’ in s117</w:t>
      </w:r>
      <w:proofErr w:type="gramStart"/>
      <w:r>
        <w:rPr>
          <w:rFonts w:ascii="Book Antiqua" w:hAnsi="Book Antiqua" w:cs="Arial"/>
        </w:rPr>
        <w:t>B(</w:t>
      </w:r>
      <w:proofErr w:type="gramEnd"/>
      <w:r>
        <w:rPr>
          <w:rFonts w:ascii="Book Antiqua" w:hAnsi="Book Antiqua" w:cs="Arial"/>
        </w:rPr>
        <w:t xml:space="preserve">6) gives non-British qualifying children a significant </w:t>
      </w:r>
      <w:r w:rsidR="001E7CF4">
        <w:rPr>
          <w:rFonts w:ascii="Book Antiqua" w:hAnsi="Book Antiqua" w:cs="Arial"/>
        </w:rPr>
        <w:t xml:space="preserve">legal </w:t>
      </w:r>
      <w:r>
        <w:rPr>
          <w:rFonts w:ascii="Book Antiqua" w:hAnsi="Book Antiqua" w:cs="Arial"/>
        </w:rPr>
        <w:t>advantage over their British counterparts.   A child who has accrued her seven years long residence but has no lawful basis to stay any longer is ‘expected’ to leave the UK. Her parents would have the benefit of being able to rely on s117</w:t>
      </w:r>
      <w:proofErr w:type="gramStart"/>
      <w:r>
        <w:rPr>
          <w:rFonts w:ascii="Book Antiqua" w:hAnsi="Book Antiqua" w:cs="Arial"/>
        </w:rPr>
        <w:t>B(</w:t>
      </w:r>
      <w:proofErr w:type="gramEnd"/>
      <w:r>
        <w:rPr>
          <w:rFonts w:ascii="Book Antiqua" w:hAnsi="Book Antiqua" w:cs="Arial"/>
        </w:rPr>
        <w:t>6) and the associated case-law to the effect that ‘powerful’ reasons would be required to justify the child’s removal (see</w:t>
      </w:r>
      <w:r w:rsidR="001E7CF4">
        <w:rPr>
          <w:rFonts w:ascii="Book Antiqua" w:hAnsi="Book Antiqua" w:cs="Arial"/>
        </w:rPr>
        <w:t xml:space="preserve"> for instance</w:t>
      </w:r>
      <w:r>
        <w:rPr>
          <w:rFonts w:ascii="Book Antiqua" w:hAnsi="Book Antiqua" w:cs="Arial"/>
        </w:rPr>
        <w:t xml:space="preserve"> </w:t>
      </w:r>
      <w:r w:rsidRPr="001E7CF4">
        <w:rPr>
          <w:rFonts w:ascii="Book Antiqua" w:hAnsi="Book Antiqua" w:cs="Arial"/>
          <w:u w:val="single"/>
        </w:rPr>
        <w:t>MA (Pakistan</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w:t>
      </w:r>
      <w:r w:rsidRPr="001E7CF4">
        <w:rPr>
          <w:rFonts w:ascii="Book Antiqua" w:hAnsi="Book Antiqua" w:cs="Arial"/>
          <w:u w:val="single"/>
        </w:rPr>
        <w:t>MT and ET</w:t>
      </w:r>
      <w:r>
        <w:rPr>
          <w:rFonts w:ascii="Book Antiqua" w:hAnsi="Book Antiqua" w:cs="Arial"/>
        </w:rPr>
        <w:t xml:space="preserve">, </w:t>
      </w:r>
      <w:r w:rsidR="001E7CF4" w:rsidRPr="001E7CF4">
        <w:rPr>
          <w:rFonts w:ascii="Book Antiqua" w:hAnsi="Book Antiqua" w:cs="Arial"/>
          <w:u w:val="single"/>
        </w:rPr>
        <w:t xml:space="preserve">PD &amp; </w:t>
      </w:r>
      <w:proofErr w:type="spellStart"/>
      <w:r w:rsidR="001E7CF4" w:rsidRPr="001E7CF4">
        <w:rPr>
          <w:rFonts w:ascii="Book Antiqua" w:hAnsi="Book Antiqua" w:cs="Arial"/>
          <w:u w:val="single"/>
        </w:rPr>
        <w:t>Ors</w:t>
      </w:r>
      <w:proofErr w:type="spellEnd"/>
      <w:r w:rsidR="001E7CF4" w:rsidRPr="001E7CF4">
        <w:rPr>
          <w:rFonts w:ascii="Book Antiqua" w:hAnsi="Book Antiqua" w:cs="Arial"/>
          <w:u w:val="single"/>
        </w:rPr>
        <w:t xml:space="preserve"> (Article 8 – conjoined family claims)</w:t>
      </w:r>
      <w:r w:rsidR="001E7CF4">
        <w:rPr>
          <w:rFonts w:ascii="Book Antiqua" w:hAnsi="Book Antiqua" w:cs="Arial"/>
        </w:rPr>
        <w:t xml:space="preserve"> [2016] UKUT 00108 (IAC)). Families in that position </w:t>
      </w:r>
      <w:proofErr w:type="gramStart"/>
      <w:r w:rsidR="001E7CF4">
        <w:rPr>
          <w:rFonts w:ascii="Book Antiqua" w:hAnsi="Book Antiqua" w:cs="Arial"/>
        </w:rPr>
        <w:t>are able to</w:t>
      </w:r>
      <w:proofErr w:type="gramEnd"/>
      <w:r w:rsidR="001E7CF4">
        <w:rPr>
          <w:rFonts w:ascii="Book Antiqua" w:hAnsi="Book Antiqua" w:cs="Arial"/>
        </w:rPr>
        <w:t xml:space="preserve"> rely on the presumption that absent strong countervailing factors, leave will be granted. The British child, by contrast, is not ‘expected’ to go anywhere and on the First-tier Tribunal’s analysis, cannot therefore rely on any such presumption. The British child </w:t>
      </w:r>
      <w:r w:rsidR="001E7CF4" w:rsidRPr="001E7CF4">
        <w:rPr>
          <w:rFonts w:ascii="Book Antiqua" w:hAnsi="Book Antiqua" w:cs="Arial"/>
        </w:rPr>
        <w:t xml:space="preserve">is left </w:t>
      </w:r>
      <w:r w:rsidR="001E7CF4" w:rsidRPr="001E7CF4">
        <w:rPr>
          <w:rFonts w:ascii="Book Antiqua" w:hAnsi="Book Antiqua" w:cs="Arial"/>
        </w:rPr>
        <w:lastRenderedPageBreak/>
        <w:t xml:space="preserve">with demonstrating that there would be “unjustifiably harsh” consequences for </w:t>
      </w:r>
      <w:r w:rsidR="009438CF">
        <w:rPr>
          <w:rFonts w:ascii="Book Antiqua" w:hAnsi="Book Antiqua" w:cs="Arial"/>
        </w:rPr>
        <w:t>the parent facing removal</w:t>
      </w:r>
      <w:r w:rsidR="001E7CF4">
        <w:rPr>
          <w:rFonts w:ascii="Book Antiqua" w:hAnsi="Book Antiqua" w:cs="Arial"/>
        </w:rPr>
        <w:t>.  I can see no justification for the difference in treatment between the two classes of qualifying child.</w:t>
      </w:r>
    </w:p>
    <w:p w14:paraId="670AC3D4" w14:textId="77777777" w:rsidR="001E7CF4" w:rsidRDefault="001E7CF4" w:rsidP="001E7CF4">
      <w:pPr>
        <w:tabs>
          <w:tab w:val="left" w:pos="567"/>
        </w:tabs>
        <w:ind w:left="567" w:right="567"/>
        <w:jc w:val="both"/>
        <w:rPr>
          <w:rFonts w:ascii="Book Antiqua" w:hAnsi="Book Antiqua" w:cs="Arial"/>
        </w:rPr>
      </w:pPr>
    </w:p>
    <w:p w14:paraId="230796AD" w14:textId="77777777" w:rsidR="009E3889" w:rsidRDefault="001E7CF4" w:rsidP="001E7CF4">
      <w:pPr>
        <w:numPr>
          <w:ilvl w:val="0"/>
          <w:numId w:val="1"/>
        </w:numPr>
        <w:tabs>
          <w:tab w:val="left" w:pos="567"/>
        </w:tabs>
        <w:ind w:left="567" w:right="567"/>
        <w:jc w:val="both"/>
        <w:rPr>
          <w:rFonts w:ascii="Book Antiqua" w:hAnsi="Book Antiqua" w:cs="Arial"/>
        </w:rPr>
      </w:pPr>
      <w:r>
        <w:rPr>
          <w:rFonts w:ascii="Book Antiqua" w:hAnsi="Book Antiqua" w:cs="Arial"/>
        </w:rPr>
        <w:t xml:space="preserve">Third, and for the sake of completeness, I note that the Appellant finds further support in the </w:t>
      </w:r>
      <w:r w:rsidR="009E3889" w:rsidRPr="001E7CF4">
        <w:rPr>
          <w:rFonts w:ascii="Book Antiqua" w:hAnsi="Book Antiqua" w:cs="Arial"/>
        </w:rPr>
        <w:t xml:space="preserve">updated version of the Respondent’s guidance, the February 2018 version of the </w:t>
      </w:r>
      <w:proofErr w:type="gramStart"/>
      <w:r w:rsidR="009E3889" w:rsidRPr="001E7CF4">
        <w:rPr>
          <w:rFonts w:ascii="Book Antiqua" w:hAnsi="Book Antiqua" w:cs="Arial"/>
        </w:rPr>
        <w:t>aforementioned IDI</w:t>
      </w:r>
      <w:proofErr w:type="gramEnd"/>
      <w:r w:rsidR="009E3889" w:rsidRPr="001E7CF4">
        <w:rPr>
          <w:rFonts w:ascii="Book Antiqua" w:hAnsi="Book Antiqua" w:cs="Arial"/>
        </w:rPr>
        <w:t xml:space="preserve">. The current version of the guidance reads [at page 76]: </w:t>
      </w:r>
    </w:p>
    <w:p w14:paraId="752C2B95" w14:textId="77777777" w:rsidR="001E7CF4" w:rsidRDefault="001E7CF4" w:rsidP="001E7CF4">
      <w:pPr>
        <w:pStyle w:val="ListParagraph"/>
        <w:rPr>
          <w:rFonts w:ascii="Book Antiqua" w:hAnsi="Book Antiqua" w:cs="Arial"/>
        </w:rPr>
      </w:pPr>
    </w:p>
    <w:p w14:paraId="3A90F0EF" w14:textId="77777777" w:rsidR="001E7CF4" w:rsidRPr="009E4D0C" w:rsidRDefault="001E7CF4" w:rsidP="001E7CF4">
      <w:pPr>
        <w:tabs>
          <w:tab w:val="left" w:pos="567"/>
        </w:tabs>
        <w:ind w:left="1134" w:right="1134"/>
        <w:jc w:val="both"/>
        <w:rPr>
          <w:rFonts w:ascii="Book Antiqua" w:hAnsi="Book Antiqua" w:cs="Arial"/>
        </w:rPr>
      </w:pPr>
      <w:r>
        <w:rPr>
          <w:rFonts w:ascii="Book Antiqua" w:hAnsi="Book Antiqua" w:cs="Arial"/>
        </w:rPr>
        <w:t>“</w:t>
      </w:r>
      <w:r w:rsidRPr="009E4D0C">
        <w:rPr>
          <w:rFonts w:ascii="Book Antiqua" w:hAnsi="Book Antiqua" w:cs="Arial"/>
        </w:rPr>
        <w:t>Where the child is a British citizen, it will not be reasonable to expect them to leave the UK with the applicant parent or primary carer facing removal. Accordingly, where this means that the child would have to leave the UK because, in practice, the child will not, or is not likely to, continue to live in the UK with another parent or primary carer, EX.</w:t>
      </w:r>
      <w:proofErr w:type="gramStart"/>
      <w:r w:rsidRPr="009E4D0C">
        <w:rPr>
          <w:rFonts w:ascii="Book Antiqua" w:hAnsi="Book Antiqua" w:cs="Arial"/>
        </w:rPr>
        <w:t>1.(</w:t>
      </w:r>
      <w:proofErr w:type="gramEnd"/>
      <w:r w:rsidRPr="009E4D0C">
        <w:rPr>
          <w:rFonts w:ascii="Book Antiqua" w:hAnsi="Book Antiqua" w:cs="Arial"/>
        </w:rPr>
        <w:t xml:space="preserve">a) is likely to apply.  </w:t>
      </w:r>
    </w:p>
    <w:p w14:paraId="6577D9C3" w14:textId="77777777" w:rsidR="001E7CF4" w:rsidRPr="009E4D0C" w:rsidRDefault="001E7CF4" w:rsidP="001E7CF4">
      <w:pPr>
        <w:tabs>
          <w:tab w:val="left" w:pos="567"/>
        </w:tabs>
        <w:ind w:left="1134" w:right="1134"/>
        <w:jc w:val="both"/>
        <w:rPr>
          <w:rFonts w:ascii="Book Antiqua" w:hAnsi="Book Antiqua" w:cs="Arial"/>
        </w:rPr>
      </w:pPr>
      <w:r w:rsidRPr="009E4D0C">
        <w:rPr>
          <w:rFonts w:ascii="Book Antiqua" w:hAnsi="Book Antiqua" w:cs="Arial"/>
        </w:rPr>
        <w:t xml:space="preserve"> </w:t>
      </w:r>
    </w:p>
    <w:p w14:paraId="41E9FEFB" w14:textId="77777777" w:rsidR="001E7CF4" w:rsidRDefault="001E7CF4" w:rsidP="001E7CF4">
      <w:pPr>
        <w:tabs>
          <w:tab w:val="left" w:pos="567"/>
        </w:tabs>
        <w:ind w:left="1134" w:right="1134"/>
        <w:jc w:val="both"/>
        <w:rPr>
          <w:rFonts w:ascii="Book Antiqua" w:hAnsi="Book Antiqua" w:cs="Arial"/>
        </w:rPr>
      </w:pPr>
      <w:proofErr w:type="gramStart"/>
      <w:r w:rsidRPr="009E4D0C">
        <w:rPr>
          <w:rFonts w:ascii="Book Antiqua" w:hAnsi="Book Antiqua" w:cs="Arial"/>
        </w:rPr>
        <w:t>In particular circumstances</w:t>
      </w:r>
      <w:proofErr w:type="gramEnd"/>
      <w:r w:rsidRPr="009E4D0C">
        <w:rPr>
          <w:rFonts w:ascii="Book Antiqua" w:hAnsi="Book Antiqua" w:cs="Arial"/>
        </w:rPr>
        <w:t>, it may be appropriate to refuse to grant leave to a parent or primary carer where their conduct gives rise to public interest considerations of such weight as to justify their removal, where the British citizen child could remain in</w:t>
      </w:r>
      <w:r>
        <w:rPr>
          <w:rFonts w:ascii="Book Antiqua" w:hAnsi="Book Antiqua" w:cs="Arial"/>
        </w:rPr>
        <w:t xml:space="preserve"> </w:t>
      </w:r>
      <w:r w:rsidRPr="009E4D0C">
        <w:rPr>
          <w:rFonts w:ascii="Book Antiqua" w:hAnsi="Book Antiqua" w:cs="Arial"/>
        </w:rPr>
        <w:t xml:space="preserve">the UK with another parent or alternative primary carer, who is a British citizen or settled in the UK or who has or is being granted leave to remain. </w:t>
      </w:r>
    </w:p>
    <w:p w14:paraId="48E7C7AA" w14:textId="77777777" w:rsidR="001E7CF4" w:rsidRDefault="001E7CF4" w:rsidP="001E7CF4">
      <w:pPr>
        <w:tabs>
          <w:tab w:val="left" w:pos="567"/>
        </w:tabs>
        <w:ind w:left="1134" w:right="1134"/>
        <w:jc w:val="both"/>
        <w:rPr>
          <w:rFonts w:ascii="Book Antiqua" w:hAnsi="Book Antiqua" w:cs="Arial"/>
        </w:rPr>
      </w:pPr>
    </w:p>
    <w:p w14:paraId="7EE38E7C" w14:textId="77777777" w:rsidR="001E7CF4" w:rsidRPr="009E4D0C" w:rsidRDefault="001E7CF4" w:rsidP="001E7CF4">
      <w:pPr>
        <w:tabs>
          <w:tab w:val="left" w:pos="567"/>
        </w:tabs>
        <w:ind w:left="1134" w:right="1134"/>
        <w:jc w:val="both"/>
        <w:rPr>
          <w:rFonts w:ascii="Book Antiqua" w:hAnsi="Book Antiqua" w:cs="Arial"/>
        </w:rPr>
      </w:pPr>
      <w:r w:rsidRPr="009E4D0C">
        <w:rPr>
          <w:rFonts w:ascii="Book Antiqua" w:hAnsi="Book Antiqua" w:cs="Arial"/>
        </w:rPr>
        <w:t xml:space="preserve">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 </w:t>
      </w:r>
    </w:p>
    <w:p w14:paraId="7ADE210E" w14:textId="77777777" w:rsidR="001E7CF4" w:rsidRPr="009E4D0C" w:rsidRDefault="001E7CF4" w:rsidP="001E7CF4">
      <w:pPr>
        <w:tabs>
          <w:tab w:val="left" w:pos="567"/>
        </w:tabs>
        <w:ind w:left="1134" w:right="1134"/>
        <w:jc w:val="both"/>
        <w:rPr>
          <w:rFonts w:ascii="Book Antiqua" w:hAnsi="Book Antiqua" w:cs="Arial"/>
        </w:rPr>
      </w:pPr>
      <w:r w:rsidRPr="009E4D0C">
        <w:rPr>
          <w:rFonts w:ascii="Book Antiqua" w:hAnsi="Book Antiqua" w:cs="Arial"/>
        </w:rPr>
        <w:t xml:space="preserve"> </w:t>
      </w:r>
    </w:p>
    <w:p w14:paraId="36A71996" w14:textId="77777777" w:rsidR="001E7CF4" w:rsidRPr="009E4D0C" w:rsidRDefault="001E7CF4" w:rsidP="001E7CF4">
      <w:pPr>
        <w:tabs>
          <w:tab w:val="left" w:pos="567"/>
        </w:tabs>
        <w:ind w:left="1134" w:right="1134"/>
        <w:jc w:val="both"/>
        <w:rPr>
          <w:rFonts w:ascii="Book Antiqua" w:hAnsi="Book Antiqua" w:cs="Arial"/>
        </w:rPr>
      </w:pPr>
      <w:r w:rsidRPr="009E4D0C">
        <w:rPr>
          <w:rFonts w:ascii="Book Antiqua" w:hAnsi="Book Antiqua" w:cs="Arial"/>
        </w:rPr>
        <w:t xml:space="preserve">If the decision maker is minded </w:t>
      </w:r>
      <w:proofErr w:type="gramStart"/>
      <w:r w:rsidRPr="009E4D0C">
        <w:rPr>
          <w:rFonts w:ascii="Book Antiqua" w:hAnsi="Book Antiqua" w:cs="Arial"/>
        </w:rPr>
        <w:t>to refuse</w:t>
      </w:r>
      <w:proofErr w:type="gramEnd"/>
      <w:r w:rsidRPr="009E4D0C">
        <w:rPr>
          <w:rFonts w:ascii="Book Antiqua" w:hAnsi="Book Antiqua" w:cs="Arial"/>
        </w:rPr>
        <w:t xml:space="preserve"> an application in circumstances in which the applicant would then be separated from a child in the UK, this decision should normally be discussed with a senior caseworker. </w:t>
      </w:r>
    </w:p>
    <w:p w14:paraId="438D60F0" w14:textId="77777777" w:rsidR="001E7CF4" w:rsidRPr="009E4D0C" w:rsidRDefault="001E7CF4" w:rsidP="001E7CF4">
      <w:pPr>
        <w:tabs>
          <w:tab w:val="left" w:pos="567"/>
        </w:tabs>
        <w:ind w:left="1134" w:right="1134"/>
        <w:jc w:val="both"/>
        <w:rPr>
          <w:rFonts w:ascii="Book Antiqua" w:hAnsi="Book Antiqua" w:cs="Arial"/>
        </w:rPr>
      </w:pPr>
      <w:r w:rsidRPr="009E4D0C">
        <w:rPr>
          <w:rFonts w:ascii="Book Antiqua" w:hAnsi="Book Antiqua" w:cs="Arial"/>
        </w:rPr>
        <w:t xml:space="preserve"> </w:t>
      </w:r>
    </w:p>
    <w:p w14:paraId="21CCC20A" w14:textId="77777777" w:rsidR="001E7CF4" w:rsidRPr="00D30BB3" w:rsidRDefault="001E7CF4" w:rsidP="001E7CF4">
      <w:pPr>
        <w:tabs>
          <w:tab w:val="left" w:pos="567"/>
        </w:tabs>
        <w:ind w:left="1134" w:right="1134"/>
        <w:jc w:val="both"/>
        <w:rPr>
          <w:rFonts w:ascii="Book Antiqua" w:hAnsi="Book Antiqua" w:cs="Arial"/>
        </w:rPr>
      </w:pPr>
      <w:r w:rsidRPr="009E4D0C">
        <w:rPr>
          <w:rFonts w:ascii="Book Antiqua" w:hAnsi="Book Antiqua" w:cs="Arial"/>
        </w:rPr>
        <w:t>In every case, all the circumstances must be carefully considered in the round, with the best interests of the child constituting a primary (but not the only or paramount) consideration</w:t>
      </w:r>
      <w:r>
        <w:rPr>
          <w:rFonts w:ascii="Book Antiqua" w:hAnsi="Book Antiqua" w:cs="Arial"/>
        </w:rPr>
        <w:t>”</w:t>
      </w:r>
      <w:r w:rsidRPr="009E4D0C">
        <w:rPr>
          <w:rFonts w:ascii="Book Antiqua" w:hAnsi="Book Antiqua" w:cs="Arial"/>
        </w:rPr>
        <w:t>.</w:t>
      </w:r>
    </w:p>
    <w:p w14:paraId="473CADDC" w14:textId="77777777" w:rsidR="001E7CF4" w:rsidRDefault="001E7CF4" w:rsidP="001E7CF4">
      <w:pPr>
        <w:pStyle w:val="ListParagraph"/>
        <w:rPr>
          <w:rFonts w:ascii="Book Antiqua" w:hAnsi="Book Antiqua" w:cs="Arial"/>
        </w:rPr>
      </w:pPr>
    </w:p>
    <w:p w14:paraId="7DE69B8C" w14:textId="77777777" w:rsidR="001E7CF4" w:rsidRDefault="001E7CF4" w:rsidP="001E7CF4">
      <w:pPr>
        <w:tabs>
          <w:tab w:val="left" w:pos="567"/>
        </w:tabs>
        <w:ind w:left="567" w:right="567"/>
        <w:jc w:val="both"/>
        <w:rPr>
          <w:rFonts w:ascii="Book Antiqua" w:hAnsi="Book Antiqua" w:cs="Arial"/>
        </w:rPr>
      </w:pPr>
      <w:r>
        <w:rPr>
          <w:rFonts w:ascii="Book Antiqua" w:hAnsi="Book Antiqua" w:cs="Arial"/>
        </w:rPr>
        <w:t>This guidance very sensibly recognises reality: that if the Appellant were to be removed it is very likely that her young children would have to go with her.</w:t>
      </w:r>
    </w:p>
    <w:p w14:paraId="12EA46C5" w14:textId="77777777" w:rsidR="001E7CF4" w:rsidRDefault="001E7CF4" w:rsidP="001E7CF4">
      <w:pPr>
        <w:pStyle w:val="ListParagraph"/>
        <w:rPr>
          <w:rFonts w:ascii="Book Antiqua" w:hAnsi="Book Antiqua" w:cs="Arial"/>
        </w:rPr>
      </w:pPr>
    </w:p>
    <w:p w14:paraId="40A99F40" w14:textId="77777777" w:rsidR="001E7CF4" w:rsidRDefault="00707C4A" w:rsidP="001E7CF4">
      <w:pPr>
        <w:numPr>
          <w:ilvl w:val="0"/>
          <w:numId w:val="1"/>
        </w:numPr>
        <w:tabs>
          <w:tab w:val="left" w:pos="567"/>
        </w:tabs>
        <w:ind w:left="567" w:right="567"/>
        <w:jc w:val="both"/>
        <w:rPr>
          <w:rFonts w:ascii="Book Antiqua" w:hAnsi="Book Antiqua" w:cs="Arial"/>
        </w:rPr>
      </w:pPr>
      <w:r>
        <w:rPr>
          <w:rFonts w:ascii="Book Antiqua" w:hAnsi="Book Antiqua" w:cs="Arial"/>
        </w:rPr>
        <w:t xml:space="preserve">I therefore set the decision of the First-tier Tribunal aside insofar as it relates to human rights.  </w:t>
      </w:r>
    </w:p>
    <w:p w14:paraId="464F301E" w14:textId="77777777" w:rsidR="00707C4A" w:rsidRDefault="00707C4A" w:rsidP="00707C4A">
      <w:pPr>
        <w:tabs>
          <w:tab w:val="left" w:pos="567"/>
        </w:tabs>
        <w:ind w:left="567" w:right="567"/>
        <w:jc w:val="both"/>
        <w:rPr>
          <w:rFonts w:ascii="Book Antiqua" w:hAnsi="Book Antiqua" w:cs="Arial"/>
        </w:rPr>
      </w:pPr>
    </w:p>
    <w:p w14:paraId="66F5CEE1" w14:textId="77777777" w:rsidR="00707C4A" w:rsidRDefault="00707C4A" w:rsidP="001E7CF4">
      <w:pPr>
        <w:numPr>
          <w:ilvl w:val="0"/>
          <w:numId w:val="1"/>
        </w:numPr>
        <w:tabs>
          <w:tab w:val="left" w:pos="567"/>
        </w:tabs>
        <w:ind w:left="567" w:right="567"/>
        <w:jc w:val="both"/>
        <w:rPr>
          <w:rFonts w:ascii="Book Antiqua" w:hAnsi="Book Antiqua" w:cs="Arial"/>
        </w:rPr>
      </w:pPr>
      <w:r>
        <w:rPr>
          <w:rFonts w:ascii="Book Antiqua" w:hAnsi="Book Antiqua" w:cs="Arial"/>
        </w:rPr>
        <w:t xml:space="preserve">I remake the decision as follows. </w:t>
      </w:r>
    </w:p>
    <w:p w14:paraId="7F0E81B9" w14:textId="77777777" w:rsidR="00707C4A" w:rsidRDefault="00707C4A" w:rsidP="00707C4A">
      <w:pPr>
        <w:pStyle w:val="ListParagraph"/>
        <w:rPr>
          <w:rFonts w:ascii="Book Antiqua" w:hAnsi="Book Antiqua" w:cs="Arial"/>
        </w:rPr>
      </w:pPr>
    </w:p>
    <w:p w14:paraId="6A939D4D" w14:textId="77777777" w:rsidR="00707C4A" w:rsidRDefault="00707C4A" w:rsidP="001E7CF4">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first four </w:t>
      </w:r>
      <w:proofErr w:type="spellStart"/>
      <w:r w:rsidRPr="009E58D6">
        <w:rPr>
          <w:rFonts w:ascii="Book Antiqua" w:hAnsi="Book Antiqua" w:cs="Arial"/>
          <w:i/>
        </w:rPr>
        <w:t>Razgar</w:t>
      </w:r>
      <w:proofErr w:type="spellEnd"/>
      <w:r>
        <w:rPr>
          <w:rFonts w:ascii="Book Antiqua" w:hAnsi="Book Antiqua" w:cs="Arial"/>
        </w:rPr>
        <w:t xml:space="preserve"> questions are uncontentious:</w:t>
      </w:r>
    </w:p>
    <w:p w14:paraId="3C067FFE" w14:textId="77777777" w:rsidR="00707C4A" w:rsidRDefault="00707C4A" w:rsidP="00707C4A">
      <w:pPr>
        <w:pStyle w:val="ListParagraph"/>
        <w:rPr>
          <w:rFonts w:ascii="Book Antiqua" w:hAnsi="Book Antiqua" w:cs="Arial"/>
        </w:rPr>
      </w:pPr>
    </w:p>
    <w:p w14:paraId="60691820" w14:textId="77777777" w:rsidR="00707C4A" w:rsidRDefault="00707C4A" w:rsidP="00707C4A">
      <w:pPr>
        <w:numPr>
          <w:ilvl w:val="0"/>
          <w:numId w:val="34"/>
        </w:numPr>
        <w:tabs>
          <w:tab w:val="left" w:pos="567"/>
        </w:tabs>
        <w:ind w:right="567"/>
        <w:jc w:val="both"/>
        <w:rPr>
          <w:rFonts w:ascii="Book Antiqua" w:hAnsi="Book Antiqua" w:cs="Arial"/>
        </w:rPr>
      </w:pPr>
      <w:r>
        <w:rPr>
          <w:rFonts w:ascii="Book Antiqua" w:hAnsi="Book Antiqua" w:cs="Arial"/>
        </w:rPr>
        <w:t>It is accepted that the Appellant enjoys a family life in the UK with her husband and children;</w:t>
      </w:r>
    </w:p>
    <w:p w14:paraId="3ACF7032" w14:textId="77777777" w:rsidR="00707C4A" w:rsidRDefault="00707C4A" w:rsidP="00707C4A">
      <w:pPr>
        <w:tabs>
          <w:tab w:val="left" w:pos="567"/>
        </w:tabs>
        <w:ind w:left="2163" w:right="567"/>
        <w:jc w:val="both"/>
        <w:rPr>
          <w:rFonts w:ascii="Book Antiqua" w:hAnsi="Book Antiqua" w:cs="Arial"/>
        </w:rPr>
      </w:pPr>
    </w:p>
    <w:p w14:paraId="43100F92" w14:textId="77777777" w:rsidR="00707C4A" w:rsidRDefault="00707C4A" w:rsidP="00707C4A">
      <w:pPr>
        <w:numPr>
          <w:ilvl w:val="0"/>
          <w:numId w:val="34"/>
        </w:numPr>
        <w:tabs>
          <w:tab w:val="left" w:pos="567"/>
        </w:tabs>
        <w:ind w:right="567"/>
        <w:jc w:val="both"/>
        <w:rPr>
          <w:rFonts w:ascii="Book Antiqua" w:hAnsi="Book Antiqua" w:cs="Arial"/>
        </w:rPr>
      </w:pPr>
      <w:r>
        <w:rPr>
          <w:rFonts w:ascii="Book Antiqua" w:hAnsi="Book Antiqua" w:cs="Arial"/>
        </w:rPr>
        <w:t>The consequences of the decision to refuse her are of such consequence as to engage Article 8;</w:t>
      </w:r>
    </w:p>
    <w:p w14:paraId="5A3232F9" w14:textId="77777777" w:rsidR="00707C4A" w:rsidRDefault="00707C4A" w:rsidP="00707C4A">
      <w:pPr>
        <w:pStyle w:val="ListParagraph"/>
        <w:rPr>
          <w:rFonts w:ascii="Book Antiqua" w:hAnsi="Book Antiqua" w:cs="Arial"/>
        </w:rPr>
      </w:pPr>
    </w:p>
    <w:p w14:paraId="52DA599D" w14:textId="77777777" w:rsidR="00707C4A" w:rsidRDefault="00707C4A" w:rsidP="00707C4A">
      <w:pPr>
        <w:numPr>
          <w:ilvl w:val="0"/>
          <w:numId w:val="34"/>
        </w:numPr>
        <w:tabs>
          <w:tab w:val="left" w:pos="567"/>
        </w:tabs>
        <w:ind w:right="567"/>
        <w:jc w:val="both"/>
        <w:rPr>
          <w:rFonts w:ascii="Book Antiqua" w:hAnsi="Book Antiqua" w:cs="Arial"/>
        </w:rPr>
      </w:pPr>
      <w:r>
        <w:rPr>
          <w:rFonts w:ascii="Book Antiqua" w:hAnsi="Book Antiqua" w:cs="Arial"/>
        </w:rPr>
        <w:t>Any interference arising from this decision would be ‘in accordance with the law’ in that the Secretary of State has the power invested in him to make such decisions;</w:t>
      </w:r>
    </w:p>
    <w:p w14:paraId="1DACD01A" w14:textId="77777777" w:rsidR="00707C4A" w:rsidRDefault="00707C4A" w:rsidP="00707C4A">
      <w:pPr>
        <w:pStyle w:val="ListParagraph"/>
        <w:rPr>
          <w:rFonts w:ascii="Book Antiqua" w:hAnsi="Book Antiqua" w:cs="Arial"/>
        </w:rPr>
      </w:pPr>
    </w:p>
    <w:p w14:paraId="09B836C9" w14:textId="77777777" w:rsidR="00707C4A" w:rsidRDefault="00707C4A" w:rsidP="00707C4A">
      <w:pPr>
        <w:numPr>
          <w:ilvl w:val="0"/>
          <w:numId w:val="34"/>
        </w:numPr>
        <w:tabs>
          <w:tab w:val="left" w:pos="567"/>
        </w:tabs>
        <w:ind w:right="567"/>
        <w:jc w:val="both"/>
        <w:rPr>
          <w:rFonts w:ascii="Book Antiqua" w:hAnsi="Book Antiqua" w:cs="Arial"/>
        </w:rPr>
      </w:pPr>
      <w:r>
        <w:rPr>
          <w:rFonts w:ascii="Book Antiqua" w:hAnsi="Book Antiqua" w:cs="Arial"/>
        </w:rPr>
        <w:t>The decision is taken in pursuit of the legitimate Article 8(2) aim of protecting the economy</w:t>
      </w:r>
    </w:p>
    <w:p w14:paraId="7B1A7F7A" w14:textId="77777777" w:rsidR="00707C4A" w:rsidRDefault="00707C4A" w:rsidP="00707C4A">
      <w:pPr>
        <w:pStyle w:val="ListParagraph"/>
        <w:rPr>
          <w:rFonts w:ascii="Book Antiqua" w:hAnsi="Book Antiqua" w:cs="Arial"/>
        </w:rPr>
      </w:pPr>
    </w:p>
    <w:p w14:paraId="42996FF2" w14:textId="77777777" w:rsidR="00707C4A" w:rsidRPr="009E58D6" w:rsidRDefault="00707C4A" w:rsidP="009E58D6">
      <w:pPr>
        <w:numPr>
          <w:ilvl w:val="0"/>
          <w:numId w:val="1"/>
        </w:numPr>
        <w:tabs>
          <w:tab w:val="left" w:pos="567"/>
        </w:tabs>
        <w:ind w:left="567" w:right="567"/>
        <w:jc w:val="both"/>
        <w:rPr>
          <w:rFonts w:ascii="Book Antiqua" w:hAnsi="Book Antiqua" w:cs="Arial"/>
        </w:rPr>
      </w:pPr>
      <w:r>
        <w:rPr>
          <w:rFonts w:ascii="Book Antiqua" w:hAnsi="Book Antiqua" w:cs="Arial"/>
        </w:rPr>
        <w:t xml:space="preserve">I must therefore determine whether the decision to refuse to grant the </w:t>
      </w:r>
      <w:r w:rsidR="009E58D6" w:rsidRPr="009E58D6">
        <w:rPr>
          <w:rFonts w:ascii="Book Antiqua" w:hAnsi="Book Antiqua" w:cs="Arial"/>
        </w:rPr>
        <w:t>A</w:t>
      </w:r>
      <w:r w:rsidRPr="009E58D6">
        <w:rPr>
          <w:rFonts w:ascii="Book Antiqua" w:hAnsi="Book Antiqua" w:cs="Arial"/>
        </w:rPr>
        <w:t>ppellant leave to remain is proportionate. In my consideration of whether it is ‘reasonable’ to expect the Appellant’s British children to leave the UK (the operative question at s117</w:t>
      </w:r>
      <w:proofErr w:type="gramStart"/>
      <w:r w:rsidRPr="009E58D6">
        <w:rPr>
          <w:rFonts w:ascii="Book Antiqua" w:hAnsi="Book Antiqua" w:cs="Arial"/>
        </w:rPr>
        <w:t>B(</w:t>
      </w:r>
      <w:proofErr w:type="gramEnd"/>
      <w:r w:rsidRPr="009E58D6">
        <w:rPr>
          <w:rFonts w:ascii="Book Antiqua" w:hAnsi="Book Antiqua" w:cs="Arial"/>
        </w:rPr>
        <w:t xml:space="preserve">6)) I must have regard to all relevant factors, including the public interest as it is expressed at ss117B(1)-(5). </w:t>
      </w:r>
    </w:p>
    <w:p w14:paraId="13685DE0" w14:textId="77777777" w:rsidR="00707C4A" w:rsidRDefault="00707C4A" w:rsidP="00707C4A">
      <w:pPr>
        <w:tabs>
          <w:tab w:val="left" w:pos="567"/>
        </w:tabs>
        <w:ind w:left="567" w:right="567"/>
        <w:jc w:val="both"/>
        <w:rPr>
          <w:rFonts w:ascii="Book Antiqua" w:hAnsi="Book Antiqua" w:cs="Arial"/>
        </w:rPr>
      </w:pPr>
    </w:p>
    <w:p w14:paraId="25E60E61" w14:textId="77777777" w:rsidR="00707C4A" w:rsidRDefault="00707C4A" w:rsidP="001E7CF4">
      <w:pPr>
        <w:numPr>
          <w:ilvl w:val="0"/>
          <w:numId w:val="1"/>
        </w:numPr>
        <w:tabs>
          <w:tab w:val="left" w:pos="567"/>
        </w:tabs>
        <w:ind w:left="567" w:right="567"/>
        <w:jc w:val="both"/>
        <w:rPr>
          <w:rFonts w:ascii="Book Antiqua" w:hAnsi="Book Antiqua" w:cs="Arial"/>
        </w:rPr>
      </w:pPr>
      <w:r>
        <w:rPr>
          <w:rFonts w:ascii="Book Antiqua" w:hAnsi="Book Antiqua" w:cs="Arial"/>
        </w:rPr>
        <w:t xml:space="preserve">I recognise that the maintenance of immigration control is in the public interest, and that the Appellant entered this country illegally.  I bear in mind that the Appellant cannot speak English to any degree of fluency, or at least I have no indication that she is able to. That persons who seek leave to remain speak English is in the public interest because it better facilitates their integration. I have been provided with no evidence to demonstrate that the Appellant is financially independent, and on that </w:t>
      </w:r>
      <w:proofErr w:type="gramStart"/>
      <w:r>
        <w:rPr>
          <w:rFonts w:ascii="Book Antiqua" w:hAnsi="Book Antiqua" w:cs="Arial"/>
        </w:rPr>
        <w:t>basis</w:t>
      </w:r>
      <w:proofErr w:type="gramEnd"/>
      <w:r>
        <w:rPr>
          <w:rFonts w:ascii="Book Antiqua" w:hAnsi="Book Antiqua" w:cs="Arial"/>
        </w:rPr>
        <w:t xml:space="preserve"> I assume that she isn’t. It is in the public interest that persons who seek to remain in the UK are financially independent. </w:t>
      </w:r>
      <w:proofErr w:type="gramStart"/>
      <w:r w:rsidR="009438CF">
        <w:rPr>
          <w:rFonts w:ascii="Book Antiqua" w:hAnsi="Book Antiqua" w:cs="Arial"/>
        </w:rPr>
        <w:t>All of these</w:t>
      </w:r>
      <w:proofErr w:type="gramEnd"/>
      <w:r w:rsidR="009438CF">
        <w:rPr>
          <w:rFonts w:ascii="Book Antiqua" w:hAnsi="Book Antiqua" w:cs="Arial"/>
        </w:rPr>
        <w:t xml:space="preserve"> matters weigh against the Appellant.</w:t>
      </w:r>
      <w:r>
        <w:rPr>
          <w:rFonts w:ascii="Book Antiqua" w:hAnsi="Book Antiqua" w:cs="Arial"/>
        </w:rPr>
        <w:t xml:space="preserve"> I note that </w:t>
      </w:r>
      <w:r w:rsidR="009E58D6">
        <w:rPr>
          <w:rFonts w:ascii="Book Antiqua" w:hAnsi="Book Antiqua" w:cs="Arial"/>
        </w:rPr>
        <w:t>s117B(4)(b) is of no application since the Appellant and her husband largely formed their relationship outside of this country.  It is in any event not applicable to her relationship with the children.</w:t>
      </w:r>
    </w:p>
    <w:p w14:paraId="05C254F7" w14:textId="77777777" w:rsidR="00707C4A" w:rsidRDefault="00707C4A" w:rsidP="00707C4A">
      <w:pPr>
        <w:pStyle w:val="ListParagraph"/>
        <w:rPr>
          <w:rFonts w:ascii="Book Antiqua" w:hAnsi="Book Antiqua" w:cs="Arial"/>
        </w:rPr>
      </w:pPr>
    </w:p>
    <w:p w14:paraId="0B424447" w14:textId="77777777" w:rsidR="00707C4A" w:rsidRPr="009E58D6" w:rsidRDefault="009E58D6" w:rsidP="009E58D6">
      <w:pPr>
        <w:numPr>
          <w:ilvl w:val="0"/>
          <w:numId w:val="1"/>
        </w:numPr>
        <w:tabs>
          <w:tab w:val="left" w:pos="567"/>
        </w:tabs>
        <w:ind w:left="567" w:right="567"/>
        <w:jc w:val="both"/>
        <w:rPr>
          <w:rFonts w:ascii="Book Antiqua" w:hAnsi="Book Antiqua" w:cs="Arial"/>
        </w:rPr>
      </w:pPr>
      <w:r>
        <w:rPr>
          <w:rFonts w:ascii="Book Antiqua" w:hAnsi="Book Antiqua" w:cs="Arial"/>
        </w:rPr>
        <w:t xml:space="preserve">In my assessment of whether it is ‘reasonable’ to expect the British children in this family to go to the IKR with their mother I bear in mind the clear terms of the Respondent’s policy. I direct myself that although the Tribunal is not bound by statements of policy made by the Secretary of State, they are a weighty factor to be </w:t>
      </w:r>
      <w:proofErr w:type="gramStart"/>
      <w:r>
        <w:rPr>
          <w:rFonts w:ascii="Book Antiqua" w:hAnsi="Book Antiqua" w:cs="Arial"/>
        </w:rPr>
        <w:t>taken into account</w:t>
      </w:r>
      <w:proofErr w:type="gramEnd"/>
      <w:r>
        <w:rPr>
          <w:rFonts w:ascii="Book Antiqua" w:hAnsi="Book Antiqua" w:cs="Arial"/>
        </w:rPr>
        <w:t xml:space="preserve"> when assessing proportionality: </w:t>
      </w:r>
      <w:r w:rsidR="00707C4A" w:rsidRPr="009E58D6">
        <w:rPr>
          <w:rFonts w:ascii="Book Antiqua" w:hAnsi="Book Antiqua" w:cs="Arial"/>
          <w:color w:val="0B0C0C"/>
          <w:u w:val="single"/>
        </w:rPr>
        <w:t>SF and others (Guidance, post-2014 Act</w:t>
      </w:r>
      <w:r w:rsidR="00707C4A" w:rsidRPr="009E58D6">
        <w:rPr>
          <w:rFonts w:ascii="Book Antiqua" w:hAnsi="Book Antiqua" w:cs="Arial"/>
          <w:color w:val="0B0C0C"/>
        </w:rPr>
        <w:t>) Albania [2017] UKUT 00120(IAC)</w:t>
      </w:r>
      <w:r>
        <w:rPr>
          <w:rFonts w:ascii="Book Antiqua" w:hAnsi="Book Antiqua" w:cs="Arial"/>
          <w:color w:val="0B0C0C"/>
        </w:rPr>
        <w:t xml:space="preserve">.  I find that there are no reasons why the Appellant and her children should not be given the benefit of that policy. She has not been convicted of any criminal offences, and I am not satisfied that one failed asylum claim renders her a serious or serial immigration offender such that a family split would be justified.   Having considered </w:t>
      </w:r>
      <w:proofErr w:type="gramStart"/>
      <w:r>
        <w:rPr>
          <w:rFonts w:ascii="Book Antiqua" w:hAnsi="Book Antiqua" w:cs="Arial"/>
          <w:color w:val="0B0C0C"/>
        </w:rPr>
        <w:t>all of</w:t>
      </w:r>
      <w:proofErr w:type="gramEnd"/>
      <w:r>
        <w:rPr>
          <w:rFonts w:ascii="Book Antiqua" w:hAnsi="Book Antiqua" w:cs="Arial"/>
          <w:color w:val="0B0C0C"/>
        </w:rPr>
        <w:t xml:space="preserve"> those factors I am satisfied that it would not be reasonable to expect the Appellant’s children to leave the UK.</w:t>
      </w:r>
      <w:r w:rsidR="009438CF">
        <w:rPr>
          <w:rFonts w:ascii="Book Antiqua" w:hAnsi="Book Antiqua" w:cs="Arial"/>
          <w:color w:val="0B0C0C"/>
        </w:rPr>
        <w:t xml:space="preserve"> Applying the guidance in </w:t>
      </w:r>
      <w:r w:rsidR="009438CF" w:rsidRPr="009438CF">
        <w:rPr>
          <w:rFonts w:ascii="Book Antiqua" w:hAnsi="Book Antiqua" w:cs="Arial"/>
          <w:color w:val="0B0C0C"/>
          <w:u w:val="single"/>
        </w:rPr>
        <w:t>MA (Pakistan</w:t>
      </w:r>
      <w:r w:rsidR="009438CF">
        <w:rPr>
          <w:rFonts w:ascii="Book Antiqua" w:hAnsi="Book Antiqua" w:cs="Arial"/>
          <w:color w:val="0B0C0C"/>
        </w:rPr>
        <w:t>) about the effect of that finding, I allow the appeal.</w:t>
      </w:r>
    </w:p>
    <w:p w14:paraId="08420248" w14:textId="77777777" w:rsidR="009E58D6" w:rsidRDefault="009E58D6" w:rsidP="009E58D6">
      <w:pPr>
        <w:pStyle w:val="ListParagraph"/>
        <w:rPr>
          <w:rFonts w:ascii="Book Antiqua" w:hAnsi="Book Antiqua" w:cs="Arial"/>
        </w:rPr>
      </w:pPr>
    </w:p>
    <w:p w14:paraId="675E3741" w14:textId="77777777" w:rsidR="009E58D6" w:rsidRDefault="009E58D6" w:rsidP="009E58D6">
      <w:pPr>
        <w:tabs>
          <w:tab w:val="left" w:pos="567"/>
        </w:tabs>
        <w:ind w:left="567" w:right="567"/>
        <w:jc w:val="both"/>
        <w:rPr>
          <w:rFonts w:ascii="Book Antiqua" w:hAnsi="Book Antiqua" w:cs="Arial"/>
        </w:rPr>
      </w:pPr>
    </w:p>
    <w:p w14:paraId="247AB42C" w14:textId="77777777" w:rsidR="009E58D6" w:rsidRPr="009E58D6" w:rsidRDefault="009E58D6" w:rsidP="009E58D6">
      <w:pPr>
        <w:tabs>
          <w:tab w:val="left" w:pos="567"/>
        </w:tabs>
        <w:ind w:left="567" w:right="567"/>
        <w:jc w:val="both"/>
        <w:rPr>
          <w:rFonts w:ascii="Book Antiqua" w:hAnsi="Book Antiqua" w:cs="Arial"/>
          <w:b/>
        </w:rPr>
      </w:pPr>
      <w:r w:rsidRPr="009E58D6">
        <w:rPr>
          <w:rFonts w:ascii="Book Antiqua" w:hAnsi="Book Antiqua" w:cs="Arial"/>
          <w:b/>
        </w:rPr>
        <w:t>Coda</w:t>
      </w:r>
    </w:p>
    <w:p w14:paraId="125EC39E" w14:textId="77777777" w:rsidR="009E58D6" w:rsidRDefault="009E58D6" w:rsidP="009E58D6">
      <w:pPr>
        <w:pStyle w:val="ListParagraph"/>
        <w:rPr>
          <w:rFonts w:ascii="Book Antiqua" w:hAnsi="Book Antiqua" w:cs="Arial"/>
        </w:rPr>
      </w:pPr>
    </w:p>
    <w:p w14:paraId="588350C0" w14:textId="77777777" w:rsidR="009E58D6" w:rsidRDefault="009E58D6" w:rsidP="009E58D6">
      <w:pPr>
        <w:numPr>
          <w:ilvl w:val="0"/>
          <w:numId w:val="1"/>
        </w:numPr>
        <w:tabs>
          <w:tab w:val="left" w:pos="567"/>
        </w:tabs>
        <w:ind w:left="567" w:right="567"/>
        <w:jc w:val="both"/>
        <w:rPr>
          <w:rFonts w:ascii="Book Antiqua" w:hAnsi="Book Antiqua" w:cs="Arial"/>
        </w:rPr>
      </w:pPr>
      <w:r>
        <w:rPr>
          <w:rFonts w:ascii="Book Antiqua" w:hAnsi="Book Antiqua" w:cs="Arial"/>
        </w:rPr>
        <w:t xml:space="preserve">The decision on protection was not challenged in the grounds of appeal, and so it was not appropriate for this Tribunal to interfere with those findings. I am </w:t>
      </w:r>
      <w:bookmarkStart w:id="0" w:name="_GoBack"/>
      <w:bookmarkEnd w:id="0"/>
      <w:r>
        <w:rPr>
          <w:rFonts w:ascii="Book Antiqua" w:hAnsi="Book Antiqua" w:cs="Arial"/>
        </w:rPr>
        <w:t>however bound to say that had those findings been challenged I would have had little hesitation in setting them aside. The Tribunal accepted that this Appellant is a family court lawyer. It found her evidence to be detailed and credible. It then, for little apparent reason, rejected the core of her claim, namely that she was being threatened by her client’s husband. The reasons given at paragraph 39 of the determination are not good ones. Properly analysed, they amount to rejecting her claim because it might not be true.</w:t>
      </w:r>
      <w:r w:rsidR="0037562F">
        <w:rPr>
          <w:rFonts w:ascii="Book Antiqua" w:hAnsi="Book Antiqua" w:cs="Arial"/>
        </w:rPr>
        <w:t xml:space="preserve">  Having read the Appellant’s </w:t>
      </w:r>
      <w:proofErr w:type="gramStart"/>
      <w:r w:rsidR="0037562F">
        <w:rPr>
          <w:rFonts w:ascii="Book Antiqua" w:hAnsi="Book Antiqua" w:cs="Arial"/>
        </w:rPr>
        <w:t>evidence</w:t>
      </w:r>
      <w:proofErr w:type="gramEnd"/>
      <w:r w:rsidR="0037562F">
        <w:rPr>
          <w:rFonts w:ascii="Book Antiqua" w:hAnsi="Book Antiqua" w:cs="Arial"/>
        </w:rPr>
        <w:t xml:space="preserve"> myself I could find no sustainable reason to reject it, applying the lower standard of proof. The fact that her colleagues at court described her difficulties as “social problems” is not, to my </w:t>
      </w:r>
      <w:r w:rsidR="002E1341">
        <w:rPr>
          <w:rFonts w:ascii="Book Antiqua" w:hAnsi="Book Antiqua" w:cs="Arial"/>
        </w:rPr>
        <w:t>mind, inconsistent</w:t>
      </w:r>
      <w:r w:rsidR="0037562F">
        <w:rPr>
          <w:rFonts w:ascii="Book Antiqua" w:hAnsi="Book Antiqua" w:cs="Arial"/>
        </w:rPr>
        <w:t xml:space="preserve"> with the account advanced.   The fact that the Appellant </w:t>
      </w:r>
      <w:r w:rsidR="0037562F" w:rsidRPr="0037562F">
        <w:rPr>
          <w:rFonts w:ascii="Book Antiqua" w:hAnsi="Book Antiqua" w:cs="Arial"/>
          <w:i/>
        </w:rPr>
        <w:t>might</w:t>
      </w:r>
      <w:r w:rsidR="0037562F">
        <w:rPr>
          <w:rFonts w:ascii="Book Antiqua" w:hAnsi="Book Antiqua" w:cs="Arial"/>
        </w:rPr>
        <w:t xml:space="preserve"> have climbed in the back of a lorry and made her way across Europe, whilst heavily pregnant, </w:t>
      </w:r>
      <w:proofErr w:type="gramStart"/>
      <w:r w:rsidR="0037562F">
        <w:rPr>
          <w:rFonts w:ascii="Book Antiqua" w:hAnsi="Book Antiqua" w:cs="Arial"/>
        </w:rPr>
        <w:t>in order to</w:t>
      </w:r>
      <w:proofErr w:type="gramEnd"/>
      <w:r w:rsidR="0037562F">
        <w:rPr>
          <w:rFonts w:ascii="Book Antiqua" w:hAnsi="Book Antiqua" w:cs="Arial"/>
        </w:rPr>
        <w:t xml:space="preserve"> avoid the restrictive entry clearance requirements is not logically a reason to reject the veracity of her claim. Were it so there would be little point in having these appeals, since everyone ‘might’ be lying.  The remaining reason, that the Tribunal found it incredible that the Appellant was not in touch with her husband, is difficult to understand given its earlier acceptance [at 34] that there was absolutely nothing to be gained in her feigning ignorance on this point.</w:t>
      </w:r>
    </w:p>
    <w:p w14:paraId="40BDB31C" w14:textId="77777777" w:rsidR="0037562F" w:rsidRDefault="0037562F" w:rsidP="0037562F">
      <w:pPr>
        <w:tabs>
          <w:tab w:val="left" w:pos="567"/>
        </w:tabs>
        <w:ind w:left="567" w:right="567"/>
        <w:jc w:val="both"/>
        <w:rPr>
          <w:rFonts w:ascii="Book Antiqua" w:hAnsi="Book Antiqua" w:cs="Arial"/>
        </w:rPr>
      </w:pPr>
    </w:p>
    <w:p w14:paraId="488D1F73" w14:textId="77777777" w:rsidR="00BF6B47" w:rsidRDefault="0037562F" w:rsidP="00BF6B47">
      <w:pPr>
        <w:numPr>
          <w:ilvl w:val="0"/>
          <w:numId w:val="1"/>
        </w:numPr>
        <w:tabs>
          <w:tab w:val="left" w:pos="567"/>
        </w:tabs>
        <w:ind w:left="567" w:right="567"/>
        <w:jc w:val="both"/>
        <w:rPr>
          <w:rFonts w:ascii="Book Antiqua" w:hAnsi="Book Antiqua" w:cs="Arial"/>
        </w:rPr>
      </w:pPr>
      <w:r>
        <w:rPr>
          <w:rFonts w:ascii="Book Antiqua" w:hAnsi="Book Antiqua" w:cs="Arial"/>
        </w:rPr>
        <w:t xml:space="preserve">I am </w:t>
      </w:r>
      <w:r w:rsidR="009438CF">
        <w:rPr>
          <w:rFonts w:ascii="Book Antiqua" w:hAnsi="Book Antiqua" w:cs="Arial"/>
        </w:rPr>
        <w:t>also bound to record</w:t>
      </w:r>
      <w:r>
        <w:rPr>
          <w:rFonts w:ascii="Book Antiqua" w:hAnsi="Book Antiqua" w:cs="Arial"/>
        </w:rPr>
        <w:t xml:space="preserve"> that the Tribunal’s finding that this case does not engage the Refugee Convention flies in the face of the jurisprudence as it has developed in the past thirty years. The Appellant is a woman taking legal action on behalf of other women</w:t>
      </w:r>
      <w:r w:rsidR="00BF6B47">
        <w:rPr>
          <w:rFonts w:ascii="Book Antiqua" w:hAnsi="Book Antiqua" w:cs="Arial"/>
        </w:rPr>
        <w:t>. She acts</w:t>
      </w:r>
      <w:r>
        <w:rPr>
          <w:rFonts w:ascii="Book Antiqua" w:hAnsi="Book Antiqua" w:cs="Arial"/>
        </w:rPr>
        <w:t xml:space="preserve"> against husbands in an extremely conservative patriarchal society, where</w:t>
      </w:r>
      <w:r w:rsidR="00BF6B47">
        <w:rPr>
          <w:rFonts w:ascii="Book Antiqua" w:hAnsi="Book Antiqua" w:cs="Arial"/>
        </w:rPr>
        <w:t xml:space="preserve"> the prevailing social norm</w:t>
      </w:r>
      <w:r>
        <w:rPr>
          <w:rFonts w:ascii="Book Antiqua" w:hAnsi="Book Antiqua" w:cs="Arial"/>
        </w:rPr>
        <w:t>s have strong roots in Kurdish tribalism.   The evidence was that this man perceived the attempted dissolution of his marriage to be an affront to his honour</w:t>
      </w:r>
      <w:r w:rsidR="00BF6B47">
        <w:rPr>
          <w:rFonts w:ascii="Book Antiqua" w:hAnsi="Book Antiqua" w:cs="Arial"/>
        </w:rPr>
        <w:t xml:space="preserve">, and to those traditions. The Respondent had no difficulty in accepting that the ‘convention reason’ in this case was imputed political opinion, and nor do I. </w:t>
      </w:r>
      <w:r>
        <w:rPr>
          <w:rFonts w:ascii="Book Antiqua" w:hAnsi="Book Antiqua" w:cs="Arial"/>
        </w:rPr>
        <w:t xml:space="preserve"> </w:t>
      </w:r>
      <w:r w:rsidR="00BF6B47">
        <w:rPr>
          <w:rFonts w:ascii="Book Antiqua" w:hAnsi="Book Antiqua" w:cs="Arial"/>
        </w:rPr>
        <w:t xml:space="preserve">The claim had to be assessed in its context: this was not the equivalent of a British lawyer being harassed by a disgruntled litigation opponent.   This was a woman seeking to defend other women in a way that was seen by the agent of persecution as being socially – </w:t>
      </w:r>
      <w:proofErr w:type="gramStart"/>
      <w:r w:rsidR="00BF6B47">
        <w:rPr>
          <w:rFonts w:ascii="Book Antiqua" w:hAnsi="Book Antiqua" w:cs="Arial"/>
        </w:rPr>
        <w:t>that is to say politically</w:t>
      </w:r>
      <w:proofErr w:type="gramEnd"/>
      <w:r w:rsidR="00BF6B47">
        <w:rPr>
          <w:rFonts w:ascii="Book Antiqua" w:hAnsi="Book Antiqua" w:cs="Arial"/>
        </w:rPr>
        <w:t xml:space="preserve"> -unacceptable.</w:t>
      </w:r>
    </w:p>
    <w:p w14:paraId="68FC564B" w14:textId="77777777" w:rsidR="00BF6B47" w:rsidRDefault="00BF6B47" w:rsidP="00BF6B47">
      <w:pPr>
        <w:tabs>
          <w:tab w:val="left" w:pos="567"/>
        </w:tabs>
        <w:ind w:left="567" w:right="567"/>
        <w:jc w:val="both"/>
        <w:rPr>
          <w:rFonts w:ascii="Book Antiqua" w:hAnsi="Book Antiqua" w:cs="Arial"/>
          <w:b/>
        </w:rPr>
      </w:pPr>
    </w:p>
    <w:p w14:paraId="33875B15" w14:textId="77777777" w:rsidR="00BF6B47" w:rsidRDefault="00BF6B47" w:rsidP="00BF6B47">
      <w:pPr>
        <w:tabs>
          <w:tab w:val="left" w:pos="567"/>
        </w:tabs>
        <w:ind w:left="567" w:right="567"/>
        <w:jc w:val="both"/>
        <w:rPr>
          <w:rFonts w:ascii="Book Antiqua" w:hAnsi="Book Antiqua" w:cs="Arial"/>
          <w:b/>
        </w:rPr>
      </w:pPr>
    </w:p>
    <w:p w14:paraId="6ABDF451" w14:textId="77777777" w:rsidR="00BF6B47" w:rsidRPr="00077465" w:rsidRDefault="00BF6B47" w:rsidP="00BF6B47">
      <w:pPr>
        <w:tabs>
          <w:tab w:val="left" w:pos="567"/>
        </w:tabs>
        <w:ind w:left="567" w:right="567"/>
        <w:jc w:val="both"/>
        <w:rPr>
          <w:rFonts w:ascii="Book Antiqua" w:hAnsi="Book Antiqua" w:cs="Arial"/>
          <w:b/>
        </w:rPr>
      </w:pPr>
      <w:r w:rsidRPr="00077465">
        <w:rPr>
          <w:rFonts w:ascii="Book Antiqua" w:hAnsi="Book Antiqua" w:cs="Arial"/>
          <w:b/>
        </w:rPr>
        <w:t>Anonymity Order</w:t>
      </w:r>
    </w:p>
    <w:p w14:paraId="1452B067" w14:textId="77777777" w:rsidR="00BF6B47" w:rsidRDefault="00BF6B47" w:rsidP="00BF6B47">
      <w:pPr>
        <w:pStyle w:val="ListParagraph"/>
        <w:rPr>
          <w:rFonts w:ascii="Book Antiqua" w:hAnsi="Book Antiqua" w:cs="Arial"/>
        </w:rPr>
      </w:pPr>
    </w:p>
    <w:p w14:paraId="43462540" w14:textId="77777777" w:rsidR="00BF6B47" w:rsidRPr="00742C45" w:rsidRDefault="00BF6B47" w:rsidP="00BF6B47">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This appeal concerns the human rights of minors. </w:t>
      </w:r>
      <w:r w:rsidRPr="00742C45">
        <w:rPr>
          <w:rFonts w:ascii="Book Antiqua" w:hAnsi="Book Antiqua" w:cs="Arial"/>
        </w:rPr>
        <w:t xml:space="preserve">Having had regard to Rule 14 of the Tribunal Procedure (Upper Tribunal) Rules 2008 and the Presidential Guidance Note No 1 of 2013: Anonymity Orders I therefore consider it appropriate to make an order in the following terms: </w:t>
      </w:r>
    </w:p>
    <w:p w14:paraId="750FED2D" w14:textId="77777777" w:rsidR="00BF6B47" w:rsidRDefault="00BF6B47" w:rsidP="00BF6B47">
      <w:pPr>
        <w:ind w:left="1080" w:right="1134"/>
        <w:jc w:val="both"/>
        <w:rPr>
          <w:rFonts w:ascii="Book Antiqua" w:hAnsi="Book Antiqua" w:cs="Arial"/>
        </w:rPr>
      </w:pPr>
    </w:p>
    <w:p w14:paraId="7F0ACAE2" w14:textId="77777777" w:rsidR="00BF6B47" w:rsidRPr="00A011FA" w:rsidRDefault="00BF6B47" w:rsidP="00BF6B47">
      <w:pPr>
        <w:ind w:left="1080" w:right="1134"/>
        <w:jc w:val="both"/>
        <w:rPr>
          <w:rFonts w:ascii="Book Antiqua" w:hAnsi="Book Antiqua"/>
        </w:rPr>
      </w:pPr>
      <w:r>
        <w:rPr>
          <w:rFonts w:ascii="Book Antiqua" w:hAnsi="Book Antiqua"/>
        </w:rPr>
        <w:lastRenderedPageBreak/>
        <w:t xml:space="preserve"> “</w:t>
      </w:r>
      <w:r w:rsidRPr="00A011FA">
        <w:rPr>
          <w:rFonts w:ascii="Book Antiqua" w:hAnsi="Book Antiqua"/>
        </w:rPr>
        <w:t>Unless and until a tribunal or court directs otherwise, the</w:t>
      </w:r>
      <w:r>
        <w:rPr>
          <w:rFonts w:ascii="Book Antiqua" w:hAnsi="Book Antiqua"/>
        </w:rPr>
        <w:t xml:space="preserve"> Appellant is</w:t>
      </w:r>
      <w:r w:rsidRPr="00A011FA">
        <w:rPr>
          <w:rFonts w:ascii="Book Antiqua" w:hAnsi="Book Antiqua"/>
        </w:rPr>
        <w:t xml:space="preserve"> granted anonymity.  No report of these proceedings shall directly or indirectly ide</w:t>
      </w:r>
      <w:r>
        <w:rPr>
          <w:rFonts w:ascii="Book Antiqua" w:hAnsi="Book Antiqua"/>
        </w:rPr>
        <w:t>ntify her or any member of her</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14:paraId="5C1643E6" w14:textId="77777777" w:rsidR="00BF6B47" w:rsidRPr="00BF6B47" w:rsidRDefault="00BF6B47" w:rsidP="00BF6B47">
      <w:pPr>
        <w:tabs>
          <w:tab w:val="left" w:pos="567"/>
        </w:tabs>
        <w:ind w:right="567"/>
        <w:jc w:val="both"/>
        <w:rPr>
          <w:rFonts w:ascii="Book Antiqua" w:hAnsi="Book Antiqua" w:cs="Arial"/>
        </w:rPr>
      </w:pPr>
    </w:p>
    <w:p w14:paraId="5D37BBE0" w14:textId="77777777" w:rsidR="00BF6B47" w:rsidRDefault="00BF6B47" w:rsidP="00BF6B47">
      <w:pPr>
        <w:pStyle w:val="ListParagraph"/>
        <w:rPr>
          <w:rFonts w:ascii="Book Antiqua" w:hAnsi="Book Antiqua" w:cs="Arial"/>
        </w:rPr>
      </w:pPr>
    </w:p>
    <w:p w14:paraId="3E2F5ABD" w14:textId="77777777" w:rsidR="00BF6B47" w:rsidRPr="00377999" w:rsidRDefault="00BF6B47" w:rsidP="00BF6B47">
      <w:pPr>
        <w:tabs>
          <w:tab w:val="left" w:pos="567"/>
        </w:tabs>
        <w:ind w:left="567" w:right="567"/>
        <w:jc w:val="both"/>
        <w:rPr>
          <w:rFonts w:ascii="Book Antiqua" w:hAnsi="Book Antiqua" w:cs="Arial"/>
          <w:b/>
        </w:rPr>
      </w:pPr>
      <w:r w:rsidRPr="00377999">
        <w:rPr>
          <w:rFonts w:ascii="Book Antiqua" w:hAnsi="Book Antiqua" w:cs="Arial"/>
          <w:b/>
        </w:rPr>
        <w:t xml:space="preserve">Decisions </w:t>
      </w:r>
    </w:p>
    <w:p w14:paraId="39B8E0BF" w14:textId="77777777" w:rsidR="00BF6B47" w:rsidRDefault="00BF6B47" w:rsidP="00BF6B47">
      <w:pPr>
        <w:pStyle w:val="ListParagraph"/>
        <w:rPr>
          <w:rFonts w:ascii="Book Antiqua" w:hAnsi="Book Antiqua" w:cs="Arial"/>
        </w:rPr>
      </w:pPr>
    </w:p>
    <w:p w14:paraId="0492E24C" w14:textId="77777777" w:rsidR="00BF6B47" w:rsidRDefault="00B93485" w:rsidP="00BF6B47">
      <w:pPr>
        <w:numPr>
          <w:ilvl w:val="0"/>
          <w:numId w:val="1"/>
        </w:numPr>
        <w:tabs>
          <w:tab w:val="left" w:pos="567"/>
        </w:tabs>
        <w:ind w:left="567" w:right="567"/>
        <w:jc w:val="both"/>
        <w:rPr>
          <w:rFonts w:ascii="Book Antiqua" w:hAnsi="Book Antiqua" w:cs="Arial"/>
        </w:rPr>
      </w:pPr>
      <w:r w:rsidRPr="00BF6B47">
        <w:rPr>
          <w:rFonts w:ascii="Book Antiqua" w:hAnsi="Book Antiqua" w:cs="Arial"/>
        </w:rPr>
        <w:t>The decision of the First-tier Tribunal contains a</w:t>
      </w:r>
      <w:r w:rsidR="00377999" w:rsidRPr="00BF6B47">
        <w:rPr>
          <w:rFonts w:ascii="Book Antiqua" w:hAnsi="Book Antiqua" w:cs="Arial"/>
        </w:rPr>
        <w:t>n</w:t>
      </w:r>
      <w:r w:rsidRPr="00BF6B47">
        <w:rPr>
          <w:rFonts w:ascii="Book Antiqua" w:hAnsi="Book Antiqua" w:cs="Arial"/>
        </w:rPr>
        <w:t xml:space="preserve"> error of law such that the decision must be set aside</w:t>
      </w:r>
      <w:r w:rsidR="00377999" w:rsidRPr="00BF6B47">
        <w:rPr>
          <w:rFonts w:ascii="Book Antiqua" w:hAnsi="Book Antiqua" w:cs="Arial"/>
        </w:rPr>
        <w:t xml:space="preserve"> to the extent identified above</w:t>
      </w:r>
      <w:r w:rsidRPr="00BF6B47">
        <w:rPr>
          <w:rFonts w:ascii="Book Antiqua" w:hAnsi="Book Antiqua" w:cs="Arial"/>
        </w:rPr>
        <w:t>.</w:t>
      </w:r>
    </w:p>
    <w:p w14:paraId="12002819" w14:textId="77777777" w:rsidR="00BF6B47" w:rsidRDefault="00BF6B47" w:rsidP="00BF6B47">
      <w:pPr>
        <w:tabs>
          <w:tab w:val="left" w:pos="567"/>
        </w:tabs>
        <w:ind w:left="567" w:right="567"/>
        <w:jc w:val="both"/>
        <w:rPr>
          <w:rFonts w:ascii="Book Antiqua" w:hAnsi="Book Antiqua" w:cs="Arial"/>
        </w:rPr>
      </w:pPr>
    </w:p>
    <w:p w14:paraId="2B0EFA2F" w14:textId="77777777" w:rsidR="00BF6B47" w:rsidRDefault="00377999" w:rsidP="00BF6B47">
      <w:pPr>
        <w:numPr>
          <w:ilvl w:val="0"/>
          <w:numId w:val="1"/>
        </w:numPr>
        <w:tabs>
          <w:tab w:val="left" w:pos="567"/>
        </w:tabs>
        <w:ind w:left="567" w:right="567"/>
        <w:jc w:val="both"/>
        <w:rPr>
          <w:rFonts w:ascii="Book Antiqua" w:hAnsi="Book Antiqua" w:cs="Arial"/>
        </w:rPr>
      </w:pPr>
      <w:r w:rsidRPr="00BF6B47">
        <w:rPr>
          <w:rFonts w:ascii="Book Antiqua" w:hAnsi="Book Antiqua" w:cs="Arial"/>
        </w:rPr>
        <w:t>The decision in the appeal is remade as follows: the appeal is allowed on</w:t>
      </w:r>
      <w:r w:rsidR="00BF6B47">
        <w:rPr>
          <w:rFonts w:ascii="Book Antiqua" w:hAnsi="Book Antiqua" w:cs="Arial"/>
        </w:rPr>
        <w:t xml:space="preserve"> human rights </w:t>
      </w:r>
      <w:r w:rsidRPr="00BF6B47">
        <w:rPr>
          <w:rFonts w:ascii="Book Antiqua" w:hAnsi="Book Antiqua" w:cs="Arial"/>
        </w:rPr>
        <w:t>grounds.</w:t>
      </w:r>
    </w:p>
    <w:p w14:paraId="78A0B244" w14:textId="77777777" w:rsidR="00BF6B47" w:rsidRDefault="00BF6B47" w:rsidP="00BF6B47">
      <w:pPr>
        <w:pStyle w:val="ListParagraph"/>
        <w:rPr>
          <w:rFonts w:ascii="Book Antiqua" w:hAnsi="Book Antiqua" w:cs="Arial"/>
        </w:rPr>
      </w:pPr>
    </w:p>
    <w:p w14:paraId="47E3C8B3" w14:textId="77777777" w:rsidR="00B93485" w:rsidRPr="00BF6B47" w:rsidRDefault="00B93485" w:rsidP="00BF6B47">
      <w:pPr>
        <w:numPr>
          <w:ilvl w:val="0"/>
          <w:numId w:val="1"/>
        </w:numPr>
        <w:tabs>
          <w:tab w:val="left" w:pos="567"/>
        </w:tabs>
        <w:ind w:left="567" w:right="567"/>
        <w:jc w:val="both"/>
        <w:rPr>
          <w:rFonts w:ascii="Book Antiqua" w:hAnsi="Book Antiqua" w:cs="Arial"/>
        </w:rPr>
      </w:pPr>
      <w:r w:rsidRPr="00BF6B47">
        <w:rPr>
          <w:rFonts w:ascii="Book Antiqua" w:hAnsi="Book Antiqua" w:cs="Arial"/>
        </w:rPr>
        <w:t>There is an order for anonymity.</w:t>
      </w:r>
    </w:p>
    <w:p w14:paraId="08974762" w14:textId="77777777" w:rsidR="00F66F55" w:rsidRPr="00377999" w:rsidRDefault="005316D4" w:rsidP="00377999">
      <w:pPr>
        <w:tabs>
          <w:tab w:val="left" w:pos="567"/>
        </w:tabs>
        <w:ind w:right="567"/>
        <w:jc w:val="both"/>
        <w:rPr>
          <w:rFonts w:ascii="Book Antiqua" w:hAnsi="Book Antiqua" w:cs="Arial"/>
          <w:highlight w:val="cyan"/>
        </w:rPr>
      </w:pPr>
      <w:r>
        <w:rPr>
          <w:rFonts w:ascii="Book Antiqua" w:hAnsi="Book Antiqua" w:cs="Arial"/>
          <w:highlight w:val="cyan"/>
        </w:rPr>
        <w:t xml:space="preserve"> </w:t>
      </w:r>
    </w:p>
    <w:p w14:paraId="2E9A319A" w14:textId="77777777" w:rsidR="00F62C83" w:rsidRPr="00B1620C" w:rsidRDefault="00F62C83" w:rsidP="00F62C83">
      <w:pPr>
        <w:tabs>
          <w:tab w:val="left" w:pos="567"/>
        </w:tabs>
        <w:ind w:left="567" w:right="567"/>
        <w:jc w:val="both"/>
        <w:rPr>
          <w:rFonts w:ascii="Book Antiqua" w:hAnsi="Book Antiqua" w:cs="Arial"/>
        </w:rPr>
      </w:pPr>
    </w:p>
    <w:p w14:paraId="6C6DA0DB" w14:textId="77777777" w:rsidR="00F62C83" w:rsidRPr="00F62C83" w:rsidRDefault="00F62C83" w:rsidP="00F62C83">
      <w:pPr>
        <w:tabs>
          <w:tab w:val="left" w:pos="567"/>
        </w:tabs>
        <w:ind w:left="567" w:right="567"/>
        <w:jc w:val="both"/>
        <w:rPr>
          <w:rFonts w:ascii="Book Antiqua" w:hAnsi="Book Antiqua" w:cs="Arial"/>
          <w:highlight w:val="yellow"/>
        </w:rPr>
      </w:pPr>
    </w:p>
    <w:p w14:paraId="44C0EF70" w14:textId="77777777"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14:paraId="38AE7B86" w14:textId="77777777"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4A7171">
        <w:rPr>
          <w:rFonts w:ascii="Book Antiqua" w:hAnsi="Book Antiqua" w:cs="Arial"/>
        </w:rPr>
        <w:t xml:space="preserve">    </w:t>
      </w:r>
      <w:r w:rsidR="00BF6B47">
        <w:rPr>
          <w:rFonts w:ascii="Book Antiqua" w:hAnsi="Book Antiqua" w:cs="Arial"/>
        </w:rPr>
        <w:t>18</w:t>
      </w:r>
      <w:r w:rsidR="00BF6B47" w:rsidRPr="00BF6B47">
        <w:rPr>
          <w:rFonts w:ascii="Book Antiqua" w:hAnsi="Book Antiqua" w:cs="Arial"/>
          <w:vertAlign w:val="superscript"/>
        </w:rPr>
        <w:t>th</w:t>
      </w:r>
      <w:r w:rsidR="00BF6B47">
        <w:rPr>
          <w:rFonts w:ascii="Book Antiqua" w:hAnsi="Book Antiqua" w:cs="Arial"/>
        </w:rPr>
        <w:t xml:space="preserve"> </w:t>
      </w:r>
      <w:r w:rsidR="004A7171">
        <w:rPr>
          <w:rFonts w:ascii="Book Antiqua" w:hAnsi="Book Antiqua" w:cs="Arial"/>
        </w:rPr>
        <w:t xml:space="preserve">June </w:t>
      </w:r>
      <w:r w:rsidR="00846230">
        <w:rPr>
          <w:rFonts w:ascii="Book Antiqua" w:hAnsi="Book Antiqua" w:cs="Arial"/>
        </w:rPr>
        <w:t>2018</w:t>
      </w:r>
    </w:p>
    <w:p w14:paraId="18C5835F" w14:textId="77777777" w:rsidR="00135F51" w:rsidRDefault="00135F51" w:rsidP="008C6613">
      <w:pPr>
        <w:tabs>
          <w:tab w:val="left" w:pos="567"/>
        </w:tabs>
        <w:ind w:left="720"/>
        <w:jc w:val="center"/>
        <w:rPr>
          <w:rFonts w:ascii="Book Antiqua" w:hAnsi="Book Antiqua" w:cs="Arial"/>
        </w:rPr>
      </w:pPr>
    </w:p>
    <w:p w14:paraId="6C4D961F" w14:textId="77777777" w:rsidR="00135F51" w:rsidRDefault="00135F51" w:rsidP="008C6613">
      <w:pPr>
        <w:tabs>
          <w:tab w:val="left" w:pos="567"/>
        </w:tabs>
        <w:ind w:left="720"/>
        <w:jc w:val="center"/>
        <w:rPr>
          <w:rFonts w:ascii="Book Antiqua" w:hAnsi="Book Antiqua" w:cs="Arial"/>
        </w:rPr>
      </w:pPr>
    </w:p>
    <w:p w14:paraId="77850F75" w14:textId="77777777" w:rsidR="00135F51" w:rsidRDefault="00135F51" w:rsidP="008C6613">
      <w:pPr>
        <w:tabs>
          <w:tab w:val="left" w:pos="567"/>
        </w:tabs>
        <w:ind w:left="720"/>
        <w:jc w:val="center"/>
        <w:rPr>
          <w:rFonts w:ascii="Book Antiqua" w:hAnsi="Book Antiqua" w:cs="Arial"/>
        </w:rPr>
      </w:pPr>
    </w:p>
    <w:p w14:paraId="46AEE06F" w14:textId="77777777" w:rsidR="00135F51" w:rsidRPr="008C6613" w:rsidRDefault="00135F51" w:rsidP="008C6613">
      <w:pPr>
        <w:tabs>
          <w:tab w:val="left" w:pos="567"/>
        </w:tabs>
        <w:ind w:left="720"/>
        <w:jc w:val="center"/>
        <w:rPr>
          <w:rFonts w:ascii="Book Antiqua" w:hAnsi="Book Antiqua" w:cs="Arial"/>
        </w:rPr>
      </w:pPr>
    </w:p>
    <w:sectPr w:rsidR="00135F51" w:rsidRPr="008C6613" w:rsidSect="00AA1E61">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BB8B5" w14:textId="77777777" w:rsidR="006365B9" w:rsidRDefault="006365B9">
      <w:r>
        <w:separator/>
      </w:r>
    </w:p>
  </w:endnote>
  <w:endnote w:type="continuationSeparator" w:id="0">
    <w:p w14:paraId="73C83733" w14:textId="77777777" w:rsidR="006365B9" w:rsidRDefault="0063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Arial Unicode MS"/>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Unicode MS"/>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BC2C" w14:textId="158644BE" w:rsidR="00224A25" w:rsidRPr="00AA1E61" w:rsidRDefault="00224A25" w:rsidP="00256F9B">
    <w:pPr>
      <w:pStyle w:val="Footer"/>
      <w:jc w:val="center"/>
      <w:rPr>
        <w:rFonts w:ascii="Book Antiqua" w:hAnsi="Book Antiqua" w:cs="Arial"/>
      </w:rPr>
    </w:pPr>
    <w:r w:rsidRPr="00AA1E61">
      <w:rPr>
        <w:rStyle w:val="PageNumber"/>
        <w:rFonts w:ascii="Book Antiqua" w:hAnsi="Book Antiqua" w:cs="Arial"/>
      </w:rPr>
      <w:fldChar w:fldCharType="begin"/>
    </w:r>
    <w:r w:rsidRPr="00AA1E61">
      <w:rPr>
        <w:rStyle w:val="PageNumber"/>
        <w:rFonts w:ascii="Book Antiqua" w:hAnsi="Book Antiqua" w:cs="Arial"/>
      </w:rPr>
      <w:instrText xml:space="preserve"> PAGE </w:instrText>
    </w:r>
    <w:r w:rsidRPr="00AA1E61">
      <w:rPr>
        <w:rStyle w:val="PageNumber"/>
        <w:rFonts w:ascii="Book Antiqua" w:hAnsi="Book Antiqua" w:cs="Arial"/>
      </w:rPr>
      <w:fldChar w:fldCharType="separate"/>
    </w:r>
    <w:r w:rsidR="00B66B7F">
      <w:rPr>
        <w:rStyle w:val="PageNumber"/>
        <w:rFonts w:ascii="Book Antiqua" w:hAnsi="Book Antiqua" w:cs="Arial"/>
        <w:noProof/>
      </w:rPr>
      <w:t>10</w:t>
    </w:r>
    <w:r w:rsidRPr="00AA1E6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5E6B6" w14:textId="77777777" w:rsidR="00224A25" w:rsidRPr="00AA1E61" w:rsidRDefault="00224A25" w:rsidP="00256F9B">
    <w:pPr>
      <w:jc w:val="center"/>
      <w:rPr>
        <w:rFonts w:ascii="Book Antiqua" w:hAnsi="Book Antiqua" w:cs="Arial"/>
        <w:b/>
      </w:rPr>
    </w:pPr>
    <w:r w:rsidRPr="00AA1E61">
      <w:rPr>
        <w:rFonts w:ascii="Book Antiqua" w:hAnsi="Book Antiqua" w:cs="Arial"/>
        <w:b/>
        <w:spacing w:val="-6"/>
      </w:rPr>
      <w:t>©</w:t>
    </w:r>
    <w:r w:rsidRPr="00AA1E6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5514" w14:textId="77777777" w:rsidR="006365B9" w:rsidRDefault="006365B9">
      <w:r>
        <w:separator/>
      </w:r>
    </w:p>
  </w:footnote>
  <w:footnote w:type="continuationSeparator" w:id="0">
    <w:p w14:paraId="7FAD450F" w14:textId="77777777" w:rsidR="006365B9" w:rsidRDefault="00636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CBBB" w14:textId="46728C3F" w:rsidR="00224A25" w:rsidRPr="00AA1E61" w:rsidRDefault="009E58D6" w:rsidP="00865722">
    <w:pPr>
      <w:tabs>
        <w:tab w:val="right" w:pos="9720"/>
      </w:tabs>
      <w:ind w:right="-82"/>
      <w:rPr>
        <w:rFonts w:ascii="Book Antiqua" w:hAnsi="Book Antiqua" w:cs="Arial"/>
        <w:color w:val="000000"/>
        <w:sz w:val="16"/>
        <w:szCs w:val="16"/>
      </w:rPr>
    </w:pPr>
    <w:r>
      <w:rPr>
        <w:rFonts w:ascii="Book Antiqua" w:hAnsi="Book Antiqua" w:cs="Arial"/>
        <w:color w:val="000000"/>
        <w:sz w:val="20"/>
        <w:szCs w:val="20"/>
      </w:rPr>
      <w:tab/>
    </w:r>
    <w:r w:rsidR="00AA1E61" w:rsidRPr="00AA1E61">
      <w:rPr>
        <w:rFonts w:ascii="Book Antiqua" w:hAnsi="Book Antiqua" w:cs="Arial"/>
        <w:color w:val="000000"/>
        <w:sz w:val="16"/>
        <w:szCs w:val="16"/>
      </w:rPr>
      <w:t xml:space="preserve">Appeal Number: </w:t>
    </w:r>
    <w:r w:rsidR="00146F97" w:rsidRPr="00AA1E61">
      <w:rPr>
        <w:rFonts w:ascii="Book Antiqua" w:hAnsi="Book Antiqua" w:cs="Arial"/>
        <w:color w:val="000000"/>
        <w:sz w:val="16"/>
        <w:szCs w:val="16"/>
      </w:rPr>
      <w:t>PA/10883/2017</w:t>
    </w:r>
  </w:p>
  <w:p w14:paraId="6DE79854" w14:textId="77777777" w:rsidR="00224A25" w:rsidRPr="00AA1E61" w:rsidRDefault="00224A25" w:rsidP="00FE1BCE">
    <w:pPr>
      <w:pStyle w:val="Header"/>
      <w:rPr>
        <w:rFonts w:ascii="Book Antiqua" w:hAnsi="Book Antiqua"/>
        <w:sz w:val="16"/>
        <w:szCs w:val="16"/>
      </w:rPr>
    </w:pPr>
  </w:p>
  <w:p w14:paraId="68FAD1BC" w14:textId="77777777" w:rsidR="00224A25" w:rsidRPr="003C5CE5" w:rsidRDefault="00224A25"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9CC89" w14:textId="77777777" w:rsidR="00224A25" w:rsidRPr="00FE1BCE" w:rsidRDefault="00224A25"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14:paraId="564891D7" w14:textId="77777777" w:rsidR="00224A25" w:rsidRPr="00D25E1A" w:rsidRDefault="00224A25"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954211"/>
    <w:multiLevelType w:val="hybridMultilevel"/>
    <w:tmpl w:val="76B222BC"/>
    <w:lvl w:ilvl="0" w:tplc="470CFBB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4"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F2008"/>
    <w:multiLevelType w:val="hybridMultilevel"/>
    <w:tmpl w:val="C8BA10C6"/>
    <w:lvl w:ilvl="0" w:tplc="F1ECA7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9" w15:restartNumberingAfterBreak="0">
    <w:nsid w:val="2CA2044E"/>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3"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4"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403B655F"/>
    <w:multiLevelType w:val="hybridMultilevel"/>
    <w:tmpl w:val="97DA2F66"/>
    <w:lvl w:ilvl="0" w:tplc="33FCAA14">
      <w:start w:val="1"/>
      <w:numFmt w:val="decimal"/>
      <w:lvlText w:val="%1."/>
      <w:lvlJc w:val="left"/>
      <w:pPr>
        <w:tabs>
          <w:tab w:val="num" w:pos="567"/>
        </w:tabs>
        <w:ind w:left="567" w:hanging="567"/>
      </w:pPr>
      <w:rPr>
        <w:rFonts w:cs="Line Printer"/>
        <w:strike w:val="0"/>
        <w:dstrike w:val="0"/>
        <w:color w:val="auto"/>
        <w:u w:val="none"/>
        <w:effect w:val="no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7"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8" w15:restartNumberingAfterBreak="0">
    <w:nsid w:val="44634299"/>
    <w:multiLevelType w:val="hybridMultilevel"/>
    <w:tmpl w:val="8BDE6E26"/>
    <w:lvl w:ilvl="0" w:tplc="99665F9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90A1846"/>
    <w:multiLevelType w:val="multilevel"/>
    <w:tmpl w:val="E352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0019D9"/>
    <w:multiLevelType w:val="hybridMultilevel"/>
    <w:tmpl w:val="79B0E83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63271EBA"/>
    <w:multiLevelType w:val="hybridMultilevel"/>
    <w:tmpl w:val="D3D0931E"/>
    <w:lvl w:ilvl="0" w:tplc="B7CA4394">
      <w:start w:val="1"/>
      <w:numFmt w:val="lowerLetter"/>
      <w:lvlText w:val="%1)"/>
      <w:lvlJc w:val="left"/>
      <w:pPr>
        <w:ind w:left="3243" w:hanging="360"/>
      </w:pPr>
      <w:rPr>
        <w:rFonts w:hint="default"/>
      </w:rPr>
    </w:lvl>
    <w:lvl w:ilvl="1" w:tplc="08090019" w:tentative="1">
      <w:start w:val="1"/>
      <w:numFmt w:val="lowerLetter"/>
      <w:lvlText w:val="%2."/>
      <w:lvlJc w:val="left"/>
      <w:pPr>
        <w:ind w:left="3963" w:hanging="360"/>
      </w:pPr>
    </w:lvl>
    <w:lvl w:ilvl="2" w:tplc="0809001B" w:tentative="1">
      <w:start w:val="1"/>
      <w:numFmt w:val="lowerRoman"/>
      <w:lvlText w:val="%3."/>
      <w:lvlJc w:val="right"/>
      <w:pPr>
        <w:ind w:left="4683" w:hanging="180"/>
      </w:pPr>
    </w:lvl>
    <w:lvl w:ilvl="3" w:tplc="0809000F" w:tentative="1">
      <w:start w:val="1"/>
      <w:numFmt w:val="decimal"/>
      <w:lvlText w:val="%4."/>
      <w:lvlJc w:val="left"/>
      <w:pPr>
        <w:ind w:left="5403" w:hanging="360"/>
      </w:pPr>
    </w:lvl>
    <w:lvl w:ilvl="4" w:tplc="08090019" w:tentative="1">
      <w:start w:val="1"/>
      <w:numFmt w:val="lowerLetter"/>
      <w:lvlText w:val="%5."/>
      <w:lvlJc w:val="left"/>
      <w:pPr>
        <w:ind w:left="6123" w:hanging="360"/>
      </w:pPr>
    </w:lvl>
    <w:lvl w:ilvl="5" w:tplc="0809001B" w:tentative="1">
      <w:start w:val="1"/>
      <w:numFmt w:val="lowerRoman"/>
      <w:lvlText w:val="%6."/>
      <w:lvlJc w:val="right"/>
      <w:pPr>
        <w:ind w:left="6843" w:hanging="180"/>
      </w:pPr>
    </w:lvl>
    <w:lvl w:ilvl="6" w:tplc="0809000F" w:tentative="1">
      <w:start w:val="1"/>
      <w:numFmt w:val="decimal"/>
      <w:lvlText w:val="%7."/>
      <w:lvlJc w:val="left"/>
      <w:pPr>
        <w:ind w:left="7563" w:hanging="360"/>
      </w:pPr>
    </w:lvl>
    <w:lvl w:ilvl="7" w:tplc="08090019" w:tentative="1">
      <w:start w:val="1"/>
      <w:numFmt w:val="lowerLetter"/>
      <w:lvlText w:val="%8."/>
      <w:lvlJc w:val="left"/>
      <w:pPr>
        <w:ind w:left="8283" w:hanging="360"/>
      </w:pPr>
    </w:lvl>
    <w:lvl w:ilvl="8" w:tplc="0809001B" w:tentative="1">
      <w:start w:val="1"/>
      <w:numFmt w:val="lowerRoman"/>
      <w:lvlText w:val="%9."/>
      <w:lvlJc w:val="right"/>
      <w:pPr>
        <w:ind w:left="9003" w:hanging="180"/>
      </w:pPr>
    </w:lvl>
  </w:abstractNum>
  <w:abstractNum w:abstractNumId="25"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8"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9"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11"/>
  </w:num>
  <w:num w:numId="2">
    <w:abstractNumId w:val="27"/>
  </w:num>
  <w:num w:numId="3">
    <w:abstractNumId w:val="12"/>
  </w:num>
  <w:num w:numId="4">
    <w:abstractNumId w:val="17"/>
  </w:num>
  <w:num w:numId="5">
    <w:abstractNumId w:val="10"/>
  </w:num>
  <w:num w:numId="6">
    <w:abstractNumId w:val="29"/>
  </w:num>
  <w:num w:numId="7">
    <w:abstractNumId w:val="0"/>
  </w:num>
  <w:num w:numId="8">
    <w:abstractNumId w:val="6"/>
  </w:num>
  <w:num w:numId="9">
    <w:abstractNumId w:val="22"/>
  </w:num>
  <w:num w:numId="10">
    <w:abstractNumId w:val="25"/>
  </w:num>
  <w:num w:numId="11">
    <w:abstractNumId w:val="19"/>
  </w:num>
  <w:num w:numId="12">
    <w:abstractNumId w:val="28"/>
  </w:num>
  <w:num w:numId="13">
    <w:abstractNumId w:val="5"/>
  </w:num>
  <w:num w:numId="14">
    <w:abstractNumId w:val="13"/>
  </w:num>
  <w:num w:numId="15">
    <w:abstractNumId w:val="8"/>
  </w:num>
  <w:num w:numId="16">
    <w:abstractNumId w:val="3"/>
  </w:num>
  <w:num w:numId="17">
    <w:abstractNumId w:val="20"/>
  </w:num>
  <w:num w:numId="18">
    <w:abstractNumId w:val="14"/>
  </w:num>
  <w:num w:numId="19">
    <w:abstractNumId w:val="2"/>
  </w:num>
  <w:num w:numId="20">
    <w:abstractNumId w:val="26"/>
  </w:num>
  <w:num w:numId="21">
    <w:abstractNumId w:val="16"/>
  </w:num>
  <w:num w:numId="22">
    <w:abstractNumId w:val="4"/>
  </w:num>
  <w:num w:numId="23">
    <w:abstractNumId w:val="18"/>
  </w:num>
  <w:num w:numId="24">
    <w:abstractNumId w:val="7"/>
  </w:num>
  <w:num w:numId="25">
    <w:abstractNumId w:val="24"/>
  </w:num>
  <w:num w:numId="26">
    <w:abstractNumId w:val="23"/>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6"/>
    </w:lvlOverride>
  </w:num>
  <w:num w:numId="29">
    <w:abstractNumId w:val="21"/>
    <w:lvlOverride w:ilvl="0">
      <w:startOverride w:val="17"/>
    </w:lvlOverride>
  </w:num>
  <w:num w:numId="30">
    <w:abstractNumId w:val="21"/>
    <w:lvlOverride w:ilvl="0">
      <w:startOverride w:val="18"/>
    </w:lvlOverride>
  </w:num>
  <w:num w:numId="31">
    <w:abstractNumId w:val="21"/>
    <w:lvlOverride w:ilvl="0">
      <w:startOverride w:val="19"/>
    </w:lvlOverride>
  </w:num>
  <w:num w:numId="32">
    <w:abstractNumId w:val="21"/>
    <w:lvlOverride w:ilvl="0">
      <w:startOverride w:val="20"/>
    </w:lvlOverride>
  </w:num>
  <w:num w:numId="33">
    <w:abstractNumId w:val="9"/>
  </w:num>
  <w:num w:numId="3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6034"/>
    <w:rsid w:val="00016AFB"/>
    <w:rsid w:val="0001755E"/>
    <w:rsid w:val="00026010"/>
    <w:rsid w:val="000303CD"/>
    <w:rsid w:val="00030641"/>
    <w:rsid w:val="000306E4"/>
    <w:rsid w:val="00030A29"/>
    <w:rsid w:val="0003134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709A6"/>
    <w:rsid w:val="000724F8"/>
    <w:rsid w:val="00073049"/>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4723"/>
    <w:rsid w:val="000A48CD"/>
    <w:rsid w:val="000B62F5"/>
    <w:rsid w:val="000C2A47"/>
    <w:rsid w:val="000C4611"/>
    <w:rsid w:val="000C4C40"/>
    <w:rsid w:val="000E1274"/>
    <w:rsid w:val="000E2DE4"/>
    <w:rsid w:val="000F0936"/>
    <w:rsid w:val="000F53DF"/>
    <w:rsid w:val="00101EAC"/>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298F"/>
    <w:rsid w:val="0014562B"/>
    <w:rsid w:val="001463BD"/>
    <w:rsid w:val="00146F97"/>
    <w:rsid w:val="0014764F"/>
    <w:rsid w:val="00150B50"/>
    <w:rsid w:val="001515D9"/>
    <w:rsid w:val="001526BE"/>
    <w:rsid w:val="0015610E"/>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E7CF4"/>
    <w:rsid w:val="001F0771"/>
    <w:rsid w:val="001F1C8A"/>
    <w:rsid w:val="001F2745"/>
    <w:rsid w:val="001F2D22"/>
    <w:rsid w:val="001F5A49"/>
    <w:rsid w:val="00200B97"/>
    <w:rsid w:val="00201EDB"/>
    <w:rsid w:val="00202103"/>
    <w:rsid w:val="002022F5"/>
    <w:rsid w:val="00206BBA"/>
    <w:rsid w:val="0021355E"/>
    <w:rsid w:val="0021520B"/>
    <w:rsid w:val="00224A25"/>
    <w:rsid w:val="00230487"/>
    <w:rsid w:val="00233627"/>
    <w:rsid w:val="00234616"/>
    <w:rsid w:val="0023493B"/>
    <w:rsid w:val="00237E82"/>
    <w:rsid w:val="002438F7"/>
    <w:rsid w:val="00243C50"/>
    <w:rsid w:val="0024659B"/>
    <w:rsid w:val="00250646"/>
    <w:rsid w:val="0025455C"/>
    <w:rsid w:val="00254594"/>
    <w:rsid w:val="00256F9B"/>
    <w:rsid w:val="002600C6"/>
    <w:rsid w:val="002621B2"/>
    <w:rsid w:val="0026298A"/>
    <w:rsid w:val="002641D7"/>
    <w:rsid w:val="002648D3"/>
    <w:rsid w:val="00264B7B"/>
    <w:rsid w:val="00266A8E"/>
    <w:rsid w:val="00270B84"/>
    <w:rsid w:val="00270E3C"/>
    <w:rsid w:val="00271175"/>
    <w:rsid w:val="0029559E"/>
    <w:rsid w:val="002965A3"/>
    <w:rsid w:val="002A2EA9"/>
    <w:rsid w:val="002A363E"/>
    <w:rsid w:val="002A37A8"/>
    <w:rsid w:val="002A4453"/>
    <w:rsid w:val="002A75C1"/>
    <w:rsid w:val="002B4614"/>
    <w:rsid w:val="002B591E"/>
    <w:rsid w:val="002B5A2B"/>
    <w:rsid w:val="002B649D"/>
    <w:rsid w:val="002B781C"/>
    <w:rsid w:val="002C0DB8"/>
    <w:rsid w:val="002C0E62"/>
    <w:rsid w:val="002C30EF"/>
    <w:rsid w:val="002C3376"/>
    <w:rsid w:val="002C6905"/>
    <w:rsid w:val="002C703C"/>
    <w:rsid w:val="002D6068"/>
    <w:rsid w:val="002D7C57"/>
    <w:rsid w:val="002D7D6C"/>
    <w:rsid w:val="002E1341"/>
    <w:rsid w:val="002E3BAE"/>
    <w:rsid w:val="002E6B4A"/>
    <w:rsid w:val="002E6F61"/>
    <w:rsid w:val="002E6FC1"/>
    <w:rsid w:val="002F0807"/>
    <w:rsid w:val="002F0836"/>
    <w:rsid w:val="002F55FA"/>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7F8"/>
    <w:rsid w:val="00344E23"/>
    <w:rsid w:val="00346DB0"/>
    <w:rsid w:val="00347179"/>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7562F"/>
    <w:rsid w:val="00377999"/>
    <w:rsid w:val="00380BB4"/>
    <w:rsid w:val="003816CC"/>
    <w:rsid w:val="003839E0"/>
    <w:rsid w:val="003847A2"/>
    <w:rsid w:val="00385D5C"/>
    <w:rsid w:val="003874F8"/>
    <w:rsid w:val="0039024C"/>
    <w:rsid w:val="00390BCC"/>
    <w:rsid w:val="003950D6"/>
    <w:rsid w:val="00396522"/>
    <w:rsid w:val="00396E14"/>
    <w:rsid w:val="003A49D3"/>
    <w:rsid w:val="003A781E"/>
    <w:rsid w:val="003B04BA"/>
    <w:rsid w:val="003B1ADF"/>
    <w:rsid w:val="003B41AD"/>
    <w:rsid w:val="003C565F"/>
    <w:rsid w:val="003C5CE5"/>
    <w:rsid w:val="003C7807"/>
    <w:rsid w:val="003D0A31"/>
    <w:rsid w:val="003D0A9F"/>
    <w:rsid w:val="003D0CC1"/>
    <w:rsid w:val="003D49C9"/>
    <w:rsid w:val="003D6C95"/>
    <w:rsid w:val="003E0238"/>
    <w:rsid w:val="003E0433"/>
    <w:rsid w:val="003F1EF2"/>
    <w:rsid w:val="003F25C0"/>
    <w:rsid w:val="003F26D9"/>
    <w:rsid w:val="003F3816"/>
    <w:rsid w:val="003F3DCF"/>
    <w:rsid w:val="003F6281"/>
    <w:rsid w:val="003F796A"/>
    <w:rsid w:val="004055F5"/>
    <w:rsid w:val="00414BBF"/>
    <w:rsid w:val="00425740"/>
    <w:rsid w:val="00430F12"/>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4224"/>
    <w:rsid w:val="004A0A2C"/>
    <w:rsid w:val="004A1354"/>
    <w:rsid w:val="004A7171"/>
    <w:rsid w:val="004A735E"/>
    <w:rsid w:val="004C2070"/>
    <w:rsid w:val="004D12F7"/>
    <w:rsid w:val="004D34E4"/>
    <w:rsid w:val="004E180C"/>
    <w:rsid w:val="004E3787"/>
    <w:rsid w:val="004E43D8"/>
    <w:rsid w:val="004E5313"/>
    <w:rsid w:val="004F0D19"/>
    <w:rsid w:val="004F60D7"/>
    <w:rsid w:val="00500FFF"/>
    <w:rsid w:val="00503887"/>
    <w:rsid w:val="00503D82"/>
    <w:rsid w:val="00505059"/>
    <w:rsid w:val="0050522D"/>
    <w:rsid w:val="00505D89"/>
    <w:rsid w:val="00512E56"/>
    <w:rsid w:val="005136B9"/>
    <w:rsid w:val="005145ED"/>
    <w:rsid w:val="00515521"/>
    <w:rsid w:val="005156F2"/>
    <w:rsid w:val="00516791"/>
    <w:rsid w:val="00522D04"/>
    <w:rsid w:val="00523269"/>
    <w:rsid w:val="00524664"/>
    <w:rsid w:val="0052675F"/>
    <w:rsid w:val="005316D4"/>
    <w:rsid w:val="00533FBE"/>
    <w:rsid w:val="005371B6"/>
    <w:rsid w:val="00555309"/>
    <w:rsid w:val="00555389"/>
    <w:rsid w:val="00557D4B"/>
    <w:rsid w:val="00560249"/>
    <w:rsid w:val="00565414"/>
    <w:rsid w:val="0056622B"/>
    <w:rsid w:val="00570AF5"/>
    <w:rsid w:val="00575E25"/>
    <w:rsid w:val="0058247C"/>
    <w:rsid w:val="005856F3"/>
    <w:rsid w:val="0058575E"/>
    <w:rsid w:val="0058601E"/>
    <w:rsid w:val="005871F4"/>
    <w:rsid w:val="005925A3"/>
    <w:rsid w:val="0059261D"/>
    <w:rsid w:val="00592BE6"/>
    <w:rsid w:val="00593795"/>
    <w:rsid w:val="00593EE8"/>
    <w:rsid w:val="00594CEF"/>
    <w:rsid w:val="005A4826"/>
    <w:rsid w:val="005A7B23"/>
    <w:rsid w:val="005B5104"/>
    <w:rsid w:val="005B67E3"/>
    <w:rsid w:val="005B74F3"/>
    <w:rsid w:val="005B75C6"/>
    <w:rsid w:val="005C6730"/>
    <w:rsid w:val="005D3C8B"/>
    <w:rsid w:val="005D53CE"/>
    <w:rsid w:val="005E51B0"/>
    <w:rsid w:val="005F4182"/>
    <w:rsid w:val="005F69C1"/>
    <w:rsid w:val="00600892"/>
    <w:rsid w:val="0060242C"/>
    <w:rsid w:val="006033D6"/>
    <w:rsid w:val="00604B27"/>
    <w:rsid w:val="00604B2F"/>
    <w:rsid w:val="00611A62"/>
    <w:rsid w:val="00613BE2"/>
    <w:rsid w:val="00614229"/>
    <w:rsid w:val="00615376"/>
    <w:rsid w:val="006167D5"/>
    <w:rsid w:val="006170AF"/>
    <w:rsid w:val="006358B6"/>
    <w:rsid w:val="006365B9"/>
    <w:rsid w:val="00643514"/>
    <w:rsid w:val="00651814"/>
    <w:rsid w:val="006576AB"/>
    <w:rsid w:val="00662B43"/>
    <w:rsid w:val="00667A06"/>
    <w:rsid w:val="00674F18"/>
    <w:rsid w:val="00676D39"/>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1445"/>
    <w:rsid w:val="006E5178"/>
    <w:rsid w:val="006E555E"/>
    <w:rsid w:val="006E5F4A"/>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07C4A"/>
    <w:rsid w:val="007406E4"/>
    <w:rsid w:val="00742C45"/>
    <w:rsid w:val="007453E2"/>
    <w:rsid w:val="00750F16"/>
    <w:rsid w:val="007536DE"/>
    <w:rsid w:val="00756B08"/>
    <w:rsid w:val="007574AC"/>
    <w:rsid w:val="00760441"/>
    <w:rsid w:val="0076387F"/>
    <w:rsid w:val="00764A18"/>
    <w:rsid w:val="00765AD5"/>
    <w:rsid w:val="00766F15"/>
    <w:rsid w:val="0077136A"/>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6EC2"/>
    <w:rsid w:val="007D2AD0"/>
    <w:rsid w:val="007D2C89"/>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B48"/>
    <w:rsid w:val="00827F21"/>
    <w:rsid w:val="00835D03"/>
    <w:rsid w:val="00841009"/>
    <w:rsid w:val="00841C15"/>
    <w:rsid w:val="00842F69"/>
    <w:rsid w:val="00843020"/>
    <w:rsid w:val="00846230"/>
    <w:rsid w:val="00846D18"/>
    <w:rsid w:val="00847DAC"/>
    <w:rsid w:val="00850A1F"/>
    <w:rsid w:val="00853044"/>
    <w:rsid w:val="00857867"/>
    <w:rsid w:val="00862503"/>
    <w:rsid w:val="00863892"/>
    <w:rsid w:val="0086511A"/>
    <w:rsid w:val="00865602"/>
    <w:rsid w:val="00865722"/>
    <w:rsid w:val="00866E62"/>
    <w:rsid w:val="0087176C"/>
    <w:rsid w:val="00872C6C"/>
    <w:rsid w:val="00875182"/>
    <w:rsid w:val="00880492"/>
    <w:rsid w:val="00880E5A"/>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417D"/>
    <w:rsid w:val="008E7314"/>
    <w:rsid w:val="008F1984"/>
    <w:rsid w:val="00901ED1"/>
    <w:rsid w:val="0090357B"/>
    <w:rsid w:val="00903D7E"/>
    <w:rsid w:val="009041D9"/>
    <w:rsid w:val="00915989"/>
    <w:rsid w:val="00915E38"/>
    <w:rsid w:val="0093283E"/>
    <w:rsid w:val="00932CE3"/>
    <w:rsid w:val="00933003"/>
    <w:rsid w:val="009330F5"/>
    <w:rsid w:val="00933A6F"/>
    <w:rsid w:val="00940FF9"/>
    <w:rsid w:val="00941832"/>
    <w:rsid w:val="009438CF"/>
    <w:rsid w:val="009468E7"/>
    <w:rsid w:val="00946F89"/>
    <w:rsid w:val="009521DF"/>
    <w:rsid w:val="0096131A"/>
    <w:rsid w:val="00963BE5"/>
    <w:rsid w:val="009641FD"/>
    <w:rsid w:val="00967518"/>
    <w:rsid w:val="009705A4"/>
    <w:rsid w:val="00971AC9"/>
    <w:rsid w:val="00972A0B"/>
    <w:rsid w:val="009761F2"/>
    <w:rsid w:val="00980249"/>
    <w:rsid w:val="0098660F"/>
    <w:rsid w:val="00992AA1"/>
    <w:rsid w:val="009A0219"/>
    <w:rsid w:val="009A0C65"/>
    <w:rsid w:val="009A1B4B"/>
    <w:rsid w:val="009A229B"/>
    <w:rsid w:val="009A33E5"/>
    <w:rsid w:val="009A4981"/>
    <w:rsid w:val="009A5F84"/>
    <w:rsid w:val="009A6A20"/>
    <w:rsid w:val="009B0E5C"/>
    <w:rsid w:val="009B4535"/>
    <w:rsid w:val="009B7E6D"/>
    <w:rsid w:val="009C08B5"/>
    <w:rsid w:val="009C7831"/>
    <w:rsid w:val="009C7D5E"/>
    <w:rsid w:val="009E27B2"/>
    <w:rsid w:val="009E3889"/>
    <w:rsid w:val="009E4D0C"/>
    <w:rsid w:val="009E515D"/>
    <w:rsid w:val="009E53A1"/>
    <w:rsid w:val="009E58D6"/>
    <w:rsid w:val="009F223E"/>
    <w:rsid w:val="009F2737"/>
    <w:rsid w:val="009F71CF"/>
    <w:rsid w:val="00A02099"/>
    <w:rsid w:val="00A04125"/>
    <w:rsid w:val="00A05EFA"/>
    <w:rsid w:val="00A06D47"/>
    <w:rsid w:val="00A10684"/>
    <w:rsid w:val="00A10FB9"/>
    <w:rsid w:val="00A145A7"/>
    <w:rsid w:val="00A1557E"/>
    <w:rsid w:val="00A16179"/>
    <w:rsid w:val="00A22C41"/>
    <w:rsid w:val="00A23505"/>
    <w:rsid w:val="00A240C8"/>
    <w:rsid w:val="00A24454"/>
    <w:rsid w:val="00A32AF9"/>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36B9"/>
    <w:rsid w:val="00A95CE6"/>
    <w:rsid w:val="00AA1E61"/>
    <w:rsid w:val="00AA304D"/>
    <w:rsid w:val="00AA3BE8"/>
    <w:rsid w:val="00AA7821"/>
    <w:rsid w:val="00AB176C"/>
    <w:rsid w:val="00AB2694"/>
    <w:rsid w:val="00AB2D1A"/>
    <w:rsid w:val="00AB4441"/>
    <w:rsid w:val="00AB7E32"/>
    <w:rsid w:val="00AB7E58"/>
    <w:rsid w:val="00AC4DD4"/>
    <w:rsid w:val="00AC5228"/>
    <w:rsid w:val="00AC694F"/>
    <w:rsid w:val="00AC7467"/>
    <w:rsid w:val="00AC7984"/>
    <w:rsid w:val="00AD29BD"/>
    <w:rsid w:val="00AD44AB"/>
    <w:rsid w:val="00AD5EC2"/>
    <w:rsid w:val="00AD620F"/>
    <w:rsid w:val="00AE3221"/>
    <w:rsid w:val="00AE6286"/>
    <w:rsid w:val="00AE78CA"/>
    <w:rsid w:val="00B02B9C"/>
    <w:rsid w:val="00B15B31"/>
    <w:rsid w:val="00B1620C"/>
    <w:rsid w:val="00B16743"/>
    <w:rsid w:val="00B169D7"/>
    <w:rsid w:val="00B205E2"/>
    <w:rsid w:val="00B20C29"/>
    <w:rsid w:val="00B2408F"/>
    <w:rsid w:val="00B24E03"/>
    <w:rsid w:val="00B32EE4"/>
    <w:rsid w:val="00B3406D"/>
    <w:rsid w:val="00B341E5"/>
    <w:rsid w:val="00B35D97"/>
    <w:rsid w:val="00B37385"/>
    <w:rsid w:val="00B401CC"/>
    <w:rsid w:val="00B444E9"/>
    <w:rsid w:val="00B4492F"/>
    <w:rsid w:val="00B44AE1"/>
    <w:rsid w:val="00B5019A"/>
    <w:rsid w:val="00B555FE"/>
    <w:rsid w:val="00B55D14"/>
    <w:rsid w:val="00B630C0"/>
    <w:rsid w:val="00B65EBB"/>
    <w:rsid w:val="00B66576"/>
    <w:rsid w:val="00B66B7F"/>
    <w:rsid w:val="00B70C1A"/>
    <w:rsid w:val="00B71202"/>
    <w:rsid w:val="00B740FB"/>
    <w:rsid w:val="00B84E76"/>
    <w:rsid w:val="00B8776D"/>
    <w:rsid w:val="00B908CC"/>
    <w:rsid w:val="00B92DD8"/>
    <w:rsid w:val="00B93485"/>
    <w:rsid w:val="00B93D0B"/>
    <w:rsid w:val="00B942E3"/>
    <w:rsid w:val="00B95862"/>
    <w:rsid w:val="00B958AC"/>
    <w:rsid w:val="00B96348"/>
    <w:rsid w:val="00BA1997"/>
    <w:rsid w:val="00BA601E"/>
    <w:rsid w:val="00BB0BED"/>
    <w:rsid w:val="00BB536A"/>
    <w:rsid w:val="00BC3EF5"/>
    <w:rsid w:val="00BC7132"/>
    <w:rsid w:val="00BC7BE1"/>
    <w:rsid w:val="00BC7D84"/>
    <w:rsid w:val="00BD31C7"/>
    <w:rsid w:val="00BE1923"/>
    <w:rsid w:val="00BE2005"/>
    <w:rsid w:val="00BE3664"/>
    <w:rsid w:val="00BE3DFF"/>
    <w:rsid w:val="00BF1D3C"/>
    <w:rsid w:val="00BF6B47"/>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26C26"/>
    <w:rsid w:val="00C32979"/>
    <w:rsid w:val="00C32DD1"/>
    <w:rsid w:val="00C33717"/>
    <w:rsid w:val="00C36DDB"/>
    <w:rsid w:val="00C4038C"/>
    <w:rsid w:val="00C419C9"/>
    <w:rsid w:val="00C4400E"/>
    <w:rsid w:val="00C565B6"/>
    <w:rsid w:val="00C5744C"/>
    <w:rsid w:val="00C66600"/>
    <w:rsid w:val="00C67476"/>
    <w:rsid w:val="00C736F2"/>
    <w:rsid w:val="00C763F5"/>
    <w:rsid w:val="00C837D6"/>
    <w:rsid w:val="00C8535C"/>
    <w:rsid w:val="00C85E53"/>
    <w:rsid w:val="00C869BC"/>
    <w:rsid w:val="00C87BD2"/>
    <w:rsid w:val="00C924BC"/>
    <w:rsid w:val="00C93F86"/>
    <w:rsid w:val="00C94463"/>
    <w:rsid w:val="00C9596E"/>
    <w:rsid w:val="00C97347"/>
    <w:rsid w:val="00CA25CA"/>
    <w:rsid w:val="00CA4525"/>
    <w:rsid w:val="00CA53B7"/>
    <w:rsid w:val="00CA7A46"/>
    <w:rsid w:val="00CB0A42"/>
    <w:rsid w:val="00CB32AF"/>
    <w:rsid w:val="00CB74B4"/>
    <w:rsid w:val="00CB7A6E"/>
    <w:rsid w:val="00CB7EA2"/>
    <w:rsid w:val="00CC2554"/>
    <w:rsid w:val="00CC71E2"/>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D01F79"/>
    <w:rsid w:val="00D038BD"/>
    <w:rsid w:val="00D1099C"/>
    <w:rsid w:val="00D1200E"/>
    <w:rsid w:val="00D1415A"/>
    <w:rsid w:val="00D219F1"/>
    <w:rsid w:val="00D25E1A"/>
    <w:rsid w:val="00D30A1B"/>
    <w:rsid w:val="00D30BB3"/>
    <w:rsid w:val="00D346B2"/>
    <w:rsid w:val="00D35454"/>
    <w:rsid w:val="00D40585"/>
    <w:rsid w:val="00D42933"/>
    <w:rsid w:val="00D43B57"/>
    <w:rsid w:val="00D466BC"/>
    <w:rsid w:val="00D51CE6"/>
    <w:rsid w:val="00D57C07"/>
    <w:rsid w:val="00D600E0"/>
    <w:rsid w:val="00D61E5A"/>
    <w:rsid w:val="00D62E24"/>
    <w:rsid w:val="00D66004"/>
    <w:rsid w:val="00D66941"/>
    <w:rsid w:val="00D676BC"/>
    <w:rsid w:val="00D716F5"/>
    <w:rsid w:val="00D743A4"/>
    <w:rsid w:val="00D74572"/>
    <w:rsid w:val="00D7462C"/>
    <w:rsid w:val="00D80370"/>
    <w:rsid w:val="00D806C5"/>
    <w:rsid w:val="00D83926"/>
    <w:rsid w:val="00D873D6"/>
    <w:rsid w:val="00DA0272"/>
    <w:rsid w:val="00DA454A"/>
    <w:rsid w:val="00DA6A1C"/>
    <w:rsid w:val="00DA77D9"/>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8FC"/>
    <w:rsid w:val="00E40B2C"/>
    <w:rsid w:val="00E41883"/>
    <w:rsid w:val="00E41A12"/>
    <w:rsid w:val="00E421CF"/>
    <w:rsid w:val="00E536DD"/>
    <w:rsid w:val="00E55787"/>
    <w:rsid w:val="00E62B62"/>
    <w:rsid w:val="00E63C56"/>
    <w:rsid w:val="00E658C6"/>
    <w:rsid w:val="00E65A68"/>
    <w:rsid w:val="00E71723"/>
    <w:rsid w:val="00E72AD6"/>
    <w:rsid w:val="00E7302F"/>
    <w:rsid w:val="00E75986"/>
    <w:rsid w:val="00E82D8A"/>
    <w:rsid w:val="00E84985"/>
    <w:rsid w:val="00E90DF8"/>
    <w:rsid w:val="00E91542"/>
    <w:rsid w:val="00E91D95"/>
    <w:rsid w:val="00E97964"/>
    <w:rsid w:val="00EA557B"/>
    <w:rsid w:val="00EA778D"/>
    <w:rsid w:val="00EB19CE"/>
    <w:rsid w:val="00EB3580"/>
    <w:rsid w:val="00EB3D21"/>
    <w:rsid w:val="00EC13DF"/>
    <w:rsid w:val="00EC35B3"/>
    <w:rsid w:val="00EC5FA8"/>
    <w:rsid w:val="00ED1A87"/>
    <w:rsid w:val="00ED2509"/>
    <w:rsid w:val="00ED7C3A"/>
    <w:rsid w:val="00EE237B"/>
    <w:rsid w:val="00EF1AE3"/>
    <w:rsid w:val="00EF1E37"/>
    <w:rsid w:val="00EF2367"/>
    <w:rsid w:val="00EF40EB"/>
    <w:rsid w:val="00F032E8"/>
    <w:rsid w:val="00F03917"/>
    <w:rsid w:val="00F03F51"/>
    <w:rsid w:val="00F06AB3"/>
    <w:rsid w:val="00F118DE"/>
    <w:rsid w:val="00F1518B"/>
    <w:rsid w:val="00F205B2"/>
    <w:rsid w:val="00F22B04"/>
    <w:rsid w:val="00F2314D"/>
    <w:rsid w:val="00F257EE"/>
    <w:rsid w:val="00F2600D"/>
    <w:rsid w:val="00F26576"/>
    <w:rsid w:val="00F26946"/>
    <w:rsid w:val="00F27330"/>
    <w:rsid w:val="00F33EF9"/>
    <w:rsid w:val="00F3749E"/>
    <w:rsid w:val="00F43936"/>
    <w:rsid w:val="00F504EE"/>
    <w:rsid w:val="00F540F1"/>
    <w:rsid w:val="00F54E4B"/>
    <w:rsid w:val="00F60618"/>
    <w:rsid w:val="00F62C83"/>
    <w:rsid w:val="00F6633A"/>
    <w:rsid w:val="00F66F55"/>
    <w:rsid w:val="00F6716F"/>
    <w:rsid w:val="00F74D65"/>
    <w:rsid w:val="00F754CD"/>
    <w:rsid w:val="00F81530"/>
    <w:rsid w:val="00F81CDF"/>
    <w:rsid w:val="00F8447E"/>
    <w:rsid w:val="00F851D4"/>
    <w:rsid w:val="00F86DF2"/>
    <w:rsid w:val="00F94A95"/>
    <w:rsid w:val="00F97369"/>
    <w:rsid w:val="00FA04E1"/>
    <w:rsid w:val="00FA3320"/>
    <w:rsid w:val="00FA48BD"/>
    <w:rsid w:val="00FB537F"/>
    <w:rsid w:val="00FB6EEF"/>
    <w:rsid w:val="00FB7FFE"/>
    <w:rsid w:val="00FC1FDF"/>
    <w:rsid w:val="00FC3B5B"/>
    <w:rsid w:val="00FC3D7C"/>
    <w:rsid w:val="00FD0696"/>
    <w:rsid w:val="00FD2B63"/>
    <w:rsid w:val="00FD43C3"/>
    <w:rsid w:val="00FD6447"/>
    <w:rsid w:val="00FD71BF"/>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94AF9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 w:id="199275608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0234-A5F1-4BA7-A5B3-5D44C2062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3756</Words>
  <Characters>18543</Characters>
  <Application>Microsoft Office Word</Application>
  <DocSecurity>0</DocSecurity>
  <Lines>154</Lines>
  <Paragraphs>44</Paragraphs>
  <ScaleCrop>false</ScaleCrop>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2018-07-16T15:14:00Z</dcterms:created>
  <dcterms:modified xsi:type="dcterms:W3CDTF">2018-07-16T15:14:00Z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