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C2A" w:rsidRDefault="005F6DE2">
      <w:pPr>
        <w:jc w:val="center"/>
        <w:rPr>
          <w:rFonts w:ascii="Book Antiqua" w:hAnsi="Book Antiqua" w:cs="Arial"/>
          <w:caps/>
          <w:color w:val="000000"/>
          <w:sz w:val="16"/>
          <w:szCs w:val="16"/>
        </w:rPr>
      </w:pPr>
      <w:r>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6B7C2A" w:rsidRDefault="006B7C2A">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6B7C2A" w:rsidRPr="000E613E" w:rsidRDefault="006B7C2A">
      <w:pPr>
        <w:tabs>
          <w:tab w:val="right" w:pos="9720"/>
        </w:tabs>
        <w:ind w:right="-82"/>
        <w:rPr>
          <w:rFonts w:ascii="Book Antiqua" w:hAnsi="Book Antiqua" w:cs="Arial"/>
          <w:b/>
          <w:color w:val="000000"/>
        </w:rPr>
      </w:pPr>
      <w:r>
        <w:rPr>
          <w:rFonts w:ascii="Book Antiqua" w:hAnsi="Book Antiqua" w:cs="Arial"/>
          <w:b/>
          <w:color w:val="000000"/>
        </w:rPr>
        <w:t xml:space="preserve">(Immigration and Asylum </w:t>
      </w:r>
      <w:proofErr w:type="gramStart"/>
      <w:r>
        <w:rPr>
          <w:rFonts w:ascii="Book Antiqua" w:hAnsi="Book Antiqua" w:cs="Arial"/>
          <w:b/>
          <w:color w:val="000000"/>
        </w:rPr>
        <w:t>Chamber)</w:t>
      </w:r>
      <w:r w:rsidR="000E613E">
        <w:rPr>
          <w:rFonts w:ascii="Book Antiqua" w:hAnsi="Book Antiqua" w:cs="Arial"/>
          <w:b/>
          <w:color w:val="000000"/>
        </w:rPr>
        <w:t xml:space="preserve">   </w:t>
      </w:r>
      <w:proofErr w:type="gramEnd"/>
      <w:r w:rsidR="000E613E">
        <w:rPr>
          <w:rFonts w:ascii="Book Antiqua" w:hAnsi="Book Antiqua" w:cs="Arial"/>
          <w:b/>
          <w:color w:val="000000"/>
        </w:rPr>
        <w:t xml:space="preserve">                     </w:t>
      </w:r>
      <w:r w:rsidRPr="000E613E">
        <w:rPr>
          <w:rFonts w:ascii="Book Antiqua" w:hAnsi="Book Antiqua" w:cs="Arial"/>
          <w:b/>
          <w:color w:val="000000"/>
        </w:rPr>
        <w:t>Appeal Number: PA/10948/2017</w:t>
      </w:r>
    </w:p>
    <w:p w:rsidR="006B7C2A" w:rsidRDefault="006B7C2A">
      <w:pPr>
        <w:jc w:val="center"/>
        <w:rPr>
          <w:rFonts w:ascii="Book Antiqua" w:hAnsi="Book Antiqua" w:cs="Arial"/>
          <w:color w:val="000000"/>
        </w:rPr>
      </w:pPr>
    </w:p>
    <w:p w:rsidR="006B7C2A" w:rsidRDefault="006B7C2A">
      <w:pPr>
        <w:jc w:val="center"/>
        <w:rPr>
          <w:rFonts w:ascii="Book Antiqua" w:hAnsi="Book Antiqua" w:cs="Arial"/>
          <w:b/>
          <w:color w:val="000000"/>
          <w:u w:val="single"/>
        </w:rPr>
      </w:pPr>
      <w:r>
        <w:rPr>
          <w:rFonts w:ascii="Book Antiqua" w:hAnsi="Book Antiqua" w:cs="Arial"/>
          <w:b/>
          <w:color w:val="000000"/>
          <w:u w:val="single"/>
        </w:rPr>
        <w:t>THE IMMIGRATION ACTS</w:t>
      </w:r>
    </w:p>
    <w:p w:rsidR="006B7C2A" w:rsidRDefault="006B7C2A">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6B7C2A" w:rsidRPr="006B7C2A" w:rsidTr="000E613E">
        <w:tc>
          <w:tcPr>
            <w:tcW w:w="5387" w:type="dxa"/>
            <w:shd w:val="clear" w:color="auto" w:fill="auto"/>
          </w:tcPr>
          <w:p w:rsidR="006B7C2A" w:rsidRPr="006B7C2A" w:rsidRDefault="006B7C2A" w:rsidP="006B7C2A">
            <w:pPr>
              <w:jc w:val="both"/>
              <w:rPr>
                <w:rFonts w:ascii="Book Antiqua" w:hAnsi="Book Antiqua" w:cs="Arial"/>
                <w:b/>
              </w:rPr>
            </w:pPr>
            <w:r w:rsidRPr="006B7C2A">
              <w:rPr>
                <w:rFonts w:ascii="Book Antiqua" w:hAnsi="Book Antiqua" w:cs="Arial"/>
                <w:b/>
              </w:rPr>
              <w:t>Heard at Field House</w:t>
            </w:r>
          </w:p>
        </w:tc>
        <w:tc>
          <w:tcPr>
            <w:tcW w:w="4251" w:type="dxa"/>
            <w:shd w:val="clear" w:color="auto" w:fill="auto"/>
          </w:tcPr>
          <w:p w:rsidR="006B7C2A" w:rsidRPr="006B7C2A" w:rsidRDefault="006B7C2A" w:rsidP="006B7C2A">
            <w:pPr>
              <w:jc w:val="both"/>
              <w:rPr>
                <w:rFonts w:ascii="Book Antiqua" w:hAnsi="Book Antiqua" w:cs="Arial"/>
                <w:b/>
                <w:color w:val="000000"/>
              </w:rPr>
            </w:pPr>
            <w:r w:rsidRPr="006B7C2A">
              <w:rPr>
                <w:rFonts w:ascii="Book Antiqua" w:hAnsi="Book Antiqua" w:cs="Arial"/>
                <w:b/>
                <w:color w:val="000000"/>
              </w:rPr>
              <w:t>Decision &amp; Reasons Promulgated</w:t>
            </w:r>
          </w:p>
        </w:tc>
      </w:tr>
      <w:tr w:rsidR="006B7C2A" w:rsidRPr="006B7C2A" w:rsidTr="000E613E">
        <w:tc>
          <w:tcPr>
            <w:tcW w:w="5387" w:type="dxa"/>
            <w:shd w:val="clear" w:color="auto" w:fill="auto"/>
          </w:tcPr>
          <w:p w:rsidR="006B7C2A" w:rsidRPr="006B7C2A" w:rsidRDefault="006B7C2A" w:rsidP="006B7C2A">
            <w:pPr>
              <w:jc w:val="both"/>
              <w:rPr>
                <w:rFonts w:ascii="Book Antiqua" w:hAnsi="Book Antiqua" w:cs="Arial"/>
                <w:b/>
              </w:rPr>
            </w:pPr>
            <w:r w:rsidRPr="006B7C2A">
              <w:rPr>
                <w:rFonts w:ascii="Book Antiqua" w:hAnsi="Book Antiqua" w:cs="Arial"/>
                <w:b/>
              </w:rPr>
              <w:t>On 21 March 2018</w:t>
            </w:r>
          </w:p>
        </w:tc>
        <w:tc>
          <w:tcPr>
            <w:tcW w:w="4251" w:type="dxa"/>
            <w:shd w:val="clear" w:color="auto" w:fill="auto"/>
          </w:tcPr>
          <w:p w:rsidR="006B7C2A" w:rsidRPr="006B7C2A" w:rsidRDefault="00BB7BA2" w:rsidP="006B7C2A">
            <w:pPr>
              <w:jc w:val="both"/>
              <w:rPr>
                <w:rFonts w:ascii="Book Antiqua" w:hAnsi="Book Antiqua" w:cs="Arial"/>
                <w:b/>
              </w:rPr>
            </w:pPr>
            <w:r>
              <w:rPr>
                <w:rFonts w:ascii="Book Antiqua" w:hAnsi="Book Antiqua" w:cs="Arial"/>
                <w:b/>
              </w:rPr>
              <w:t>On 2 July 2018</w:t>
            </w:r>
          </w:p>
        </w:tc>
      </w:tr>
      <w:tr w:rsidR="006B7C2A" w:rsidRPr="006B7C2A" w:rsidTr="000E613E">
        <w:tc>
          <w:tcPr>
            <w:tcW w:w="5387" w:type="dxa"/>
            <w:shd w:val="clear" w:color="auto" w:fill="auto"/>
          </w:tcPr>
          <w:p w:rsidR="006B7C2A" w:rsidRPr="006B7C2A" w:rsidRDefault="006B7C2A" w:rsidP="006B7C2A">
            <w:pPr>
              <w:jc w:val="both"/>
              <w:rPr>
                <w:rFonts w:ascii="Book Antiqua" w:hAnsi="Book Antiqua" w:cs="Arial"/>
                <w:b/>
              </w:rPr>
            </w:pPr>
          </w:p>
        </w:tc>
        <w:tc>
          <w:tcPr>
            <w:tcW w:w="4251" w:type="dxa"/>
            <w:shd w:val="clear" w:color="auto" w:fill="auto"/>
          </w:tcPr>
          <w:p w:rsidR="006B7C2A" w:rsidRPr="006B7C2A" w:rsidRDefault="006B7C2A" w:rsidP="006B7C2A">
            <w:pPr>
              <w:jc w:val="both"/>
              <w:rPr>
                <w:rFonts w:ascii="Book Antiqua" w:hAnsi="Book Antiqua" w:cs="Arial"/>
                <w:b/>
              </w:rPr>
            </w:pPr>
          </w:p>
        </w:tc>
      </w:tr>
    </w:tbl>
    <w:p w:rsidR="006B7C2A" w:rsidRDefault="006B7C2A">
      <w:pPr>
        <w:jc w:val="center"/>
        <w:rPr>
          <w:rFonts w:ascii="Book Antiqua" w:hAnsi="Book Antiqua" w:cs="Arial"/>
        </w:rPr>
      </w:pPr>
    </w:p>
    <w:p w:rsidR="006B7C2A" w:rsidRDefault="006B7C2A">
      <w:pPr>
        <w:jc w:val="center"/>
        <w:rPr>
          <w:rFonts w:ascii="Book Antiqua" w:hAnsi="Book Antiqua" w:cs="Arial"/>
          <w:b/>
        </w:rPr>
      </w:pPr>
      <w:r>
        <w:rPr>
          <w:rFonts w:ascii="Book Antiqua" w:hAnsi="Book Antiqua" w:cs="Arial"/>
          <w:b/>
        </w:rPr>
        <w:t>Before</w:t>
      </w:r>
    </w:p>
    <w:p w:rsidR="006B7C2A" w:rsidRDefault="006B7C2A">
      <w:pPr>
        <w:jc w:val="center"/>
        <w:rPr>
          <w:rFonts w:ascii="Book Antiqua" w:hAnsi="Book Antiqua" w:cs="Arial"/>
          <w:b/>
        </w:rPr>
      </w:pPr>
    </w:p>
    <w:p w:rsidR="006B7C2A" w:rsidRDefault="006B7C2A">
      <w:pPr>
        <w:jc w:val="center"/>
        <w:rPr>
          <w:rFonts w:ascii="Book Antiqua" w:hAnsi="Book Antiqua" w:cs="Arial"/>
          <w:b/>
          <w:color w:val="000000"/>
        </w:rPr>
      </w:pPr>
      <w:r>
        <w:rPr>
          <w:rFonts w:ascii="Book Antiqua" w:hAnsi="Book Antiqua" w:cs="Arial"/>
          <w:b/>
          <w:color w:val="000000"/>
        </w:rPr>
        <w:t>DEPUTY UPPER TRIBUNAL JUDGE MANDALIA</w:t>
      </w:r>
    </w:p>
    <w:p w:rsidR="006B7C2A" w:rsidRDefault="006B7C2A">
      <w:pPr>
        <w:jc w:val="center"/>
        <w:rPr>
          <w:rFonts w:ascii="Book Antiqua" w:hAnsi="Book Antiqua" w:cs="Arial"/>
          <w:b/>
        </w:rPr>
      </w:pPr>
    </w:p>
    <w:p w:rsidR="006B7C2A" w:rsidRDefault="006B7C2A">
      <w:pPr>
        <w:jc w:val="center"/>
        <w:rPr>
          <w:rFonts w:ascii="Book Antiqua" w:hAnsi="Book Antiqua" w:cs="Arial"/>
          <w:b/>
        </w:rPr>
      </w:pPr>
      <w:r>
        <w:rPr>
          <w:rFonts w:ascii="Book Antiqua" w:hAnsi="Book Antiqua" w:cs="Arial"/>
          <w:b/>
        </w:rPr>
        <w:t>Between</w:t>
      </w:r>
    </w:p>
    <w:p w:rsidR="006B7C2A" w:rsidRDefault="006B7C2A">
      <w:pPr>
        <w:jc w:val="center"/>
        <w:rPr>
          <w:rFonts w:ascii="Book Antiqua" w:hAnsi="Book Antiqua" w:cs="Arial"/>
          <w:b/>
        </w:rPr>
      </w:pPr>
    </w:p>
    <w:p w:rsidR="006B7C2A" w:rsidRDefault="00F14EE1">
      <w:pPr>
        <w:jc w:val="center"/>
        <w:rPr>
          <w:rFonts w:ascii="Book Antiqua" w:hAnsi="Book Antiqua" w:cs="Arial"/>
          <w:b/>
          <w:caps/>
        </w:rPr>
      </w:pPr>
      <w:r>
        <w:rPr>
          <w:rFonts w:ascii="Book Antiqua" w:hAnsi="Book Antiqua" w:cs="Arial"/>
          <w:b/>
          <w:caps/>
        </w:rPr>
        <w:t>FJ</w:t>
      </w:r>
    </w:p>
    <w:p w:rsidR="006B7C2A" w:rsidRPr="000E613E" w:rsidRDefault="006B7C2A">
      <w:pPr>
        <w:jc w:val="center"/>
        <w:rPr>
          <w:rFonts w:ascii="Book Antiqua" w:hAnsi="Book Antiqua" w:cs="Arial"/>
          <w:caps/>
        </w:rPr>
      </w:pPr>
      <w:r w:rsidRPr="000E613E">
        <w:rPr>
          <w:rFonts w:ascii="Book Antiqua" w:hAnsi="Book Antiqua" w:cs="Arial"/>
          <w:caps/>
        </w:rPr>
        <w:t xml:space="preserve">(anonymity direction </w:t>
      </w:r>
      <w:r w:rsidR="00F14EE1" w:rsidRPr="000E613E">
        <w:rPr>
          <w:rFonts w:ascii="Book Antiqua" w:hAnsi="Book Antiqua" w:cs="Arial"/>
          <w:caps/>
        </w:rPr>
        <w:t>MADE)</w:t>
      </w:r>
    </w:p>
    <w:p w:rsidR="006B7C2A" w:rsidRDefault="006B7C2A">
      <w:pPr>
        <w:jc w:val="center"/>
        <w:rPr>
          <w:rFonts w:ascii="Book Antiqua" w:hAnsi="Book Antiqua" w:cs="Arial"/>
          <w:b/>
        </w:rPr>
      </w:pPr>
    </w:p>
    <w:p w:rsidR="006B7C2A" w:rsidRDefault="006B7C2A">
      <w:pPr>
        <w:jc w:val="right"/>
        <w:rPr>
          <w:rFonts w:ascii="Book Antiqua" w:hAnsi="Book Antiqua" w:cs="Arial"/>
          <w:u w:val="single"/>
        </w:rPr>
      </w:pPr>
      <w:r>
        <w:rPr>
          <w:rFonts w:ascii="Book Antiqua" w:hAnsi="Book Antiqua" w:cs="Arial"/>
          <w:u w:val="single"/>
        </w:rPr>
        <w:t>Appellant</w:t>
      </w:r>
    </w:p>
    <w:p w:rsidR="006B7C2A" w:rsidRDefault="006B7C2A">
      <w:pPr>
        <w:jc w:val="center"/>
        <w:rPr>
          <w:rFonts w:ascii="Book Antiqua" w:hAnsi="Book Antiqua" w:cs="Arial"/>
          <w:b/>
        </w:rPr>
      </w:pPr>
      <w:r>
        <w:rPr>
          <w:rFonts w:ascii="Book Antiqua" w:hAnsi="Book Antiqua" w:cs="Arial"/>
          <w:b/>
        </w:rPr>
        <w:t>and</w:t>
      </w:r>
    </w:p>
    <w:p w:rsidR="006B7C2A" w:rsidRDefault="006B7C2A">
      <w:pPr>
        <w:jc w:val="center"/>
        <w:rPr>
          <w:rFonts w:ascii="Book Antiqua" w:hAnsi="Book Antiqua" w:cs="Arial"/>
          <w:b/>
        </w:rPr>
      </w:pPr>
    </w:p>
    <w:p w:rsidR="006B7C2A" w:rsidRDefault="00F14EE1">
      <w:pPr>
        <w:jc w:val="center"/>
        <w:rPr>
          <w:rFonts w:ascii="Book Antiqua" w:hAnsi="Book Antiqua" w:cs="Arial"/>
          <w:b/>
        </w:rPr>
      </w:pPr>
      <w:r>
        <w:rPr>
          <w:rFonts w:ascii="Book Antiqua" w:hAnsi="Book Antiqua" w:cs="Arial"/>
          <w:b/>
        </w:rPr>
        <w:t>THE SECRETARY OF STATE FOR THE HOME DEPARTMENT</w:t>
      </w:r>
    </w:p>
    <w:p w:rsidR="006B7C2A" w:rsidRDefault="006B7C2A">
      <w:pPr>
        <w:jc w:val="right"/>
        <w:rPr>
          <w:rFonts w:ascii="Book Antiqua" w:hAnsi="Book Antiqua" w:cs="Arial"/>
          <w:u w:val="single"/>
        </w:rPr>
      </w:pPr>
      <w:r>
        <w:rPr>
          <w:rFonts w:ascii="Book Antiqua" w:hAnsi="Book Antiqua" w:cs="Arial"/>
          <w:u w:val="single"/>
        </w:rPr>
        <w:t>Respondent</w:t>
      </w:r>
    </w:p>
    <w:p w:rsidR="006B7C2A" w:rsidRDefault="006B7C2A">
      <w:pPr>
        <w:rPr>
          <w:rFonts w:ascii="Book Antiqua" w:hAnsi="Book Antiqua" w:cs="Arial"/>
          <w:u w:val="single"/>
        </w:rPr>
      </w:pPr>
    </w:p>
    <w:p w:rsidR="006B7C2A" w:rsidRDefault="006B7C2A">
      <w:pPr>
        <w:rPr>
          <w:rFonts w:ascii="Book Antiqua" w:hAnsi="Book Antiqua" w:cs="Arial"/>
          <w:u w:val="single"/>
        </w:rPr>
      </w:pPr>
    </w:p>
    <w:p w:rsidR="006B7C2A" w:rsidRDefault="006B7C2A">
      <w:pPr>
        <w:rPr>
          <w:rFonts w:ascii="Book Antiqua" w:hAnsi="Book Antiqua" w:cs="Arial"/>
        </w:rPr>
      </w:pPr>
      <w:r>
        <w:rPr>
          <w:rFonts w:ascii="Book Antiqua" w:hAnsi="Book Antiqua" w:cs="Arial"/>
          <w:b/>
          <w:u w:val="single"/>
        </w:rPr>
        <w:t>Representation</w:t>
      </w:r>
      <w:r>
        <w:rPr>
          <w:rFonts w:ascii="Book Antiqua" w:hAnsi="Book Antiqua" w:cs="Arial"/>
          <w:b/>
        </w:rPr>
        <w:t>:</w:t>
      </w:r>
    </w:p>
    <w:p w:rsidR="006B7C2A" w:rsidRDefault="006B7C2A">
      <w:pPr>
        <w:rPr>
          <w:rFonts w:ascii="Book Antiqua" w:hAnsi="Book Antiqua" w:cs="Arial"/>
        </w:rPr>
      </w:pPr>
    </w:p>
    <w:p w:rsidR="006B7C2A" w:rsidRDefault="006B7C2A">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A Smith, Counsel instructed by Parker Rhodes Hickmotts </w:t>
      </w:r>
      <w:r>
        <w:rPr>
          <w:rFonts w:ascii="Book Antiqua" w:hAnsi="Book Antiqua" w:cs="Arial"/>
        </w:rPr>
        <w:tab/>
        <w:t>Solicitors</w:t>
      </w:r>
    </w:p>
    <w:p w:rsidR="006B7C2A" w:rsidRDefault="006B7C2A">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N Bramble, Home Office Presenting Officer</w:t>
      </w:r>
    </w:p>
    <w:p w:rsidR="006B7C2A" w:rsidRDefault="006B7C2A">
      <w:pPr>
        <w:jc w:val="center"/>
        <w:rPr>
          <w:rFonts w:ascii="Book Antiqua" w:hAnsi="Book Antiqua" w:cs="Arial"/>
        </w:rPr>
      </w:pPr>
    </w:p>
    <w:p w:rsidR="006B7C2A" w:rsidRDefault="006B7C2A">
      <w:pPr>
        <w:jc w:val="center"/>
        <w:rPr>
          <w:rFonts w:ascii="Book Antiqua" w:hAnsi="Book Antiqua" w:cs="Arial"/>
        </w:rPr>
      </w:pPr>
    </w:p>
    <w:p w:rsidR="006B7C2A" w:rsidRDefault="006B7C2A">
      <w:pPr>
        <w:jc w:val="center"/>
        <w:rPr>
          <w:rFonts w:ascii="Book Antiqua" w:hAnsi="Book Antiqua" w:cs="Arial"/>
        </w:rPr>
      </w:pPr>
      <w:r>
        <w:rPr>
          <w:rFonts w:ascii="Book Antiqua" w:hAnsi="Book Antiqua" w:cs="Arial"/>
          <w:b/>
          <w:u w:val="single"/>
        </w:rPr>
        <w:t>DECISION AND REASONS</w:t>
      </w:r>
    </w:p>
    <w:p w:rsidR="006B7C2A" w:rsidRDefault="006B7C2A">
      <w:pPr>
        <w:jc w:val="both"/>
        <w:rPr>
          <w:rFonts w:ascii="Book Antiqua" w:hAnsi="Book Antiqua" w:cs="Arial"/>
        </w:rPr>
      </w:pPr>
    </w:p>
    <w:p w:rsidR="00F14EE1" w:rsidRDefault="00F14EE1" w:rsidP="00F14EE1">
      <w:pPr>
        <w:pStyle w:val="p"/>
        <w:numPr>
          <w:ilvl w:val="0"/>
          <w:numId w:val="1"/>
        </w:numPr>
        <w:spacing w:before="360" w:after="360" w:line="360" w:lineRule="auto"/>
      </w:pPr>
      <w:r w:rsidRPr="00CA4362">
        <w:t>Although an anonymity direction was not made by the First-tier Tribunal</w:t>
      </w:r>
      <w:r>
        <w:t xml:space="preserve"> (“F</w:t>
      </w:r>
      <w:r>
        <w:rPr>
          <w:i/>
        </w:rPr>
        <w:t>t</w:t>
      </w:r>
      <w:r>
        <w:t>T”)</w:t>
      </w:r>
      <w:r w:rsidRPr="00CA4362">
        <w:t xml:space="preserve">, as </w:t>
      </w:r>
      <w:r>
        <w:t xml:space="preserve">this </w:t>
      </w:r>
      <w:r w:rsidRPr="00CA4362">
        <w:t>a protection claim, it is appropriate that a directi</w:t>
      </w:r>
      <w:r>
        <w:t>on is made. Unless and until a Tribunal or Court directs otherwise, FJ</w:t>
      </w:r>
      <w:r w:rsidRPr="00CA4362">
        <w:t xml:space="preserve"> is granted anonymity. No report of these proceedings shall directly or indirectly identify him or any member of his</w:t>
      </w:r>
      <w:r>
        <w:t xml:space="preserve"> family.  </w:t>
      </w:r>
      <w:r w:rsidRPr="00CA4362">
        <w:lastRenderedPageBreak/>
        <w:t>This direction applies amongst others to all parties. Failure to comply with this direction could lead to contempt of court proceedings.</w:t>
      </w:r>
    </w:p>
    <w:p w:rsidR="00F14EE1" w:rsidRDefault="00F14EE1" w:rsidP="00F14EE1">
      <w:pPr>
        <w:numPr>
          <w:ilvl w:val="0"/>
          <w:numId w:val="1"/>
        </w:numPr>
        <w:spacing w:before="360" w:after="360" w:line="360" w:lineRule="auto"/>
        <w:jc w:val="both"/>
        <w:rPr>
          <w:rFonts w:ascii="Book Antiqua" w:hAnsi="Book Antiqua" w:cs="Arial"/>
        </w:rPr>
      </w:pPr>
      <w:r w:rsidRPr="0060388B">
        <w:rPr>
          <w:rFonts w:ascii="Book Antiqua" w:hAnsi="Book Antiqua" w:cs="Arial"/>
        </w:rPr>
        <w:t>This is an appeal against a decision and reasons by Fir</w:t>
      </w:r>
      <w:r>
        <w:rPr>
          <w:rFonts w:ascii="Book Antiqua" w:hAnsi="Book Antiqua" w:cs="Arial"/>
        </w:rPr>
        <w:t>st-tier Tribunal (“F</w:t>
      </w:r>
      <w:r>
        <w:rPr>
          <w:rFonts w:ascii="Book Antiqua" w:hAnsi="Book Antiqua" w:cs="Arial"/>
          <w:i/>
        </w:rPr>
        <w:t>t</w:t>
      </w:r>
      <w:r>
        <w:rPr>
          <w:rFonts w:ascii="Book Antiqua" w:hAnsi="Book Antiqua" w:cs="Arial"/>
        </w:rPr>
        <w:t xml:space="preserve">T”) Judge Geraint Jones QC </w:t>
      </w:r>
      <w:r w:rsidRPr="0060388B">
        <w:rPr>
          <w:rFonts w:ascii="Book Antiqua" w:hAnsi="Book Antiqua" w:cs="Arial"/>
        </w:rPr>
        <w:t xml:space="preserve">promulgated on </w:t>
      </w:r>
      <w:r>
        <w:rPr>
          <w:rFonts w:ascii="Book Antiqua" w:hAnsi="Book Antiqua" w:cs="Arial"/>
        </w:rPr>
        <w:t>7</w:t>
      </w:r>
      <w:r w:rsidRPr="00F14EE1">
        <w:rPr>
          <w:rFonts w:ascii="Book Antiqua" w:hAnsi="Book Antiqua" w:cs="Arial"/>
          <w:vertAlign w:val="superscript"/>
        </w:rPr>
        <w:t>th</w:t>
      </w:r>
      <w:r>
        <w:rPr>
          <w:rFonts w:ascii="Book Antiqua" w:hAnsi="Book Antiqua" w:cs="Arial"/>
        </w:rPr>
        <w:t xml:space="preserve"> December 2017 in which he dismissed</w:t>
      </w:r>
      <w:r w:rsidRPr="0060388B">
        <w:rPr>
          <w:rFonts w:ascii="Book Antiqua" w:hAnsi="Book Antiqua" w:cs="Arial"/>
        </w:rPr>
        <w:t xml:space="preserve"> the </w:t>
      </w:r>
      <w:r>
        <w:rPr>
          <w:rFonts w:ascii="Book Antiqua" w:hAnsi="Book Antiqua" w:cs="Arial"/>
        </w:rPr>
        <w:t xml:space="preserve">appellant’s </w:t>
      </w:r>
      <w:r w:rsidRPr="0060388B">
        <w:rPr>
          <w:rFonts w:ascii="Book Antiqua" w:hAnsi="Book Antiqua" w:cs="Arial"/>
        </w:rPr>
        <w:t>appeal</w:t>
      </w:r>
      <w:r>
        <w:rPr>
          <w:rFonts w:ascii="Book Antiqua" w:hAnsi="Book Antiqua" w:cs="Arial"/>
        </w:rPr>
        <w:t xml:space="preserve"> against the respondent’s decision of 13</w:t>
      </w:r>
      <w:r w:rsidRPr="00F14EE1">
        <w:rPr>
          <w:rFonts w:ascii="Book Antiqua" w:hAnsi="Book Antiqua" w:cs="Arial"/>
          <w:vertAlign w:val="superscript"/>
        </w:rPr>
        <w:t>th</w:t>
      </w:r>
      <w:r>
        <w:rPr>
          <w:rFonts w:ascii="Book Antiqua" w:hAnsi="Book Antiqua" w:cs="Arial"/>
        </w:rPr>
        <w:t xml:space="preserve"> October 2017 to refuse to grant the appellant asylum and humanitarian protection.</w:t>
      </w:r>
    </w:p>
    <w:p w:rsidR="00F14EE1" w:rsidRDefault="00F14EE1" w:rsidP="00F14EE1">
      <w:pPr>
        <w:numPr>
          <w:ilvl w:val="0"/>
          <w:numId w:val="1"/>
        </w:numPr>
        <w:spacing w:before="360" w:after="360" w:line="360" w:lineRule="auto"/>
        <w:jc w:val="both"/>
        <w:rPr>
          <w:rFonts w:ascii="Book Antiqua" w:hAnsi="Book Antiqua" w:cs="Arial"/>
        </w:rPr>
      </w:pPr>
      <w:r>
        <w:rPr>
          <w:rFonts w:ascii="Book Antiqua" w:hAnsi="Book Antiqua" w:cs="Arial"/>
        </w:rPr>
        <w:t xml:space="preserve"> Having heard submissions from Ms Smith and it </w:t>
      </w:r>
      <w:proofErr w:type="gramStart"/>
      <w:r>
        <w:rPr>
          <w:rFonts w:ascii="Book Antiqua" w:hAnsi="Book Antiqua" w:cs="Arial"/>
        </w:rPr>
        <w:t>having</w:t>
      </w:r>
      <w:proofErr w:type="gramEnd"/>
      <w:r>
        <w:rPr>
          <w:rFonts w:ascii="Book Antiqua" w:hAnsi="Book Antiqua" w:cs="Arial"/>
        </w:rPr>
        <w:t xml:space="preserve"> been conceded by Mr Bramble that the decision of the F</w:t>
      </w:r>
      <w:r>
        <w:rPr>
          <w:rFonts w:ascii="Book Antiqua" w:hAnsi="Book Antiqua" w:cs="Arial"/>
          <w:i/>
        </w:rPr>
        <w:t>t</w:t>
      </w:r>
      <w:r>
        <w:rPr>
          <w:rFonts w:ascii="Book Antiqua" w:hAnsi="Book Antiqua" w:cs="Arial"/>
        </w:rPr>
        <w:t>T Judge is infected by a material error of law for the reasons set out in grounds, 1, 2 and 4 of the appellant’s grounds of appeal, a</w:t>
      </w:r>
      <w:r w:rsidRPr="00F14EE1">
        <w:rPr>
          <w:rFonts w:ascii="Book Antiqua" w:hAnsi="Book Antiqua" w:cs="Arial"/>
        </w:rPr>
        <w:t xml:space="preserve">t the conclusion of the hearing before me, I </w:t>
      </w:r>
      <w:r>
        <w:rPr>
          <w:rFonts w:ascii="Book Antiqua" w:hAnsi="Book Antiqua" w:cs="Arial"/>
        </w:rPr>
        <w:t xml:space="preserve">announced that </w:t>
      </w:r>
      <w:r w:rsidRPr="00F14EE1">
        <w:rPr>
          <w:rFonts w:ascii="Book Antiqua" w:hAnsi="Book Antiqua" w:cs="Arial"/>
        </w:rPr>
        <w:t xml:space="preserve">the </w:t>
      </w:r>
      <w:r>
        <w:rPr>
          <w:rFonts w:ascii="Book Antiqua" w:hAnsi="Book Antiqua" w:cs="Arial"/>
        </w:rPr>
        <w:t>appeal is allowed.  The decision of the F</w:t>
      </w:r>
      <w:r>
        <w:rPr>
          <w:rFonts w:ascii="Book Antiqua" w:hAnsi="Book Antiqua" w:cs="Arial"/>
          <w:i/>
        </w:rPr>
        <w:t>t</w:t>
      </w:r>
      <w:r>
        <w:rPr>
          <w:rFonts w:ascii="Book Antiqua" w:hAnsi="Book Antiqua" w:cs="Arial"/>
        </w:rPr>
        <w:t>T Judge is set aside and the appeal is remitted to the F</w:t>
      </w:r>
      <w:r>
        <w:rPr>
          <w:rFonts w:ascii="Book Antiqua" w:hAnsi="Book Antiqua" w:cs="Arial"/>
          <w:i/>
        </w:rPr>
        <w:t>t</w:t>
      </w:r>
      <w:r>
        <w:rPr>
          <w:rFonts w:ascii="Book Antiqua" w:hAnsi="Book Antiqua" w:cs="Arial"/>
        </w:rPr>
        <w:t xml:space="preserve">T for hearing </w:t>
      </w:r>
      <w:r>
        <w:rPr>
          <w:rFonts w:ascii="Book Antiqua" w:hAnsi="Book Antiqua" w:cs="Arial"/>
          <w:i/>
        </w:rPr>
        <w:t>de novo</w:t>
      </w:r>
      <w:r>
        <w:rPr>
          <w:rFonts w:ascii="Book Antiqua" w:hAnsi="Book Antiqua" w:cs="Arial"/>
        </w:rPr>
        <w:t xml:space="preserve">.  I </w:t>
      </w:r>
      <w:r w:rsidRPr="00F14EE1">
        <w:rPr>
          <w:rFonts w:ascii="Book Antiqua" w:hAnsi="Book Antiqua" w:cs="Arial"/>
        </w:rPr>
        <w:t>said that I</w:t>
      </w:r>
      <w:r>
        <w:rPr>
          <w:rFonts w:ascii="Book Antiqua" w:hAnsi="Book Antiqua" w:cs="Arial"/>
        </w:rPr>
        <w:t xml:space="preserve"> would give short </w:t>
      </w:r>
      <w:r w:rsidRPr="00F14EE1">
        <w:rPr>
          <w:rFonts w:ascii="Book Antiqua" w:hAnsi="Book Antiqua" w:cs="Arial"/>
        </w:rPr>
        <w:t>reasons for my decision in writing.  This I now do.</w:t>
      </w:r>
    </w:p>
    <w:p w:rsidR="00F14EE1" w:rsidRDefault="00F14EE1" w:rsidP="00F14EE1">
      <w:pPr>
        <w:numPr>
          <w:ilvl w:val="0"/>
          <w:numId w:val="1"/>
        </w:numPr>
        <w:spacing w:before="360" w:after="360" w:line="360" w:lineRule="auto"/>
        <w:jc w:val="both"/>
        <w:rPr>
          <w:rFonts w:ascii="Book Antiqua" w:hAnsi="Book Antiqua" w:cs="Arial"/>
        </w:rPr>
      </w:pPr>
      <w:r>
        <w:rPr>
          <w:rFonts w:ascii="Book Antiqua" w:hAnsi="Book Antiqua" w:cs="Arial"/>
        </w:rPr>
        <w:t>The applicant is a national of Azerbaijan.  It appears that in May 2017, the appellant and his family applied for entry clearance to enter the UK as visitors.  They were granted entry clearance on 10</w:t>
      </w:r>
      <w:r w:rsidRPr="00F14EE1">
        <w:rPr>
          <w:rFonts w:ascii="Book Antiqua" w:hAnsi="Book Antiqua" w:cs="Arial"/>
          <w:vertAlign w:val="superscript"/>
        </w:rPr>
        <w:t>th</w:t>
      </w:r>
      <w:r>
        <w:rPr>
          <w:rFonts w:ascii="Book Antiqua" w:hAnsi="Book Antiqua" w:cs="Arial"/>
        </w:rPr>
        <w:t xml:space="preserve"> May 2017, valid for six months until 10</w:t>
      </w:r>
      <w:r w:rsidRPr="00F14EE1">
        <w:rPr>
          <w:rFonts w:ascii="Book Antiqua" w:hAnsi="Book Antiqua" w:cs="Arial"/>
          <w:vertAlign w:val="superscript"/>
        </w:rPr>
        <w:t>th</w:t>
      </w:r>
      <w:r>
        <w:rPr>
          <w:rFonts w:ascii="Book Antiqua" w:hAnsi="Book Antiqua" w:cs="Arial"/>
        </w:rPr>
        <w:t xml:space="preserve"> November 2017. The appellant claims to have arrived in the UK on 8</w:t>
      </w:r>
      <w:r w:rsidRPr="00F14EE1">
        <w:rPr>
          <w:rFonts w:ascii="Book Antiqua" w:hAnsi="Book Antiqua" w:cs="Arial"/>
          <w:vertAlign w:val="superscript"/>
        </w:rPr>
        <w:t>th</w:t>
      </w:r>
      <w:r>
        <w:rPr>
          <w:rFonts w:ascii="Book Antiqua" w:hAnsi="Book Antiqua" w:cs="Arial"/>
        </w:rPr>
        <w:t xml:space="preserve"> July 2017 and claimed asylum on 12</w:t>
      </w:r>
      <w:r w:rsidRPr="00F14EE1">
        <w:rPr>
          <w:rFonts w:ascii="Book Antiqua" w:hAnsi="Book Antiqua" w:cs="Arial"/>
          <w:vertAlign w:val="superscript"/>
        </w:rPr>
        <w:t>th</w:t>
      </w:r>
      <w:r>
        <w:rPr>
          <w:rFonts w:ascii="Book Antiqua" w:hAnsi="Book Antiqua" w:cs="Arial"/>
        </w:rPr>
        <w:t xml:space="preserve"> July 2017.    </w:t>
      </w:r>
    </w:p>
    <w:p w:rsidR="00F14EE1" w:rsidRDefault="00F14EE1" w:rsidP="00F14EE1">
      <w:pPr>
        <w:numPr>
          <w:ilvl w:val="0"/>
          <w:numId w:val="1"/>
        </w:numPr>
        <w:spacing w:before="360" w:after="360" w:line="360" w:lineRule="auto"/>
        <w:jc w:val="both"/>
        <w:rPr>
          <w:rFonts w:ascii="Book Antiqua" w:hAnsi="Book Antiqua" w:cs="Arial"/>
        </w:rPr>
      </w:pPr>
      <w:r>
        <w:rPr>
          <w:rFonts w:ascii="Book Antiqua" w:hAnsi="Book Antiqua" w:cs="Arial"/>
        </w:rPr>
        <w:t>The background to the claim for asylum is set out at paragraphs [13] to [40] of the decision of the F</w:t>
      </w:r>
      <w:r>
        <w:rPr>
          <w:rFonts w:ascii="Book Antiqua" w:hAnsi="Book Antiqua" w:cs="Arial"/>
          <w:i/>
        </w:rPr>
        <w:t>t</w:t>
      </w:r>
      <w:r>
        <w:rPr>
          <w:rFonts w:ascii="Book Antiqua" w:hAnsi="Book Antiqua" w:cs="Arial"/>
        </w:rPr>
        <w:t>T Judge.  The Judge’s findings of fact are set out at paragraphs [41(i)] to [41(xiii)] of the decision.  The Judge, at [42], rejected the assertion that the Azerbaijan authorities have any or any significant adverse interest in the appellant arising from his writing and publishing of any newspaper articles and/or asking to register a NGO, and or because of the appellant</w:t>
      </w:r>
      <w:r w:rsidR="005035A5">
        <w:rPr>
          <w:rFonts w:ascii="Book Antiqua" w:hAnsi="Book Antiqua" w:cs="Arial"/>
        </w:rPr>
        <w:t>’s</w:t>
      </w:r>
      <w:r>
        <w:rPr>
          <w:rFonts w:ascii="Book Antiqua" w:hAnsi="Book Antiqua" w:cs="Arial"/>
        </w:rPr>
        <w:t xml:space="preserve"> attendance at any rallies or demonstrations.</w:t>
      </w:r>
    </w:p>
    <w:p w:rsidR="00F14EE1" w:rsidRPr="009C7BF9" w:rsidRDefault="00F14EE1" w:rsidP="00F14EE1">
      <w:pPr>
        <w:numPr>
          <w:ilvl w:val="0"/>
          <w:numId w:val="1"/>
        </w:numPr>
        <w:spacing w:before="360" w:after="360" w:line="360" w:lineRule="auto"/>
        <w:jc w:val="both"/>
        <w:rPr>
          <w:rFonts w:ascii="Book Antiqua" w:hAnsi="Book Antiqua" w:cs="Arial"/>
        </w:rPr>
      </w:pPr>
      <w:r>
        <w:rPr>
          <w:rFonts w:ascii="Book Antiqua" w:hAnsi="Book Antiqua" w:cs="Arial"/>
        </w:rPr>
        <w:t xml:space="preserve">The appellant advanced nine </w:t>
      </w:r>
      <w:r w:rsidRPr="00F14EE1">
        <w:rPr>
          <w:rFonts w:ascii="Book Antiqua" w:hAnsi="Book Antiqua" w:cs="Arial"/>
        </w:rPr>
        <w:t>ground</w:t>
      </w:r>
      <w:r>
        <w:rPr>
          <w:rFonts w:ascii="Book Antiqua" w:hAnsi="Book Antiqua" w:cs="Arial"/>
        </w:rPr>
        <w:t>s</w:t>
      </w:r>
      <w:r w:rsidRPr="00F14EE1">
        <w:rPr>
          <w:rFonts w:ascii="Book Antiqua" w:hAnsi="Book Antiqua" w:cs="Arial"/>
        </w:rPr>
        <w:t xml:space="preserve"> of appeal.</w:t>
      </w:r>
      <w:r>
        <w:rPr>
          <w:rFonts w:ascii="Book Antiqua" w:hAnsi="Book Antiqua" w:cs="Arial"/>
        </w:rPr>
        <w:t xml:space="preserve">  </w:t>
      </w:r>
      <w:r w:rsidRPr="00F14EE1">
        <w:rPr>
          <w:rFonts w:ascii="Book Antiqua" w:hAnsi="Book Antiqua"/>
        </w:rPr>
        <w:t>Permission to appeal was granted by F</w:t>
      </w:r>
      <w:r w:rsidRPr="00F14EE1">
        <w:rPr>
          <w:rFonts w:ascii="Book Antiqua" w:hAnsi="Book Antiqua"/>
          <w:i/>
        </w:rPr>
        <w:t>t</w:t>
      </w:r>
      <w:r>
        <w:rPr>
          <w:rFonts w:ascii="Book Antiqua" w:hAnsi="Book Antiqua"/>
        </w:rPr>
        <w:t>T Judge Robertson</w:t>
      </w:r>
      <w:r w:rsidRPr="00F14EE1">
        <w:rPr>
          <w:rFonts w:ascii="Book Antiqua" w:hAnsi="Book Antiqua"/>
        </w:rPr>
        <w:t xml:space="preserve"> on </w:t>
      </w:r>
      <w:r>
        <w:rPr>
          <w:rFonts w:ascii="Book Antiqua" w:hAnsi="Book Antiqua"/>
        </w:rPr>
        <w:t>8</w:t>
      </w:r>
      <w:r w:rsidRPr="00F14EE1">
        <w:rPr>
          <w:rFonts w:ascii="Book Antiqua" w:hAnsi="Book Antiqua"/>
          <w:vertAlign w:val="superscript"/>
        </w:rPr>
        <w:t>th</w:t>
      </w:r>
      <w:r>
        <w:rPr>
          <w:rFonts w:ascii="Book Antiqua" w:hAnsi="Book Antiqua"/>
        </w:rPr>
        <w:t xml:space="preserve"> January 2018.  </w:t>
      </w:r>
      <w:r w:rsidR="009C7BF9">
        <w:rPr>
          <w:rFonts w:ascii="Book Antiqua" w:hAnsi="Book Antiqua"/>
        </w:rPr>
        <w:t xml:space="preserve">The Judge considered there to be </w:t>
      </w:r>
      <w:proofErr w:type="gramStart"/>
      <w:r w:rsidR="009C7BF9">
        <w:rPr>
          <w:rFonts w:ascii="Book Antiqua" w:hAnsi="Book Antiqua"/>
        </w:rPr>
        <w:t>particular merit</w:t>
      </w:r>
      <w:proofErr w:type="gramEnd"/>
      <w:r w:rsidR="009C7BF9">
        <w:rPr>
          <w:rFonts w:ascii="Book Antiqua" w:hAnsi="Book Antiqua"/>
        </w:rPr>
        <w:t xml:space="preserve"> to grounds 1, 2, 4 and 7 and having considered those grounds </w:t>
      </w:r>
      <w:r w:rsidR="009C7BF9">
        <w:rPr>
          <w:rFonts w:ascii="Book Antiqua" w:hAnsi="Book Antiqua"/>
        </w:rPr>
        <w:lastRenderedPageBreak/>
        <w:t>arguable, noted that the appellant is not precluded from relying on the other grounds.</w:t>
      </w:r>
    </w:p>
    <w:p w:rsidR="009C7BF9" w:rsidRPr="009C7BF9" w:rsidRDefault="009C7BF9" w:rsidP="00F14EE1">
      <w:pPr>
        <w:numPr>
          <w:ilvl w:val="0"/>
          <w:numId w:val="1"/>
        </w:numPr>
        <w:spacing w:before="360" w:after="360" w:line="360" w:lineRule="auto"/>
        <w:jc w:val="both"/>
        <w:rPr>
          <w:rFonts w:ascii="Book Antiqua" w:hAnsi="Book Antiqua" w:cs="Arial"/>
        </w:rPr>
      </w:pPr>
      <w:r>
        <w:rPr>
          <w:rFonts w:ascii="Book Antiqua" w:hAnsi="Book Antiqua"/>
        </w:rPr>
        <w:t xml:space="preserve">For present purposes it is sufficient to note that grounds 1, 2, 4 and 7 of the grounds of appeal concern the Judge’s consideration of the evidence relating to material parts of the appellant’s claim.  First, the complaint that </w:t>
      </w:r>
      <w:r w:rsidR="005035A5">
        <w:rPr>
          <w:rFonts w:ascii="Book Antiqua" w:hAnsi="Book Antiqua"/>
        </w:rPr>
        <w:t>t</w:t>
      </w:r>
      <w:r>
        <w:rPr>
          <w:rFonts w:ascii="Book Antiqua" w:hAnsi="Book Antiqua"/>
        </w:rPr>
        <w:t>he</w:t>
      </w:r>
      <w:r w:rsidR="005035A5">
        <w:rPr>
          <w:rFonts w:ascii="Book Antiqua" w:hAnsi="Book Antiqua"/>
        </w:rPr>
        <w:t xml:space="preserve"> appellant</w:t>
      </w:r>
      <w:r>
        <w:rPr>
          <w:rFonts w:ascii="Book Antiqua" w:hAnsi="Book Antiqua"/>
        </w:rPr>
        <w:t xml:space="preserve"> made to the Minister of Justice concerning the stumbling blocks that he encountered when trying to set up an NGO and the events that followed.  Second, the appellant’s arrest following a demonstration that he attended against the constitutional referendum in September 2016. Third, the evidence relating to the article’s written by the appellant, and finally, the evidence concerning the release of the appellant from detention.  </w:t>
      </w:r>
    </w:p>
    <w:p w:rsidR="005035A5" w:rsidRDefault="009C7BF9" w:rsidP="00F14EE1">
      <w:pPr>
        <w:numPr>
          <w:ilvl w:val="0"/>
          <w:numId w:val="1"/>
        </w:numPr>
        <w:spacing w:before="360" w:after="360" w:line="360" w:lineRule="auto"/>
        <w:jc w:val="both"/>
        <w:rPr>
          <w:rFonts w:ascii="Book Antiqua" w:hAnsi="Book Antiqua" w:cs="Arial"/>
        </w:rPr>
      </w:pPr>
      <w:r>
        <w:rPr>
          <w:rFonts w:ascii="Book Antiqua" w:hAnsi="Book Antiqua"/>
        </w:rPr>
        <w:t xml:space="preserve"> </w:t>
      </w:r>
      <w:r>
        <w:rPr>
          <w:rFonts w:ascii="Book Antiqua" w:hAnsi="Book Antiqua" w:cs="Arial"/>
        </w:rPr>
        <w:t>Mr Bramble accepts, rightly in my judgment, that the decision of the F</w:t>
      </w:r>
      <w:r>
        <w:rPr>
          <w:rFonts w:ascii="Book Antiqua" w:hAnsi="Book Antiqua" w:cs="Arial"/>
          <w:i/>
        </w:rPr>
        <w:t>t</w:t>
      </w:r>
      <w:r>
        <w:rPr>
          <w:rFonts w:ascii="Book Antiqua" w:hAnsi="Book Antiqua" w:cs="Arial"/>
        </w:rPr>
        <w:t>T Judge is infected by a material error of law for the reasons set out in grounds, 1, 2 and 4 of the appellant’s grounds of appeal</w:t>
      </w:r>
      <w:r w:rsidR="005D1B2E">
        <w:rPr>
          <w:rFonts w:ascii="Book Antiqua" w:hAnsi="Book Antiqua" w:cs="Arial"/>
        </w:rPr>
        <w:t>.</w:t>
      </w:r>
      <w:r w:rsidR="002B33DB">
        <w:rPr>
          <w:rFonts w:ascii="Book Antiqua" w:hAnsi="Book Antiqua" w:cs="Arial"/>
        </w:rPr>
        <w:t xml:space="preserve">  </w:t>
      </w:r>
    </w:p>
    <w:p w:rsidR="009C7BF9" w:rsidRDefault="002B33DB" w:rsidP="00F14EE1">
      <w:pPr>
        <w:numPr>
          <w:ilvl w:val="0"/>
          <w:numId w:val="1"/>
        </w:numPr>
        <w:spacing w:before="360" w:after="360" w:line="360" w:lineRule="auto"/>
        <w:jc w:val="both"/>
        <w:rPr>
          <w:rFonts w:ascii="Book Antiqua" w:hAnsi="Book Antiqua" w:cs="Arial"/>
        </w:rPr>
      </w:pPr>
      <w:r>
        <w:rPr>
          <w:rFonts w:ascii="Book Antiqua" w:hAnsi="Book Antiqua" w:cs="Arial"/>
        </w:rPr>
        <w:t>The assessment of the account relied upon by the appel</w:t>
      </w:r>
      <w:r w:rsidR="005035A5">
        <w:rPr>
          <w:rFonts w:ascii="Book Antiqua" w:hAnsi="Book Antiqua" w:cs="Arial"/>
        </w:rPr>
        <w:t xml:space="preserve">lant and the credibility of an </w:t>
      </w:r>
      <w:r>
        <w:rPr>
          <w:rFonts w:ascii="Book Antiqua" w:hAnsi="Book Antiqua" w:cs="Arial"/>
        </w:rPr>
        <w:t>appellant</w:t>
      </w:r>
      <w:r w:rsidRPr="002B33DB">
        <w:rPr>
          <w:rFonts w:ascii="Book Antiqua" w:hAnsi="Book Antiqua" w:cs="Arial"/>
        </w:rPr>
        <w:t xml:space="preserve"> is always a highly fact sensitive task.  The F</w:t>
      </w:r>
      <w:r w:rsidRPr="002B33DB">
        <w:rPr>
          <w:rFonts w:ascii="Book Antiqua" w:hAnsi="Book Antiqua" w:cs="Arial"/>
          <w:i/>
        </w:rPr>
        <w:t>t</w:t>
      </w:r>
      <w:r w:rsidRPr="002B33DB">
        <w:rPr>
          <w:rFonts w:ascii="Book Antiqua" w:hAnsi="Book Antiqua" w:cs="Arial"/>
        </w:rPr>
        <w:t xml:space="preserve">T Judge was required to consider the </w:t>
      </w:r>
      <w:proofErr w:type="gramStart"/>
      <w:r w:rsidRPr="002B33DB">
        <w:rPr>
          <w:rFonts w:ascii="Book Antiqua" w:hAnsi="Book Antiqua" w:cs="Arial"/>
        </w:rPr>
        <w:t>evidence as a whole</w:t>
      </w:r>
      <w:proofErr w:type="gramEnd"/>
      <w:r w:rsidRPr="002B33DB">
        <w:rPr>
          <w:rFonts w:ascii="Book Antiqua" w:hAnsi="Book Antiqua" w:cs="Arial"/>
        </w:rPr>
        <w:t xml:space="preserve">.  In assessing the credibility of the appellant and the claim advanced by him, the Judge was required to consider </w:t>
      </w:r>
      <w:proofErr w:type="gramStart"/>
      <w:r w:rsidRPr="002B33DB">
        <w:rPr>
          <w:rFonts w:ascii="Book Antiqua" w:hAnsi="Book Antiqua" w:cs="Arial"/>
        </w:rPr>
        <w:t>a number of</w:t>
      </w:r>
      <w:proofErr w:type="gramEnd"/>
      <w:r w:rsidRPr="002B33DB">
        <w:rPr>
          <w:rFonts w:ascii="Book Antiqua" w:hAnsi="Book Antiqua" w:cs="Arial"/>
        </w:rPr>
        <w:t xml:space="preserve"> factors.  They include, whether the account given by the appellant was of sufficient detail, whether the account is internally consistent and consistent with any relevant specific and general country information, and whether the account is plausible.  If an account is littered with internal inconsistencies that may be enough for a Judge to dismiss the evidence of an appellant as incredible.  It does not follow that a Judge is entitled to dismiss an account in the same way, simply because the account is implausible.  That is not however to say that a Judge is required to take at face value, an account of facts proffered by an appellant.</w:t>
      </w:r>
    </w:p>
    <w:p w:rsidR="002B33DB" w:rsidRDefault="002B33DB" w:rsidP="00F14EE1">
      <w:pPr>
        <w:numPr>
          <w:ilvl w:val="0"/>
          <w:numId w:val="1"/>
        </w:numPr>
        <w:spacing w:before="360" w:after="360" w:line="360" w:lineRule="auto"/>
        <w:jc w:val="both"/>
        <w:rPr>
          <w:rFonts w:ascii="Book Antiqua" w:hAnsi="Book Antiqua" w:cs="Arial"/>
        </w:rPr>
      </w:pPr>
      <w:r>
        <w:rPr>
          <w:rFonts w:ascii="Book Antiqua" w:hAnsi="Book Antiqua" w:cs="Arial"/>
        </w:rPr>
        <w:t>Here, the Judge did not accept the appellant’s account that the appellant attempted to register a NGO in Azerbaijan.  The Judge rejected the account because it was “</w:t>
      </w:r>
      <w:r>
        <w:rPr>
          <w:rFonts w:ascii="Book Antiqua" w:hAnsi="Book Antiqua" w:cs="Arial"/>
          <w:i/>
        </w:rPr>
        <w:t xml:space="preserve">simply a bald assertion of unexplained fact”, </w:t>
      </w:r>
      <w:r>
        <w:rPr>
          <w:rFonts w:ascii="Book Antiqua" w:hAnsi="Book Antiqua" w:cs="Arial"/>
        </w:rPr>
        <w:t xml:space="preserve">but in reaching that conclusion the Judge </w:t>
      </w:r>
      <w:r>
        <w:rPr>
          <w:rFonts w:ascii="Book Antiqua" w:hAnsi="Book Antiqua" w:cs="Arial"/>
        </w:rPr>
        <w:lastRenderedPageBreak/>
        <w:t>does not refer to the explanation provided by the appellant during his interview and in his witness statement.  Similarly, the Judge found that the appellant was not a person of any significant profile and that his involvement in rallies, gatherings or demonstrations was not recorded or document</w:t>
      </w:r>
      <w:r w:rsidR="005035A5">
        <w:rPr>
          <w:rFonts w:ascii="Book Antiqua" w:hAnsi="Book Antiqua" w:cs="Arial"/>
        </w:rPr>
        <w:t>ed</w:t>
      </w:r>
      <w:r>
        <w:rPr>
          <w:rFonts w:ascii="Book Antiqua" w:hAnsi="Book Antiqua" w:cs="Arial"/>
        </w:rPr>
        <w:t>.  The Judge states “</w:t>
      </w:r>
      <w:r>
        <w:rPr>
          <w:rFonts w:ascii="Book Antiqua" w:hAnsi="Book Antiqua" w:cs="Arial"/>
          <w:i/>
        </w:rPr>
        <w:t>There is, quite literally, no available evidence that would permit a contrary finding.”.</w:t>
      </w:r>
      <w:r>
        <w:rPr>
          <w:rFonts w:ascii="Book Antiqua" w:hAnsi="Book Antiqua" w:cs="Arial"/>
        </w:rPr>
        <w:t xml:space="preserve">  The Judge recorded at [23]</w:t>
      </w:r>
      <w:r w:rsidR="005035A5">
        <w:rPr>
          <w:rFonts w:ascii="Book Antiqua" w:hAnsi="Book Antiqua" w:cs="Arial"/>
        </w:rPr>
        <w:t xml:space="preserve">, that </w:t>
      </w:r>
      <w:r>
        <w:rPr>
          <w:rFonts w:ascii="Book Antiqua" w:hAnsi="Book Antiqua" w:cs="Arial"/>
        </w:rPr>
        <w:t>the appellant’s evidence that he was blacklisted</w:t>
      </w:r>
      <w:r w:rsidR="005035A5">
        <w:rPr>
          <w:rFonts w:ascii="Book Antiqua" w:hAnsi="Book Antiqua" w:cs="Arial"/>
        </w:rPr>
        <w:t>,</w:t>
      </w:r>
      <w:r>
        <w:rPr>
          <w:rFonts w:ascii="Book Antiqua" w:hAnsi="Book Antiqua" w:cs="Arial"/>
        </w:rPr>
        <w:t xml:space="preserve"> was speculation.  The appellant had however claimed in his interview that he had been arrested at a demonstration to do with the referendum on 11</w:t>
      </w:r>
      <w:r w:rsidRPr="002B33DB">
        <w:rPr>
          <w:rFonts w:ascii="Book Antiqua" w:hAnsi="Book Antiqua" w:cs="Arial"/>
          <w:vertAlign w:val="superscript"/>
        </w:rPr>
        <w:t>th</w:t>
      </w:r>
      <w:r>
        <w:rPr>
          <w:rFonts w:ascii="Book Antiqua" w:hAnsi="Book Antiqua" w:cs="Arial"/>
        </w:rPr>
        <w:t xml:space="preserve"> September 2016.  He had claimed in his interview that he was held for two hours and paid $200, but before he was released he was asked where he worked, lived, and for personal information.  The Judge does not appear to have considered that evidence.</w:t>
      </w:r>
    </w:p>
    <w:p w:rsidR="00F4641E" w:rsidRDefault="005035A5" w:rsidP="00F4641E">
      <w:pPr>
        <w:numPr>
          <w:ilvl w:val="0"/>
          <w:numId w:val="1"/>
        </w:numPr>
        <w:spacing w:before="360" w:after="360" w:line="360" w:lineRule="auto"/>
        <w:jc w:val="both"/>
        <w:rPr>
          <w:rFonts w:ascii="Book Antiqua" w:hAnsi="Book Antiqua" w:cs="Arial"/>
        </w:rPr>
      </w:pPr>
      <w:r>
        <w:rPr>
          <w:rFonts w:ascii="Book Antiqua" w:hAnsi="Book Antiqua" w:cs="Arial"/>
        </w:rPr>
        <w:t>At paragraph</w:t>
      </w:r>
      <w:r w:rsidR="00F4641E">
        <w:rPr>
          <w:rFonts w:ascii="Book Antiqua" w:hAnsi="Book Antiqua" w:cs="Arial"/>
        </w:rPr>
        <w:t xml:space="preserve"> [21] of the decision, the Judge referred to the articles published in a newspaper called Bushka.  At paragraph [22], the Judge records that the appellant had no answer to the proposition that if the government disapproved of his articles, it would have prevented them from being published.  At paragraphs [31] to [38] the Judge carefully considered the articles that were in the evidence before him.  In considering that evidence, the Judge did not consider</w:t>
      </w:r>
      <w:r w:rsidR="00F4641E" w:rsidRPr="002B33DB">
        <w:rPr>
          <w:rFonts w:ascii="Book Antiqua" w:hAnsi="Book Antiqua" w:cs="Arial"/>
        </w:rPr>
        <w:t xml:space="preserve"> whether the account </w:t>
      </w:r>
      <w:r w:rsidR="00F4641E">
        <w:rPr>
          <w:rFonts w:ascii="Book Antiqua" w:hAnsi="Book Antiqua" w:cs="Arial"/>
        </w:rPr>
        <w:t xml:space="preserve">given by the appellant </w:t>
      </w:r>
      <w:r w:rsidR="00F4641E" w:rsidRPr="002B33DB">
        <w:rPr>
          <w:rFonts w:ascii="Book Antiqua" w:hAnsi="Book Antiqua" w:cs="Arial"/>
        </w:rPr>
        <w:t>is consistent with any relevant specific and general country information</w:t>
      </w:r>
      <w:r w:rsidR="00F4641E">
        <w:rPr>
          <w:rFonts w:ascii="Book Antiqua" w:hAnsi="Book Antiqua" w:cs="Arial"/>
        </w:rPr>
        <w:t>.  There was at least some background material of a crackdown on freedom of expression during 2017.  Equally, in rejecting the evidence relating to the alleged detention, the Judge failed to consider the account provided by the appellant and give reasons for rejecting that account.</w:t>
      </w:r>
    </w:p>
    <w:p w:rsidR="00F4641E" w:rsidRDefault="00F4641E" w:rsidP="00F4641E">
      <w:pPr>
        <w:numPr>
          <w:ilvl w:val="0"/>
          <w:numId w:val="1"/>
        </w:numPr>
        <w:spacing w:before="360" w:after="360" w:line="360" w:lineRule="auto"/>
        <w:jc w:val="both"/>
        <w:rPr>
          <w:rFonts w:ascii="Book Antiqua" w:hAnsi="Book Antiqua" w:cs="Arial"/>
        </w:rPr>
      </w:pPr>
      <w:r>
        <w:rPr>
          <w:rFonts w:ascii="Book Antiqua" w:hAnsi="Book Antiqua" w:cs="Arial"/>
        </w:rPr>
        <w:t xml:space="preserve">It is important to note that the Judge reached </w:t>
      </w:r>
      <w:proofErr w:type="gramStart"/>
      <w:r>
        <w:rPr>
          <w:rFonts w:ascii="Book Antiqua" w:hAnsi="Book Antiqua" w:cs="Arial"/>
        </w:rPr>
        <w:t>a number of</w:t>
      </w:r>
      <w:proofErr w:type="gramEnd"/>
      <w:r>
        <w:rPr>
          <w:rFonts w:ascii="Book Antiqua" w:hAnsi="Book Antiqua" w:cs="Arial"/>
        </w:rPr>
        <w:t xml:space="preserve"> adverse findings, and although the appellant seeks to challenge those findings, on their own, in my judgement</w:t>
      </w:r>
      <w:r w:rsidR="005035A5">
        <w:rPr>
          <w:rFonts w:ascii="Book Antiqua" w:hAnsi="Book Antiqua" w:cs="Arial"/>
        </w:rPr>
        <w:t>,</w:t>
      </w:r>
      <w:r>
        <w:rPr>
          <w:rFonts w:ascii="Book Antiqua" w:hAnsi="Book Antiqua" w:cs="Arial"/>
        </w:rPr>
        <w:t xml:space="preserve"> the findings would have properly been open to the Judge and taken in isolation, the appellant’s </w:t>
      </w:r>
      <w:r w:rsidR="005035A5">
        <w:rPr>
          <w:rFonts w:ascii="Book Antiqua" w:hAnsi="Book Antiqua" w:cs="Arial"/>
        </w:rPr>
        <w:t xml:space="preserve">remaining </w:t>
      </w:r>
      <w:r>
        <w:rPr>
          <w:rFonts w:ascii="Book Antiqua" w:hAnsi="Book Antiqua" w:cs="Arial"/>
        </w:rPr>
        <w:t xml:space="preserve">grounds would have amounted to nothing more than a disagreement with findings properly open to the Judge.  I have carefully read the decision </w:t>
      </w:r>
      <w:proofErr w:type="gramStart"/>
      <w:r>
        <w:rPr>
          <w:rFonts w:ascii="Book Antiqua" w:hAnsi="Book Antiqua" w:cs="Arial"/>
        </w:rPr>
        <w:t>as a whole and</w:t>
      </w:r>
      <w:proofErr w:type="gramEnd"/>
      <w:r>
        <w:rPr>
          <w:rFonts w:ascii="Book Antiqua" w:hAnsi="Book Antiqua" w:cs="Arial"/>
        </w:rPr>
        <w:t xml:space="preserve"> in the end, I am not satisfied that the Judge would inevitably</w:t>
      </w:r>
      <w:r w:rsidR="005035A5">
        <w:rPr>
          <w:rFonts w:ascii="Book Antiqua" w:hAnsi="Book Antiqua" w:cs="Arial"/>
        </w:rPr>
        <w:t xml:space="preserve"> have reached the same decision if the errors identified, had not occurred.  The errors are therefore material.  </w:t>
      </w:r>
    </w:p>
    <w:p w:rsidR="00F4641E" w:rsidRPr="00246AA4" w:rsidRDefault="00F4641E" w:rsidP="00F4641E">
      <w:pPr>
        <w:pStyle w:val="p"/>
        <w:numPr>
          <w:ilvl w:val="0"/>
          <w:numId w:val="1"/>
        </w:numPr>
        <w:spacing w:before="360" w:after="360" w:line="360" w:lineRule="auto"/>
      </w:pPr>
      <w:r>
        <w:lastRenderedPageBreak/>
        <w:t>It follows that the decision of the F</w:t>
      </w:r>
      <w:r>
        <w:rPr>
          <w:i/>
        </w:rPr>
        <w:t>t</w:t>
      </w:r>
      <w:r>
        <w:t>T must be set aside.  As to the disposal of the appeal, as the credibility of the appellant is something that is at the heart of this appeal, the appropriate course is to remit the matter back to the F</w:t>
      </w:r>
      <w:r>
        <w:rPr>
          <w:i/>
        </w:rPr>
        <w:t>t</w:t>
      </w:r>
      <w:r>
        <w:t xml:space="preserve">T for hearing </w:t>
      </w:r>
      <w:r>
        <w:rPr>
          <w:i/>
        </w:rPr>
        <w:t xml:space="preserve">de novo.  </w:t>
      </w:r>
      <w:r w:rsidRPr="00084D70">
        <w:t xml:space="preserve">I have decided that it is appropriate to remit this appeal back to the First-tier Tribunal, having </w:t>
      </w:r>
      <w:proofErr w:type="gramStart"/>
      <w:r w:rsidRPr="00084D70">
        <w:t>taken into account</w:t>
      </w:r>
      <w:proofErr w:type="gramEnd"/>
      <w:r w:rsidRPr="00084D70">
        <w:t xml:space="preserve"> paragraph 7.2 of the Senior President’s Practice Statement of 25</w:t>
      </w:r>
      <w:r w:rsidRPr="00084D70">
        <w:rPr>
          <w:vertAlign w:val="superscript"/>
        </w:rPr>
        <w:t>th</w:t>
      </w:r>
      <w:r w:rsidRPr="00084D70">
        <w:t xml:space="preserve"> September 2012</w:t>
      </w:r>
      <w:r>
        <w:t xml:space="preserve">.  </w:t>
      </w:r>
      <w:r w:rsidRPr="00084D70">
        <w:t xml:space="preserve">In my view, </w:t>
      </w:r>
      <w:r>
        <w:t>the</w:t>
      </w:r>
      <w:r w:rsidRPr="00084D70">
        <w:t xml:space="preserve"> nature and extent of any judicial fact-finding necessary will be extensive. The parties will be advised of the date of the First-tier Tribunal hearing in due course.</w:t>
      </w:r>
    </w:p>
    <w:p w:rsidR="00F4641E" w:rsidRDefault="00F4641E" w:rsidP="00F4641E">
      <w:pPr>
        <w:pStyle w:val="p"/>
        <w:spacing w:before="360" w:after="360" w:line="360" w:lineRule="auto"/>
        <w:ind w:left="0" w:firstLine="0"/>
      </w:pPr>
      <w:r w:rsidRPr="001134AA">
        <w:rPr>
          <w:b/>
          <w:u w:val="single"/>
        </w:rPr>
        <w:t>Notice of Decision</w:t>
      </w:r>
    </w:p>
    <w:p w:rsidR="00F4641E" w:rsidRDefault="00F4641E" w:rsidP="00F4641E">
      <w:pPr>
        <w:pStyle w:val="p"/>
        <w:numPr>
          <w:ilvl w:val="0"/>
          <w:numId w:val="1"/>
        </w:numPr>
        <w:spacing w:before="360" w:after="360" w:line="360" w:lineRule="auto"/>
      </w:pPr>
      <w:r>
        <w:t xml:space="preserve">The appeal is </w:t>
      </w:r>
      <w:bookmarkStart w:id="0" w:name="Text27"/>
      <w:r>
        <w:t xml:space="preserve">allowed and the appeal is </w:t>
      </w:r>
      <w:r>
        <w:rPr>
          <w:color w:val="000000"/>
        </w:rPr>
        <w:t>remitted the F</w:t>
      </w:r>
      <w:r>
        <w:rPr>
          <w:i/>
          <w:color w:val="000000"/>
        </w:rPr>
        <w:t>t</w:t>
      </w:r>
      <w:r>
        <w:rPr>
          <w:color w:val="000000"/>
        </w:rPr>
        <w:t>T for a fresh hearing of the appeal</w:t>
      </w:r>
      <w:bookmarkEnd w:id="0"/>
      <w:r>
        <w:rPr>
          <w:color w:val="000000"/>
        </w:rPr>
        <w:t xml:space="preserve"> with no findings preserved.</w:t>
      </w:r>
    </w:p>
    <w:p w:rsidR="00F4641E" w:rsidRPr="001134AA" w:rsidRDefault="00F4641E" w:rsidP="00F4641E">
      <w:pPr>
        <w:pStyle w:val="p"/>
        <w:numPr>
          <w:ilvl w:val="0"/>
          <w:numId w:val="1"/>
        </w:numPr>
        <w:spacing w:before="360" w:after="360" w:line="360" w:lineRule="auto"/>
      </w:pPr>
      <w:r>
        <w:t>I have made an anonymity direction.</w:t>
      </w:r>
    </w:p>
    <w:p w:rsidR="006B7C2A" w:rsidRDefault="006B7C2A">
      <w:pPr>
        <w:spacing w:after="240"/>
        <w:ind w:left="567" w:hanging="567"/>
        <w:jc w:val="both"/>
        <w:rPr>
          <w:rFonts w:ascii="Book Antiqua" w:hAnsi="Book Antiqua" w:cs="Arial"/>
          <w:b/>
          <w:u w:val="single"/>
        </w:rPr>
      </w:pPr>
      <w:r>
        <w:rPr>
          <w:rFonts w:ascii="Book Antiqua" w:hAnsi="Book Antiqua" w:cs="Arial"/>
          <w:b/>
          <w:u w:val="single"/>
        </w:rPr>
        <w:t>Directions</w:t>
      </w:r>
    </w:p>
    <w:p w:rsidR="006B7C2A" w:rsidRDefault="006B7C2A">
      <w:pPr>
        <w:spacing w:after="240"/>
        <w:ind w:left="567" w:hanging="567"/>
        <w:jc w:val="both"/>
        <w:rPr>
          <w:rFonts w:ascii="Book Antiqua" w:hAnsi="Book Antiqua" w:cs="Arial"/>
        </w:rPr>
      </w:pPr>
      <w:r>
        <w:rPr>
          <w:rFonts w:ascii="Book Antiqua" w:hAnsi="Book Antiqua" w:cs="Arial"/>
        </w:rPr>
        <w:t>1.</w:t>
      </w:r>
      <w:r>
        <w:rPr>
          <w:rFonts w:ascii="Book Antiqua" w:hAnsi="Book Antiqua" w:cs="Arial"/>
        </w:rPr>
        <w:tab/>
        <w:t xml:space="preserve">A Russian interpreter is needed.  </w:t>
      </w:r>
    </w:p>
    <w:p w:rsidR="006B7C2A" w:rsidRDefault="006B7C2A">
      <w:pPr>
        <w:spacing w:after="240"/>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Time estimate: Three hours.  </w:t>
      </w:r>
    </w:p>
    <w:p w:rsidR="006B7C2A" w:rsidRDefault="006B7C2A">
      <w:pPr>
        <w:jc w:val="both"/>
        <w:rPr>
          <w:rFonts w:ascii="Book Antiqua" w:hAnsi="Book Antiqua" w:cs="Arial"/>
        </w:rPr>
      </w:pPr>
    </w:p>
    <w:p w:rsidR="000E613E" w:rsidRDefault="000E613E">
      <w:pPr>
        <w:jc w:val="both"/>
        <w:rPr>
          <w:rFonts w:ascii="Book Antiqua" w:hAnsi="Book Antiqua" w:cs="Arial"/>
        </w:rPr>
      </w:pPr>
      <w:bookmarkStart w:id="1" w:name="_GoBack"/>
      <w:bookmarkEnd w:id="1"/>
    </w:p>
    <w:p w:rsidR="006B7C2A" w:rsidRDefault="006B7C2A">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6B7C2A" w:rsidRDefault="006B7C2A">
      <w:pPr>
        <w:jc w:val="both"/>
        <w:rPr>
          <w:rFonts w:ascii="Book Antiqua" w:hAnsi="Book Antiqua" w:cs="Arial"/>
        </w:rPr>
      </w:pPr>
    </w:p>
    <w:p w:rsidR="006B7C2A" w:rsidRDefault="006B7C2A">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6B7C2A" w:rsidRDefault="006B7C2A">
      <w:pPr>
        <w:jc w:val="both"/>
        <w:rPr>
          <w:rFonts w:ascii="Book Antiqua" w:hAnsi="Book Antiqua" w:cs="Arial"/>
        </w:rPr>
      </w:pPr>
    </w:p>
    <w:p w:rsidR="006B7C2A" w:rsidRDefault="006B7C2A">
      <w:pPr>
        <w:jc w:val="both"/>
        <w:rPr>
          <w:rFonts w:ascii="Book Antiqua" w:hAnsi="Book Antiqua" w:cs="Arial"/>
        </w:rPr>
      </w:pPr>
    </w:p>
    <w:p w:rsidR="006B7C2A" w:rsidRDefault="006B7C2A">
      <w:pPr>
        <w:jc w:val="both"/>
        <w:rPr>
          <w:rFonts w:ascii="Book Antiqua" w:hAnsi="Book Antiqua" w:cs="Arial"/>
        </w:rPr>
      </w:pPr>
    </w:p>
    <w:p w:rsidR="006B7C2A" w:rsidRDefault="006B7C2A">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F4641E">
        <w:rPr>
          <w:rFonts w:ascii="Book Antiqua" w:hAnsi="Book Antiqua" w:cs="Arial"/>
        </w:rPr>
        <w:tab/>
        <w:t xml:space="preserve"> 27</w:t>
      </w:r>
      <w:r w:rsidR="00F4641E" w:rsidRPr="00F4641E">
        <w:rPr>
          <w:rFonts w:ascii="Book Antiqua" w:hAnsi="Book Antiqua" w:cs="Arial"/>
          <w:vertAlign w:val="superscript"/>
        </w:rPr>
        <w:t>th</w:t>
      </w:r>
      <w:r w:rsidR="00F4641E">
        <w:rPr>
          <w:rFonts w:ascii="Book Antiqua" w:hAnsi="Book Antiqua" w:cs="Arial"/>
        </w:rPr>
        <w:t xml:space="preserve"> April 2018</w:t>
      </w:r>
    </w:p>
    <w:p w:rsidR="006B7C2A" w:rsidRDefault="006B7C2A">
      <w:pPr>
        <w:jc w:val="both"/>
        <w:rPr>
          <w:rFonts w:ascii="Book Antiqua" w:hAnsi="Book Antiqua" w:cs="Arial"/>
        </w:rPr>
      </w:pPr>
    </w:p>
    <w:p w:rsidR="006B7C2A" w:rsidRDefault="006B7C2A">
      <w:pPr>
        <w:jc w:val="both"/>
        <w:rPr>
          <w:rFonts w:ascii="Book Antiqua" w:hAnsi="Book Antiqua" w:cs="Arial"/>
        </w:rPr>
      </w:pPr>
    </w:p>
    <w:p w:rsidR="006B7C2A" w:rsidRDefault="006B7C2A" w:rsidP="00F4641E">
      <w:pPr>
        <w:rPr>
          <w:rFonts w:ascii="Book Antiqua" w:hAnsi="Book Antiqua" w:cs="Arial"/>
        </w:rPr>
      </w:pPr>
      <w:r>
        <w:rPr>
          <w:rFonts w:ascii="Book Antiqua" w:hAnsi="Book Antiqua" w:cs="Arial"/>
          <w:color w:val="000000"/>
        </w:rPr>
        <w:t xml:space="preserve">Deputy Upper Tribunal Judge Mandalia </w:t>
      </w:r>
    </w:p>
    <w:sectPr w:rsidR="006B7C2A" w:rsidSect="000E613E">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C2A" w:rsidRDefault="006B7C2A">
      <w:r>
        <w:separator/>
      </w:r>
    </w:p>
  </w:endnote>
  <w:endnote w:type="continuationSeparator" w:id="0">
    <w:p w:rsidR="006B7C2A" w:rsidRDefault="006B7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A" w:rsidRPr="000E613E" w:rsidRDefault="006B7C2A">
    <w:pPr>
      <w:pStyle w:val="Footer"/>
      <w:jc w:val="center"/>
      <w:rPr>
        <w:rFonts w:ascii="Book Antiqua" w:hAnsi="Book Antiqua" w:cs="Arial"/>
      </w:rPr>
    </w:pPr>
    <w:r w:rsidRPr="000E613E">
      <w:rPr>
        <w:rStyle w:val="PageNumber"/>
        <w:rFonts w:ascii="Book Antiqua" w:hAnsi="Book Antiqua" w:cs="Arial"/>
      </w:rPr>
      <w:fldChar w:fldCharType="begin"/>
    </w:r>
    <w:r w:rsidRPr="000E613E">
      <w:rPr>
        <w:rStyle w:val="PageNumber"/>
        <w:rFonts w:ascii="Book Antiqua" w:hAnsi="Book Antiqua" w:cs="Arial"/>
      </w:rPr>
      <w:instrText xml:space="preserve"> PAGE </w:instrText>
    </w:r>
    <w:r w:rsidRPr="000E613E">
      <w:rPr>
        <w:rStyle w:val="PageNumber"/>
        <w:rFonts w:ascii="Book Antiqua" w:hAnsi="Book Antiqua" w:cs="Arial"/>
      </w:rPr>
      <w:fldChar w:fldCharType="separate"/>
    </w:r>
    <w:r w:rsidR="00772160">
      <w:rPr>
        <w:rStyle w:val="PageNumber"/>
        <w:rFonts w:ascii="Book Antiqua" w:hAnsi="Book Antiqua" w:cs="Arial"/>
        <w:noProof/>
      </w:rPr>
      <w:t>5</w:t>
    </w:r>
    <w:r w:rsidRPr="000E613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A" w:rsidRDefault="006B7C2A">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C2A" w:rsidRDefault="006B7C2A">
      <w:r>
        <w:separator/>
      </w:r>
    </w:p>
  </w:footnote>
  <w:footnote w:type="continuationSeparator" w:id="0">
    <w:p w:rsidR="006B7C2A" w:rsidRDefault="006B7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A" w:rsidRDefault="006B7C2A">
    <w:pPr>
      <w:pStyle w:val="Header"/>
      <w:jc w:val="right"/>
      <w:rPr>
        <w:rFonts w:ascii="Book Antiqua" w:hAnsi="Book Antiqua" w:cs="Arial"/>
        <w:sz w:val="16"/>
        <w:szCs w:val="16"/>
      </w:rPr>
    </w:pPr>
    <w:r>
      <w:rPr>
        <w:rFonts w:ascii="Book Antiqua" w:hAnsi="Book Antiqua" w:cs="Arial"/>
        <w:sz w:val="16"/>
        <w:szCs w:val="16"/>
      </w:rPr>
      <w:t>Appeal Number: PA/10948/2017</w:t>
    </w:r>
  </w:p>
  <w:p w:rsidR="000E613E" w:rsidRDefault="000E613E">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C2A" w:rsidRDefault="006B7C2A">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E76EA8"/>
    <w:multiLevelType w:val="hybridMultilevel"/>
    <w:tmpl w:val="88606106"/>
    <w:lvl w:ilvl="0" w:tplc="786AD5C0">
      <w:start w:val="1"/>
      <w:numFmt w:val="decimal"/>
      <w:lvlText w:val="%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4D"/>
    <w:rsid w:val="000E613E"/>
    <w:rsid w:val="002B33DB"/>
    <w:rsid w:val="005035A5"/>
    <w:rsid w:val="0050714D"/>
    <w:rsid w:val="005D1B2E"/>
    <w:rsid w:val="005F6DE2"/>
    <w:rsid w:val="006B7C2A"/>
    <w:rsid w:val="00772160"/>
    <w:rsid w:val="007D2F36"/>
    <w:rsid w:val="009C7BF9"/>
    <w:rsid w:val="00BB7BA2"/>
    <w:rsid w:val="00F14EE1"/>
    <w:rsid w:val="00F46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1BB8E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NormalWeb">
    <w:name w:val="Normal (Web)"/>
    <w:basedOn w:val="Normal"/>
    <w:uiPriority w:val="99"/>
    <w:unhideWhenUsed/>
    <w:rsid w:val="0050714D"/>
    <w:pPr>
      <w:spacing w:before="100" w:beforeAutospacing="1" w:after="100" w:afterAutospacing="1"/>
    </w:pPr>
    <w:rPr>
      <w:lang w:eastAsia="en-US"/>
    </w:rPr>
  </w:style>
  <w:style w:type="paragraph" w:customStyle="1" w:styleId="p">
    <w:name w:val="p"/>
    <w:basedOn w:val="Normal"/>
    <w:link w:val="pChar"/>
    <w:rsid w:val="00F14EE1"/>
    <w:pPr>
      <w:ind w:left="567" w:hanging="567"/>
      <w:jc w:val="both"/>
    </w:pPr>
    <w:rPr>
      <w:rFonts w:ascii="Book Antiqua" w:hAnsi="Book Antiqua" w:cs="Arial"/>
    </w:rPr>
  </w:style>
  <w:style w:type="character" w:customStyle="1" w:styleId="pChar">
    <w:name w:val="p Char"/>
    <w:link w:val="p"/>
    <w:rsid w:val="00F14EE1"/>
    <w:rPr>
      <w:rFonts w:ascii="Book Antiqua" w:hAnsi="Book Antiqua" w:cs="Arial"/>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7484</Characters>
  <Application>Microsoft Office Word</Application>
  <DocSecurity>0</DocSecurity>
  <Lines>62</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2018-07-19T15:00:00Z</dcterms:created>
  <dcterms:modified xsi:type="dcterms:W3CDTF">2018-07-19T15:00:00Z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