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E14B" w14:textId="49299E40" w:rsidR="00C321B5" w:rsidRPr="00F5664C" w:rsidRDefault="00C06909" w:rsidP="00C321B5">
      <w:pPr>
        <w:jc w:val="center"/>
        <w:rPr>
          <w:rFonts w:ascii="Book Antiqua" w:hAnsi="Book Antiqua" w:cs="Arial"/>
          <w:sz w:val="16"/>
          <w:szCs w:val="16"/>
        </w:rPr>
      </w:pPr>
      <w:r w:rsidRPr="007B347D">
        <w:rPr>
          <w:noProof/>
        </w:rPr>
        <w:drawing>
          <wp:inline distT="0" distB="0" distL="0" distR="0" wp14:anchorId="2386C38D" wp14:editId="1396CED5">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685C41B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652BB44" w14:textId="1321FBCA"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27734">
        <w:rPr>
          <w:rFonts w:ascii="Book Antiqua" w:hAnsi="Book Antiqua" w:cs="Arial"/>
          <w:b/>
        </w:rPr>
        <w:t xml:space="preserve">   </w:t>
      </w:r>
      <w:proofErr w:type="gramEnd"/>
      <w:r w:rsidR="00927734">
        <w:rPr>
          <w:rFonts w:ascii="Book Antiqua" w:hAnsi="Book Antiqua" w:cs="Arial"/>
          <w:b/>
        </w:rPr>
        <w:t xml:space="preserve">                  </w:t>
      </w:r>
      <w:r w:rsidR="00B3524D" w:rsidRPr="00E91953">
        <w:rPr>
          <w:rFonts w:ascii="Book Antiqua" w:hAnsi="Book Antiqua" w:cs="Arial"/>
          <w:b/>
        </w:rPr>
        <w:t>Appeal Number</w:t>
      </w:r>
      <w:r w:rsidR="00D53769" w:rsidRPr="00E91953">
        <w:rPr>
          <w:rFonts w:ascii="Book Antiqua" w:hAnsi="Book Antiqua" w:cs="Arial"/>
          <w:b/>
        </w:rPr>
        <w:t>:</w:t>
      </w:r>
      <w:r w:rsidR="00B3524D" w:rsidRPr="00F5664C">
        <w:rPr>
          <w:rFonts w:ascii="Book Antiqua" w:hAnsi="Book Antiqua" w:cs="Arial"/>
        </w:rPr>
        <w:t xml:space="preserve"> </w:t>
      </w:r>
      <w:r w:rsidR="00E91953">
        <w:rPr>
          <w:rFonts w:ascii="Book Antiqua" w:hAnsi="Book Antiqua"/>
          <w:b/>
        </w:rPr>
        <w:t>PA/</w:t>
      </w:r>
      <w:r w:rsidR="00C0355E">
        <w:rPr>
          <w:rFonts w:ascii="Book Antiqua" w:hAnsi="Book Antiqua"/>
          <w:b/>
        </w:rPr>
        <w:t>10989</w:t>
      </w:r>
      <w:r w:rsidR="00E91953">
        <w:rPr>
          <w:rFonts w:ascii="Book Antiqua" w:hAnsi="Book Antiqua"/>
          <w:b/>
        </w:rPr>
        <w:t>/201</w:t>
      </w:r>
      <w:r w:rsidR="00C0355E">
        <w:rPr>
          <w:rFonts w:ascii="Book Antiqua" w:hAnsi="Book Antiqua"/>
          <w:b/>
        </w:rPr>
        <w:t>7</w:t>
      </w:r>
    </w:p>
    <w:p w14:paraId="1EE6DDBF" w14:textId="77777777" w:rsidR="00C345E1" w:rsidRPr="00F5664C" w:rsidRDefault="00C345E1" w:rsidP="00C345E1">
      <w:pPr>
        <w:jc w:val="center"/>
        <w:rPr>
          <w:rFonts w:ascii="Book Antiqua" w:hAnsi="Book Antiqua" w:cs="Arial"/>
        </w:rPr>
      </w:pPr>
    </w:p>
    <w:p w14:paraId="3513A493"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D9D7817" w14:textId="77777777"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84467" w14:paraId="6AACF056" w14:textId="77777777" w:rsidTr="00927734">
        <w:tc>
          <w:tcPr>
            <w:tcW w:w="5103" w:type="dxa"/>
            <w:shd w:val="clear" w:color="auto" w:fill="auto"/>
          </w:tcPr>
          <w:p w14:paraId="13BA1867" w14:textId="77777777"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E91953">
              <w:rPr>
                <w:rFonts w:ascii="Book Antiqua" w:hAnsi="Book Antiqua" w:cs="Arial"/>
                <w:b/>
              </w:rPr>
              <w:t>Manchester CJC</w:t>
            </w:r>
          </w:p>
        </w:tc>
        <w:tc>
          <w:tcPr>
            <w:tcW w:w="4535" w:type="dxa"/>
            <w:shd w:val="clear" w:color="auto" w:fill="auto"/>
          </w:tcPr>
          <w:p w14:paraId="6546DD84" w14:textId="5A911282" w:rsidR="00D22636" w:rsidRPr="00384467" w:rsidRDefault="00927734"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14:paraId="005C9893" w14:textId="77777777" w:rsidTr="00927734">
        <w:tc>
          <w:tcPr>
            <w:tcW w:w="5103" w:type="dxa"/>
            <w:shd w:val="clear" w:color="auto" w:fill="auto"/>
          </w:tcPr>
          <w:p w14:paraId="078CF5DA" w14:textId="77777777" w:rsidR="00D22636" w:rsidRPr="00384467" w:rsidRDefault="00D22636" w:rsidP="00384467">
            <w:pPr>
              <w:jc w:val="both"/>
              <w:rPr>
                <w:rFonts w:ascii="Book Antiqua" w:hAnsi="Book Antiqua" w:cs="Arial"/>
                <w:b/>
              </w:rPr>
            </w:pPr>
            <w:r w:rsidRPr="00384467">
              <w:rPr>
                <w:rFonts w:ascii="Book Antiqua" w:hAnsi="Book Antiqua" w:cs="Arial"/>
                <w:b/>
              </w:rPr>
              <w:t xml:space="preserve">On </w:t>
            </w:r>
            <w:r w:rsidR="00E91953">
              <w:rPr>
                <w:rFonts w:ascii="Book Antiqua" w:hAnsi="Book Antiqua" w:cs="Arial"/>
                <w:b/>
              </w:rPr>
              <w:t xml:space="preserve">March </w:t>
            </w:r>
            <w:r w:rsidR="00620B80">
              <w:rPr>
                <w:rFonts w:ascii="Book Antiqua" w:hAnsi="Book Antiqua" w:cs="Arial"/>
                <w:b/>
              </w:rPr>
              <w:t>5</w:t>
            </w:r>
            <w:r w:rsidR="00A91420">
              <w:rPr>
                <w:rFonts w:ascii="Book Antiqua" w:hAnsi="Book Antiqua" w:cs="Arial"/>
                <w:b/>
              </w:rPr>
              <w:t>, 2019</w:t>
            </w:r>
          </w:p>
        </w:tc>
        <w:tc>
          <w:tcPr>
            <w:tcW w:w="4535" w:type="dxa"/>
            <w:shd w:val="clear" w:color="auto" w:fill="auto"/>
          </w:tcPr>
          <w:p w14:paraId="45C0612B" w14:textId="54FE3307" w:rsidR="00D22636" w:rsidRPr="00384467" w:rsidRDefault="00927734" w:rsidP="00384467">
            <w:pPr>
              <w:jc w:val="both"/>
              <w:rPr>
                <w:rFonts w:ascii="Book Antiqua" w:hAnsi="Book Antiqua" w:cs="Arial"/>
                <w:b/>
              </w:rPr>
            </w:pPr>
            <w:r>
              <w:rPr>
                <w:rFonts w:ascii="Book Antiqua" w:hAnsi="Book Antiqua" w:cs="Arial"/>
                <w:b/>
              </w:rPr>
              <w:t xml:space="preserve"> </w:t>
            </w:r>
            <w:r w:rsidR="00C06909" w:rsidRPr="00384467">
              <w:rPr>
                <w:rFonts w:ascii="Book Antiqua" w:hAnsi="Book Antiqua" w:cs="Arial"/>
                <w:b/>
              </w:rPr>
              <w:t xml:space="preserve">On </w:t>
            </w:r>
            <w:r w:rsidR="00C06909">
              <w:rPr>
                <w:rFonts w:ascii="Book Antiqua" w:hAnsi="Book Antiqua" w:cs="Arial"/>
                <w:b/>
              </w:rPr>
              <w:t>March 8, 2019</w:t>
            </w:r>
          </w:p>
        </w:tc>
      </w:tr>
      <w:tr w:rsidR="00D22636" w:rsidRPr="00384467" w14:paraId="68F17FE2" w14:textId="77777777" w:rsidTr="00927734">
        <w:tc>
          <w:tcPr>
            <w:tcW w:w="5103" w:type="dxa"/>
            <w:shd w:val="clear" w:color="auto" w:fill="auto"/>
          </w:tcPr>
          <w:p w14:paraId="7B55ECBB" w14:textId="77777777" w:rsidR="00D22636" w:rsidRPr="00384467" w:rsidRDefault="00D22636" w:rsidP="00384467">
            <w:pPr>
              <w:jc w:val="both"/>
              <w:rPr>
                <w:rFonts w:ascii="Book Antiqua" w:hAnsi="Book Antiqua" w:cs="Arial"/>
                <w:b/>
              </w:rPr>
            </w:pPr>
          </w:p>
        </w:tc>
        <w:tc>
          <w:tcPr>
            <w:tcW w:w="4535" w:type="dxa"/>
            <w:shd w:val="clear" w:color="auto" w:fill="auto"/>
          </w:tcPr>
          <w:p w14:paraId="2A67BE05" w14:textId="77777777" w:rsidR="00D22636" w:rsidRPr="00384467" w:rsidRDefault="00D22636" w:rsidP="00384467">
            <w:pPr>
              <w:jc w:val="both"/>
              <w:rPr>
                <w:rFonts w:ascii="Book Antiqua" w:hAnsi="Book Antiqua" w:cs="Arial"/>
                <w:b/>
              </w:rPr>
            </w:pPr>
          </w:p>
        </w:tc>
      </w:tr>
    </w:tbl>
    <w:p w14:paraId="13C3F88A" w14:textId="77777777" w:rsidR="00A15234" w:rsidRPr="00F5664C" w:rsidRDefault="00A15234" w:rsidP="00A15234">
      <w:pPr>
        <w:jc w:val="center"/>
        <w:rPr>
          <w:rFonts w:ascii="Book Antiqua" w:hAnsi="Book Antiqua" w:cs="Arial"/>
        </w:rPr>
      </w:pPr>
    </w:p>
    <w:p w14:paraId="28B3C3E9"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36F8A67" w14:textId="77777777" w:rsidR="00A15234" w:rsidRPr="00F5664C" w:rsidRDefault="00A15234" w:rsidP="00A15234">
      <w:pPr>
        <w:jc w:val="center"/>
        <w:rPr>
          <w:rFonts w:ascii="Book Antiqua" w:hAnsi="Book Antiqua" w:cs="Arial"/>
          <w:b/>
        </w:rPr>
      </w:pPr>
    </w:p>
    <w:p w14:paraId="391D5335" w14:textId="77777777" w:rsidR="001A1E2C" w:rsidRDefault="000A32A2" w:rsidP="004D2A6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A154D5">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350DDE2A" w14:textId="77777777" w:rsidR="001A1E2C" w:rsidRPr="00F5664C" w:rsidRDefault="001A1E2C" w:rsidP="00A15234">
      <w:pPr>
        <w:jc w:val="center"/>
        <w:rPr>
          <w:rFonts w:ascii="Book Antiqua" w:hAnsi="Book Antiqua" w:cs="Arial"/>
          <w:b/>
        </w:rPr>
      </w:pPr>
    </w:p>
    <w:p w14:paraId="4C4152CD" w14:textId="29793564" w:rsidR="00A845DC" w:rsidRDefault="00A845DC" w:rsidP="00A15234">
      <w:pPr>
        <w:jc w:val="center"/>
        <w:rPr>
          <w:rFonts w:ascii="Book Antiqua" w:hAnsi="Book Antiqua" w:cs="Arial"/>
          <w:b/>
        </w:rPr>
      </w:pPr>
      <w:r w:rsidRPr="00F5664C">
        <w:rPr>
          <w:rFonts w:ascii="Book Antiqua" w:hAnsi="Book Antiqua" w:cs="Arial"/>
          <w:b/>
        </w:rPr>
        <w:t>Between</w:t>
      </w:r>
    </w:p>
    <w:p w14:paraId="2A0214C5" w14:textId="77777777" w:rsidR="00927734" w:rsidRPr="00F5664C" w:rsidRDefault="00927734" w:rsidP="00A15234">
      <w:pPr>
        <w:jc w:val="center"/>
        <w:rPr>
          <w:rFonts w:ascii="Book Antiqua" w:hAnsi="Book Antiqua" w:cs="Arial"/>
          <w:b/>
        </w:rPr>
      </w:pPr>
    </w:p>
    <w:p w14:paraId="01126036" w14:textId="135690E1" w:rsidR="00A845DC" w:rsidRDefault="00927734" w:rsidP="00A15234">
      <w:pPr>
        <w:jc w:val="center"/>
        <w:rPr>
          <w:rFonts w:ascii="Book Antiqua" w:hAnsi="Book Antiqua" w:cs="Arial"/>
          <w:b/>
        </w:rPr>
      </w:pPr>
      <w:r w:rsidRPr="008B322E">
        <w:rPr>
          <w:rFonts w:ascii="Book Antiqua" w:hAnsi="Book Antiqua" w:cs="Arial"/>
          <w:b/>
        </w:rPr>
        <w:t>AZAD</w:t>
      </w:r>
      <w:r>
        <w:rPr>
          <w:rFonts w:ascii="Book Antiqua" w:hAnsi="Book Antiqua" w:cs="Arial"/>
          <w:b/>
        </w:rPr>
        <w:t xml:space="preserve"> </w:t>
      </w:r>
      <w:r w:rsidRPr="008B322E">
        <w:rPr>
          <w:rFonts w:ascii="Book Antiqua" w:hAnsi="Book Antiqua" w:cs="Arial"/>
          <w:b/>
        </w:rPr>
        <w:t>MUSTAFAZADEH</w:t>
      </w:r>
    </w:p>
    <w:p w14:paraId="3901B403" w14:textId="77777777" w:rsidR="008E5A03" w:rsidRPr="00927734" w:rsidRDefault="008B322E" w:rsidP="00620B80">
      <w:pPr>
        <w:jc w:val="center"/>
        <w:rPr>
          <w:rFonts w:ascii="Book Antiqua" w:hAnsi="Book Antiqua" w:cs="Arial"/>
        </w:rPr>
      </w:pPr>
      <w:r w:rsidRPr="00927734">
        <w:rPr>
          <w:rFonts w:ascii="Book Antiqua" w:hAnsi="Book Antiqua" w:cs="Arial"/>
          <w:caps/>
        </w:rPr>
        <w:t xml:space="preserve"> </w:t>
      </w:r>
      <w:r w:rsidR="00620B80" w:rsidRPr="00927734">
        <w:rPr>
          <w:rFonts w:ascii="Book Antiqua" w:hAnsi="Book Antiqua" w:cs="Arial"/>
          <w:caps/>
        </w:rPr>
        <w:t>(ANONYMITY DIRECTION NOT MADE)</w:t>
      </w:r>
    </w:p>
    <w:p w14:paraId="11639A0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517DF2C" w14:textId="77777777" w:rsidR="006D1DFA" w:rsidRPr="00F5664C" w:rsidRDefault="006D1DFA" w:rsidP="00704B61">
      <w:pPr>
        <w:jc w:val="center"/>
        <w:rPr>
          <w:rFonts w:ascii="Book Antiqua" w:hAnsi="Book Antiqua" w:cs="Arial"/>
          <w:b/>
        </w:rPr>
      </w:pPr>
    </w:p>
    <w:p w14:paraId="6FD9676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2610B7A" w14:textId="77777777" w:rsidR="00DD5071" w:rsidRDefault="00DD5071" w:rsidP="00704B61">
      <w:pPr>
        <w:jc w:val="center"/>
        <w:rPr>
          <w:rFonts w:ascii="Book Antiqua" w:hAnsi="Book Antiqua" w:cs="Arial"/>
          <w:b/>
        </w:rPr>
      </w:pPr>
    </w:p>
    <w:p w14:paraId="60020330" w14:textId="77777777" w:rsidR="008E5A03" w:rsidRPr="00620B80" w:rsidRDefault="00620B80" w:rsidP="00620B80">
      <w:pPr>
        <w:jc w:val="center"/>
        <w:rPr>
          <w:rFonts w:ascii="Book Antiqua" w:hAnsi="Book Antiqua" w:cs="Arial"/>
          <w:b/>
        </w:rPr>
      </w:pPr>
      <w:r>
        <w:rPr>
          <w:rFonts w:ascii="Book Antiqua" w:hAnsi="Book Antiqua" w:cs="Arial"/>
          <w:b/>
          <w:caps/>
        </w:rPr>
        <w:t>THE SECRETARY OF STATE FOR THE HOME DEPARTMENT</w:t>
      </w:r>
    </w:p>
    <w:p w14:paraId="4841274D"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68D7DCF" w14:textId="77777777" w:rsidR="00DD5071" w:rsidRPr="00F5664C" w:rsidRDefault="00DD5071" w:rsidP="00DD5071">
      <w:pPr>
        <w:rPr>
          <w:rFonts w:ascii="Book Antiqua" w:hAnsi="Book Antiqua" w:cs="Arial"/>
          <w:u w:val="single"/>
        </w:rPr>
      </w:pPr>
    </w:p>
    <w:p w14:paraId="52295901"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74867CA" w14:textId="77777777" w:rsidR="00DE7DB7" w:rsidRPr="00F5664C" w:rsidRDefault="00DE7DB7" w:rsidP="00DD5071">
      <w:pPr>
        <w:rPr>
          <w:rFonts w:ascii="Book Antiqua" w:hAnsi="Book Antiqua" w:cs="Arial"/>
        </w:rPr>
      </w:pPr>
    </w:p>
    <w:p w14:paraId="4FC25D7D" w14:textId="77777777" w:rsidR="008E5A03" w:rsidRPr="00F5664C" w:rsidRDefault="00DE7DB7" w:rsidP="008E5A03">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20B80">
        <w:rPr>
          <w:rFonts w:ascii="Book Antiqua" w:hAnsi="Book Antiqua" w:cs="Arial"/>
        </w:rPr>
        <w:t xml:space="preserve">Mr </w:t>
      </w:r>
      <w:r w:rsidR="007B1637">
        <w:rPr>
          <w:rFonts w:ascii="Book Antiqua" w:hAnsi="Book Antiqua" w:cs="Arial"/>
        </w:rPr>
        <w:t>Wood</w:t>
      </w:r>
      <w:r w:rsidR="00620B80">
        <w:rPr>
          <w:rFonts w:ascii="Book Antiqua" w:hAnsi="Book Antiqua" w:cs="Arial"/>
        </w:rPr>
        <w:t xml:space="preserve">, </w:t>
      </w:r>
      <w:r w:rsidR="007B1637">
        <w:rPr>
          <w:rFonts w:ascii="Book Antiqua" w:hAnsi="Book Antiqua" w:cs="Arial"/>
        </w:rPr>
        <w:t>Legal Representative</w:t>
      </w:r>
    </w:p>
    <w:p w14:paraId="6E896B9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20B80">
        <w:rPr>
          <w:rFonts w:ascii="Book Antiqua" w:hAnsi="Book Antiqua" w:cs="Arial"/>
        </w:rPr>
        <w:t>Mr Tan, Senior Home Office Presenting Officer</w:t>
      </w:r>
    </w:p>
    <w:p w14:paraId="28F137E7" w14:textId="77777777" w:rsidR="00DE7DB7" w:rsidRPr="00F5664C" w:rsidRDefault="00DE7DB7" w:rsidP="00402B9E">
      <w:pPr>
        <w:tabs>
          <w:tab w:val="left" w:pos="2520"/>
        </w:tabs>
        <w:jc w:val="center"/>
        <w:rPr>
          <w:rFonts w:ascii="Book Antiqua" w:hAnsi="Book Antiqua" w:cs="Arial"/>
        </w:rPr>
      </w:pPr>
    </w:p>
    <w:p w14:paraId="48FA6DA9" w14:textId="77777777" w:rsidR="00DE7DB7" w:rsidRPr="00F5664C" w:rsidRDefault="00DE7DB7" w:rsidP="00402B9E">
      <w:pPr>
        <w:tabs>
          <w:tab w:val="left" w:pos="2520"/>
        </w:tabs>
        <w:jc w:val="center"/>
        <w:rPr>
          <w:rFonts w:ascii="Book Antiqua" w:hAnsi="Book Antiqua" w:cs="Arial"/>
        </w:rPr>
      </w:pPr>
    </w:p>
    <w:p w14:paraId="4A4DD6F1" w14:textId="77777777" w:rsidR="00DE7DB7" w:rsidRDefault="00402B9E" w:rsidP="00402B9E">
      <w:pPr>
        <w:tabs>
          <w:tab w:val="left" w:pos="2520"/>
        </w:tabs>
        <w:jc w:val="center"/>
        <w:rPr>
          <w:rFonts w:ascii="Book Antiqua" w:hAnsi="Book Antiqua" w:cs="Arial"/>
          <w:b/>
          <w:u w:val="single"/>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273BC0A2" w14:textId="77777777" w:rsidR="007B1637" w:rsidRPr="00F5664C" w:rsidRDefault="007B1637" w:rsidP="00402B9E">
      <w:pPr>
        <w:tabs>
          <w:tab w:val="left" w:pos="2520"/>
        </w:tabs>
        <w:jc w:val="center"/>
        <w:rPr>
          <w:rFonts w:ascii="Book Antiqua" w:hAnsi="Book Antiqua" w:cs="Arial"/>
        </w:rPr>
      </w:pPr>
    </w:p>
    <w:p w14:paraId="3A59BB9A" w14:textId="77777777" w:rsidR="00D1102F" w:rsidRDefault="00D1102F" w:rsidP="00D1102F">
      <w:pPr>
        <w:widowControl w:val="0"/>
        <w:numPr>
          <w:ilvl w:val="0"/>
          <w:numId w:val="3"/>
        </w:numPr>
        <w:rPr>
          <w:rFonts w:ascii="Book Antiqua" w:hAnsi="Book Antiqua"/>
        </w:rPr>
      </w:pPr>
      <w:r>
        <w:rPr>
          <w:rFonts w:ascii="Book Antiqua" w:hAnsi="Book Antiqua"/>
        </w:rPr>
        <w:t>The appellant, an Iranian national, claimed to have entered the United Kingdom on August 28, 2015 and claimed asylum the following day. The respondent refused his application on October 13, 2017 under paragraphs 336 and 339F HC 395.</w:t>
      </w:r>
    </w:p>
    <w:p w14:paraId="1F7ED7FE" w14:textId="77777777" w:rsidR="00D1102F" w:rsidRDefault="00D1102F" w:rsidP="00D1102F">
      <w:pPr>
        <w:ind w:left="567"/>
        <w:rPr>
          <w:rFonts w:ascii="Book Antiqua" w:hAnsi="Book Antiqua"/>
        </w:rPr>
      </w:pPr>
    </w:p>
    <w:p w14:paraId="6030E4F7" w14:textId="77777777" w:rsidR="00D1102F" w:rsidRDefault="00D1102F" w:rsidP="00D1102F">
      <w:pPr>
        <w:widowControl w:val="0"/>
        <w:numPr>
          <w:ilvl w:val="0"/>
          <w:numId w:val="3"/>
        </w:numPr>
        <w:rPr>
          <w:rFonts w:ascii="Book Antiqua" w:hAnsi="Book Antiqua"/>
        </w:rPr>
      </w:pPr>
      <w:r>
        <w:rPr>
          <w:rFonts w:ascii="Book Antiqua" w:hAnsi="Book Antiqua"/>
        </w:rPr>
        <w:t xml:space="preserve">The appellant appealed that decision on October 27, 2017 under section 82(1) of the Nationality, Immigration and Asylum Act 2002. </w:t>
      </w:r>
    </w:p>
    <w:p w14:paraId="4ECCD2B0" w14:textId="77777777" w:rsidR="00D1102F" w:rsidRDefault="00D1102F" w:rsidP="00D1102F">
      <w:pPr>
        <w:pStyle w:val="ListParagraph"/>
        <w:rPr>
          <w:rFonts w:ascii="Book Antiqua" w:hAnsi="Book Antiqua"/>
          <w:sz w:val="24"/>
        </w:rPr>
      </w:pPr>
    </w:p>
    <w:p w14:paraId="22BB868D" w14:textId="77777777" w:rsidR="00D1102F" w:rsidRDefault="00D1102F" w:rsidP="00D1102F">
      <w:pPr>
        <w:widowControl w:val="0"/>
        <w:numPr>
          <w:ilvl w:val="0"/>
          <w:numId w:val="3"/>
        </w:numPr>
        <w:rPr>
          <w:rFonts w:ascii="Book Antiqua" w:hAnsi="Book Antiqua"/>
        </w:rPr>
      </w:pPr>
      <w:r>
        <w:rPr>
          <w:rFonts w:ascii="Book Antiqua" w:hAnsi="Book Antiqua"/>
        </w:rPr>
        <w:t xml:space="preserve">His appeal was heard by Judge of the First-tier Tribunal </w:t>
      </w:r>
      <w:proofErr w:type="spellStart"/>
      <w:r>
        <w:rPr>
          <w:rFonts w:ascii="Book Antiqua" w:hAnsi="Book Antiqua"/>
        </w:rPr>
        <w:t>Foudy</w:t>
      </w:r>
      <w:proofErr w:type="spellEnd"/>
      <w:r>
        <w:rPr>
          <w:rFonts w:ascii="Book Antiqua" w:hAnsi="Book Antiqua"/>
        </w:rPr>
        <w:t xml:space="preserve"> on June 19, 2018 and in a decision promulgated on July 4, 2018 he dismissed the appellant’s appeal on all grounds. </w:t>
      </w:r>
    </w:p>
    <w:p w14:paraId="0F25962F" w14:textId="77777777" w:rsidR="00D1102F" w:rsidRDefault="00D1102F" w:rsidP="00D1102F">
      <w:pPr>
        <w:pStyle w:val="ListParagraph"/>
        <w:rPr>
          <w:rFonts w:ascii="Book Antiqua" w:hAnsi="Book Antiqua"/>
          <w:sz w:val="24"/>
        </w:rPr>
      </w:pPr>
    </w:p>
    <w:p w14:paraId="2FFF3D13" w14:textId="77777777" w:rsidR="00D1102F" w:rsidRDefault="00D1102F" w:rsidP="00D1102F">
      <w:pPr>
        <w:widowControl w:val="0"/>
        <w:numPr>
          <w:ilvl w:val="0"/>
          <w:numId w:val="3"/>
        </w:numPr>
        <w:rPr>
          <w:rFonts w:ascii="Book Antiqua" w:hAnsi="Book Antiqua"/>
        </w:rPr>
      </w:pPr>
      <w:r>
        <w:rPr>
          <w:rFonts w:ascii="Book Antiqua" w:hAnsi="Book Antiqua"/>
        </w:rPr>
        <w:lastRenderedPageBreak/>
        <w:t xml:space="preserve">Grounds of appeal were lodged on July 13, 2018 in which it was argued that the </w:t>
      </w:r>
      <w:bookmarkStart w:id="0" w:name="_GoBack"/>
      <w:bookmarkEnd w:id="0"/>
      <w:r>
        <w:rPr>
          <w:rFonts w:ascii="Book Antiqua" w:hAnsi="Book Antiqua"/>
        </w:rPr>
        <w:t xml:space="preserve">Judge had materially erred in her approach to plausibility and by failing to follow the approach given by the Court of Appeal in </w:t>
      </w:r>
      <w:r>
        <w:rPr>
          <w:rFonts w:ascii="Book Antiqua" w:hAnsi="Book Antiqua"/>
          <w:u w:val="single"/>
        </w:rPr>
        <w:t>HK v SSHD</w:t>
      </w:r>
      <w:r>
        <w:rPr>
          <w:rFonts w:ascii="Book Antiqua" w:hAnsi="Book Antiqua"/>
        </w:rPr>
        <w:t xml:space="preserve"> [2006] EWCA </w:t>
      </w:r>
      <w:proofErr w:type="spellStart"/>
      <w:r>
        <w:rPr>
          <w:rFonts w:ascii="Book Antiqua" w:hAnsi="Book Antiqua"/>
        </w:rPr>
        <w:t>Civ</w:t>
      </w:r>
      <w:proofErr w:type="spellEnd"/>
      <w:r>
        <w:rPr>
          <w:rFonts w:ascii="Book Antiqua" w:hAnsi="Book Antiqua"/>
        </w:rPr>
        <w:t xml:space="preserve"> 1037 and by failing to consider all the evidence when assessing the appellant’s claim. </w:t>
      </w:r>
    </w:p>
    <w:p w14:paraId="6DD6DDFD" w14:textId="77777777" w:rsidR="00D1102F" w:rsidRDefault="00D1102F" w:rsidP="00D1102F">
      <w:pPr>
        <w:pStyle w:val="ListParagraph"/>
        <w:rPr>
          <w:rFonts w:ascii="Book Antiqua" w:hAnsi="Book Antiqua"/>
          <w:sz w:val="24"/>
        </w:rPr>
      </w:pPr>
    </w:p>
    <w:p w14:paraId="670F15D0" w14:textId="77777777" w:rsidR="00D1102F" w:rsidRDefault="00D1102F" w:rsidP="00D1102F">
      <w:pPr>
        <w:widowControl w:val="0"/>
        <w:numPr>
          <w:ilvl w:val="0"/>
          <w:numId w:val="3"/>
        </w:numPr>
        <w:rPr>
          <w:rFonts w:ascii="Book Antiqua" w:hAnsi="Book Antiqua"/>
        </w:rPr>
      </w:pPr>
      <w:r>
        <w:rPr>
          <w:rFonts w:ascii="Book Antiqua" w:hAnsi="Book Antiqua"/>
        </w:rPr>
        <w:t xml:space="preserve">Permission to appeal was initially refused by Judge of the First-tier Tribunal </w:t>
      </w:r>
      <w:proofErr w:type="spellStart"/>
      <w:r>
        <w:rPr>
          <w:rFonts w:ascii="Book Antiqua" w:hAnsi="Book Antiqua"/>
        </w:rPr>
        <w:t>Adio</w:t>
      </w:r>
      <w:proofErr w:type="spellEnd"/>
      <w:r>
        <w:rPr>
          <w:rFonts w:ascii="Book Antiqua" w:hAnsi="Book Antiqua"/>
        </w:rPr>
        <w:t xml:space="preserve"> on August 7, 2019 but Upper Tribunal Judge Martin granted permission on all grounds finding it arguable the Judge’s decision was brief and she may have given inadequate reasons for her adverse credibility findings and not applied anxious scrutiny to the appellant’s claim.</w:t>
      </w:r>
    </w:p>
    <w:p w14:paraId="48C4C3C6" w14:textId="77777777" w:rsidR="00527F99" w:rsidRDefault="00D1102F" w:rsidP="00D1102F">
      <w:pPr>
        <w:numPr>
          <w:ilvl w:val="0"/>
          <w:numId w:val="3"/>
        </w:numPr>
        <w:spacing w:before="240"/>
        <w:jc w:val="both"/>
        <w:rPr>
          <w:rFonts w:ascii="Book Antiqua" w:hAnsi="Book Antiqua" w:cs="Arial"/>
        </w:rPr>
      </w:pPr>
      <w:r>
        <w:rPr>
          <w:rFonts w:ascii="Book Antiqua" w:hAnsi="Book Antiqua"/>
        </w:rPr>
        <w:t>No anonymity order is made.</w:t>
      </w:r>
    </w:p>
    <w:p w14:paraId="3F975C65" w14:textId="77777777" w:rsidR="00527F99" w:rsidRPr="00527F99" w:rsidRDefault="000B6C45" w:rsidP="00527F99">
      <w:pPr>
        <w:spacing w:before="240"/>
        <w:ind w:firstLine="567"/>
        <w:jc w:val="both"/>
        <w:rPr>
          <w:rFonts w:ascii="Book Antiqua" w:hAnsi="Book Antiqua" w:cs="Arial"/>
          <w:b/>
          <w:u w:val="single"/>
        </w:rPr>
      </w:pPr>
      <w:r>
        <w:rPr>
          <w:rFonts w:ascii="Book Antiqua" w:hAnsi="Book Antiqua" w:cs="Arial"/>
          <w:b/>
          <w:u w:val="single"/>
        </w:rPr>
        <w:t>SUBMISSION</w:t>
      </w:r>
      <w:r w:rsidR="00527F99">
        <w:rPr>
          <w:rFonts w:ascii="Book Antiqua" w:hAnsi="Book Antiqua" w:cs="Arial"/>
          <w:b/>
          <w:u w:val="single"/>
        </w:rPr>
        <w:t>S</w:t>
      </w:r>
    </w:p>
    <w:p w14:paraId="2CC063E3" w14:textId="77777777" w:rsidR="00F73986" w:rsidRDefault="00CD4AEB" w:rsidP="00F73986">
      <w:pPr>
        <w:numPr>
          <w:ilvl w:val="0"/>
          <w:numId w:val="3"/>
        </w:numPr>
        <w:spacing w:before="240"/>
        <w:jc w:val="both"/>
        <w:rPr>
          <w:rFonts w:ascii="Book Antiqua" w:hAnsi="Book Antiqua" w:cs="Arial"/>
        </w:rPr>
      </w:pPr>
      <w:r>
        <w:rPr>
          <w:rFonts w:ascii="Book Antiqua" w:hAnsi="Book Antiqua"/>
        </w:rPr>
        <w:t xml:space="preserve"> </w:t>
      </w:r>
      <w:r w:rsidR="00F73986">
        <w:rPr>
          <w:rFonts w:ascii="Book Antiqua" w:hAnsi="Book Antiqua"/>
        </w:rPr>
        <w:t xml:space="preserve">Mr Wood adopted </w:t>
      </w:r>
      <w:r w:rsidR="00CE66AC" w:rsidRPr="00026831">
        <w:rPr>
          <w:rFonts w:ascii="Book Antiqua" w:eastAsia="ヒラギノ角ゴ Pro W3" w:hAnsi="Book Antiqua"/>
          <w:color w:val="000000"/>
        </w:rPr>
        <w:t>the grounds of appeal</w:t>
      </w:r>
      <w:r w:rsidR="00F73986">
        <w:rPr>
          <w:rFonts w:ascii="Book Antiqua" w:eastAsia="ヒラギノ角ゴ Pro W3" w:hAnsi="Book Antiqua"/>
          <w:color w:val="000000"/>
        </w:rPr>
        <w:t xml:space="preserve"> and submitted that the Judge had erred by failing to the approach given by the </w:t>
      </w:r>
      <w:r w:rsidR="00F73986">
        <w:rPr>
          <w:rFonts w:ascii="Book Antiqua" w:hAnsi="Book Antiqua"/>
        </w:rPr>
        <w:t xml:space="preserve">given by the Court of Appeal in </w:t>
      </w:r>
      <w:r w:rsidR="00F73986">
        <w:rPr>
          <w:rFonts w:ascii="Book Antiqua" w:hAnsi="Book Antiqua"/>
          <w:u w:val="single"/>
        </w:rPr>
        <w:t>HK v SSHD</w:t>
      </w:r>
      <w:r w:rsidR="00CE66AC" w:rsidRPr="00026831">
        <w:rPr>
          <w:rFonts w:ascii="Book Antiqua" w:eastAsia="ヒラギノ角ゴ Pro W3" w:hAnsi="Book Antiqua"/>
          <w:color w:val="000000"/>
        </w:rPr>
        <w:t xml:space="preserve">. </w:t>
      </w:r>
      <w:r w:rsidR="00F73986">
        <w:rPr>
          <w:rFonts w:ascii="Book Antiqua" w:eastAsia="ヒラギノ角ゴ Pro W3" w:hAnsi="Book Antiqua"/>
          <w:color w:val="000000"/>
        </w:rPr>
        <w:t xml:space="preserve">The Judge had also speculated on findings without any evidential support. He submitted the appellant’s account had similarities to matters referred to in the </w:t>
      </w:r>
      <w:r w:rsidR="00CE66AC" w:rsidRPr="00026831">
        <w:rPr>
          <w:rFonts w:ascii="Book Antiqua" w:eastAsia="ヒラギノ角ゴ Pro W3" w:hAnsi="Book Antiqua"/>
          <w:color w:val="000000"/>
        </w:rPr>
        <w:t xml:space="preserve">respondent’s </w:t>
      </w:r>
      <w:r w:rsidR="00F73986">
        <w:rPr>
          <w:rFonts w:ascii="Book Antiqua" w:eastAsia="ヒラギノ角ゴ Pro W3" w:hAnsi="Book Antiqua"/>
          <w:color w:val="000000"/>
        </w:rPr>
        <w:t xml:space="preserve">decision letter and the failure to attach any real weight to the appellant’s consistent account contained in his interview and statements meant there was an error in law. </w:t>
      </w:r>
      <w:r w:rsidR="00577DF1">
        <w:rPr>
          <w:rFonts w:ascii="Book Antiqua" w:hAnsi="Book Antiqua"/>
        </w:rPr>
        <w:t>Mr Wood criticised the Judge’s summary in paragraph 19 of her decision</w:t>
      </w:r>
      <w:r w:rsidR="00577DF1">
        <w:rPr>
          <w:rFonts w:ascii="Book Antiqua" w:eastAsia="ヒラギノ角ゴ Pro W3" w:hAnsi="Book Antiqua"/>
          <w:color w:val="000000"/>
        </w:rPr>
        <w:t xml:space="preserve"> submitting it was incorrect and this amounted to an error in law. </w:t>
      </w:r>
      <w:r w:rsidR="00F73986">
        <w:rPr>
          <w:rFonts w:ascii="Book Antiqua" w:eastAsia="ヒラギノ角ゴ Pro W3" w:hAnsi="Book Antiqua"/>
          <w:color w:val="000000"/>
        </w:rPr>
        <w:t xml:space="preserve">There was also no consideration of the additional risk of being a Kurd as suggested in </w:t>
      </w:r>
      <w:r w:rsidR="00CE66AC" w:rsidRPr="00026831">
        <w:rPr>
          <w:rFonts w:ascii="Book Antiqua" w:eastAsia="ヒラギノ角ゴ Pro W3" w:hAnsi="Book Antiqua" w:cs="Arial"/>
          <w:color w:val="000000"/>
          <w:u w:val="single"/>
        </w:rPr>
        <w:t>HB (Kurds) Iran CG</w:t>
      </w:r>
      <w:r w:rsidR="00CE66AC" w:rsidRPr="00026831">
        <w:rPr>
          <w:rFonts w:ascii="Book Antiqua" w:eastAsia="ヒラギノ角ゴ Pro W3" w:hAnsi="Book Antiqua" w:cs="Arial"/>
          <w:color w:val="000000"/>
        </w:rPr>
        <w:t xml:space="preserve"> [2018] UKUT 00430 (IAC).</w:t>
      </w:r>
    </w:p>
    <w:p w14:paraId="6BC4C318" w14:textId="77777777" w:rsidR="00F73986" w:rsidRPr="00BD63A5" w:rsidRDefault="00F73986" w:rsidP="003C5363">
      <w:pPr>
        <w:numPr>
          <w:ilvl w:val="0"/>
          <w:numId w:val="3"/>
        </w:numPr>
        <w:spacing w:before="240"/>
        <w:jc w:val="both"/>
        <w:rPr>
          <w:rFonts w:ascii="Book Antiqua" w:hAnsi="Book Antiqua" w:cs="Arial"/>
        </w:rPr>
      </w:pPr>
      <w:r w:rsidRPr="00F73986">
        <w:rPr>
          <w:rFonts w:ascii="Book Antiqua" w:eastAsia="ヒラギノ角ゴ Pro W3" w:hAnsi="Book Antiqua" w:cs="Arial"/>
          <w:color w:val="000000"/>
        </w:rPr>
        <w:t xml:space="preserve">Mr Tan invited the Tribunal to dismiss the application. </w:t>
      </w:r>
      <w:r>
        <w:rPr>
          <w:rFonts w:ascii="Book Antiqua" w:eastAsia="ヒラギノ角ゴ Pro W3" w:hAnsi="Book Antiqua" w:cs="Arial"/>
          <w:color w:val="000000"/>
        </w:rPr>
        <w:t>There was evidence on how Kurds were treated both in the appellant’s bundle and decision letter</w:t>
      </w:r>
      <w:r w:rsidR="00577DF1">
        <w:rPr>
          <w:rFonts w:ascii="Book Antiqua" w:eastAsia="ヒラギノ角ゴ Pro W3" w:hAnsi="Book Antiqua" w:cs="Arial"/>
          <w:color w:val="000000"/>
        </w:rPr>
        <w:t>, but the appellant’s case had to be looked at against the background that the Judge did not find his claim plausible and whilst her reasons were brief she nevertheless gave adequate reasoning</w:t>
      </w:r>
      <w:r w:rsidRPr="00F73986">
        <w:rPr>
          <w:rFonts w:ascii="Book Antiqua" w:hAnsi="Book Antiqua"/>
        </w:rPr>
        <w:t xml:space="preserve"> in para</w:t>
      </w:r>
      <w:r w:rsidR="00577DF1">
        <w:rPr>
          <w:rFonts w:ascii="Book Antiqua" w:hAnsi="Book Antiqua"/>
        </w:rPr>
        <w:t>graph</w:t>
      </w:r>
      <w:r w:rsidRPr="00F73986">
        <w:rPr>
          <w:rFonts w:ascii="Book Antiqua" w:hAnsi="Book Antiqua"/>
        </w:rPr>
        <w:t xml:space="preserve"> 18 </w:t>
      </w:r>
      <w:r w:rsidR="00577DF1">
        <w:rPr>
          <w:rFonts w:ascii="Book Antiqua" w:hAnsi="Book Antiqua"/>
        </w:rPr>
        <w:t>of her decision</w:t>
      </w:r>
      <w:r w:rsidRPr="00F73986">
        <w:rPr>
          <w:rFonts w:ascii="Book Antiqua" w:hAnsi="Book Antiqua"/>
        </w:rPr>
        <w:t xml:space="preserve">. </w:t>
      </w:r>
      <w:r w:rsidR="00577DF1">
        <w:rPr>
          <w:rFonts w:ascii="Book Antiqua" w:hAnsi="Book Antiqua"/>
        </w:rPr>
        <w:t xml:space="preserve">The fact the appellant gave a consistent </w:t>
      </w:r>
      <w:r w:rsidRPr="00F73986">
        <w:rPr>
          <w:rFonts w:ascii="Book Antiqua" w:hAnsi="Book Antiqua"/>
        </w:rPr>
        <w:t xml:space="preserve">account </w:t>
      </w:r>
      <w:r w:rsidR="00577DF1">
        <w:rPr>
          <w:rFonts w:ascii="Book Antiqua" w:hAnsi="Book Antiqua"/>
        </w:rPr>
        <w:t xml:space="preserve">did </w:t>
      </w:r>
      <w:r w:rsidRPr="00F73986">
        <w:rPr>
          <w:rFonts w:ascii="Book Antiqua" w:hAnsi="Book Antiqua"/>
        </w:rPr>
        <w:t xml:space="preserve">not mean </w:t>
      </w:r>
      <w:r w:rsidR="00577DF1">
        <w:rPr>
          <w:rFonts w:ascii="Book Antiqua" w:hAnsi="Book Antiqua"/>
        </w:rPr>
        <w:t xml:space="preserve">the account was </w:t>
      </w:r>
      <w:r w:rsidRPr="00F73986">
        <w:rPr>
          <w:rFonts w:ascii="Book Antiqua" w:hAnsi="Book Antiqua"/>
        </w:rPr>
        <w:t xml:space="preserve">credible. </w:t>
      </w:r>
      <w:bookmarkStart w:id="1" w:name="_Hlk2688686"/>
      <w:r w:rsidR="00577DF1">
        <w:rPr>
          <w:rFonts w:ascii="Book Antiqua" w:hAnsi="Book Antiqua"/>
        </w:rPr>
        <w:t>Mr Wood had criticised the Judge’s summary in paragraph 19 of her decision</w:t>
      </w:r>
      <w:bookmarkEnd w:id="1"/>
      <w:r w:rsidR="00577DF1">
        <w:rPr>
          <w:rFonts w:ascii="Book Antiqua" w:hAnsi="Book Antiqua"/>
        </w:rPr>
        <w:t xml:space="preserve"> but the Judge was aware of the full facts as demonstrated in </w:t>
      </w:r>
      <w:r w:rsidRPr="00F73986">
        <w:rPr>
          <w:rFonts w:ascii="Book Antiqua" w:hAnsi="Book Antiqua"/>
        </w:rPr>
        <w:t xml:space="preserve">paragraph 10 </w:t>
      </w:r>
      <w:r w:rsidR="00577DF1">
        <w:rPr>
          <w:rFonts w:ascii="Book Antiqua" w:hAnsi="Book Antiqua"/>
        </w:rPr>
        <w:t xml:space="preserve">of the decision and whilst paragraph </w:t>
      </w:r>
      <w:r w:rsidRPr="00F73986">
        <w:rPr>
          <w:rFonts w:ascii="Book Antiqua" w:hAnsi="Book Antiqua"/>
        </w:rPr>
        <w:t xml:space="preserve">19 </w:t>
      </w:r>
      <w:r w:rsidR="00577DF1">
        <w:rPr>
          <w:rFonts w:ascii="Book Antiqua" w:hAnsi="Book Antiqua"/>
        </w:rPr>
        <w:t>wa</w:t>
      </w:r>
      <w:r w:rsidRPr="00F73986">
        <w:rPr>
          <w:rFonts w:ascii="Book Antiqua" w:hAnsi="Book Antiqua"/>
        </w:rPr>
        <w:t xml:space="preserve">s not wholly reflective of the incident </w:t>
      </w:r>
      <w:r w:rsidR="00577DF1">
        <w:rPr>
          <w:rFonts w:ascii="Book Antiqua" w:hAnsi="Book Antiqua"/>
        </w:rPr>
        <w:t xml:space="preserve">Mr Tan submitted the appellant </w:t>
      </w:r>
      <w:r w:rsidRPr="00F73986">
        <w:rPr>
          <w:rFonts w:ascii="Book Antiqua" w:hAnsi="Book Antiqua"/>
        </w:rPr>
        <w:t xml:space="preserve">did flee after a car crash and he fled after hearing gunfire. At para 20 the Judge </w:t>
      </w:r>
      <w:r w:rsidR="00577DF1">
        <w:rPr>
          <w:rFonts w:ascii="Book Antiqua" w:hAnsi="Book Antiqua"/>
        </w:rPr>
        <w:t xml:space="preserve">made a further adverse finding with reasons and those findings were open to her. There was no </w:t>
      </w:r>
      <w:r w:rsidRPr="00F73986">
        <w:rPr>
          <w:rFonts w:ascii="Book Antiqua" w:hAnsi="Book Antiqua"/>
        </w:rPr>
        <w:t xml:space="preserve">evidence of </w:t>
      </w:r>
      <w:r w:rsidR="00577DF1">
        <w:rPr>
          <w:rFonts w:ascii="Book Antiqua" w:hAnsi="Book Antiqua"/>
        </w:rPr>
        <w:t xml:space="preserve">a </w:t>
      </w:r>
      <w:r w:rsidRPr="00F73986">
        <w:rPr>
          <w:rFonts w:ascii="Book Antiqua" w:hAnsi="Book Antiqua"/>
        </w:rPr>
        <w:t>continued interest</w:t>
      </w:r>
      <w:r w:rsidR="00577DF1">
        <w:rPr>
          <w:rFonts w:ascii="Book Antiqua" w:hAnsi="Book Antiqua"/>
        </w:rPr>
        <w:t xml:space="preserve"> and without additional risk factors</w:t>
      </w:r>
      <w:r w:rsidR="00BD63A5">
        <w:rPr>
          <w:rFonts w:ascii="Book Antiqua" w:hAnsi="Book Antiqua"/>
        </w:rPr>
        <w:t xml:space="preserve"> simply being a Kurd who may have left illegally was insufficient to engage the refugee convention. </w:t>
      </w:r>
    </w:p>
    <w:p w14:paraId="767D626E" w14:textId="77777777" w:rsidR="00BD63A5" w:rsidRPr="00F73986" w:rsidRDefault="00BD63A5" w:rsidP="003C5363">
      <w:pPr>
        <w:numPr>
          <w:ilvl w:val="0"/>
          <w:numId w:val="3"/>
        </w:numPr>
        <w:spacing w:before="240"/>
        <w:jc w:val="both"/>
        <w:rPr>
          <w:rFonts w:ascii="Book Antiqua" w:hAnsi="Book Antiqua" w:cs="Arial"/>
        </w:rPr>
      </w:pPr>
      <w:r>
        <w:rPr>
          <w:rFonts w:ascii="Book Antiqua" w:hAnsi="Book Antiqua" w:cs="Arial"/>
        </w:rPr>
        <w:t xml:space="preserve">Mr Wood responded and submitted </w:t>
      </w:r>
      <w:r>
        <w:rPr>
          <w:rFonts w:ascii="Book Antiqua" w:hAnsi="Book Antiqua"/>
        </w:rPr>
        <w:t xml:space="preserve">the appellant’s evidence was his parents were detained after the incident and the authorities had retained an interest in him. He left illegally and would be drawn to the authorities’ attention, if returned, as he had been absent from Iran for some time and he would be questioned why he had gone to the United Kingdom. Paragraph 19 did not reflect his claim and the original submission was maintained despite Mr Tan’s observations. </w:t>
      </w:r>
    </w:p>
    <w:p w14:paraId="433619C3" w14:textId="77777777" w:rsidR="000B6C45" w:rsidRDefault="00082381" w:rsidP="000B6C45">
      <w:pPr>
        <w:numPr>
          <w:ilvl w:val="0"/>
          <w:numId w:val="3"/>
        </w:numPr>
        <w:spacing w:before="240"/>
        <w:jc w:val="both"/>
        <w:rPr>
          <w:rFonts w:ascii="Book Antiqua" w:hAnsi="Book Antiqua" w:cs="Arial"/>
        </w:rPr>
      </w:pPr>
      <w:r>
        <w:rPr>
          <w:rFonts w:ascii="Book Antiqua" w:hAnsi="Book Antiqua" w:cs="Arial"/>
        </w:rPr>
        <w:t xml:space="preserve">I reserved my decision. </w:t>
      </w:r>
    </w:p>
    <w:p w14:paraId="0D8714CD" w14:textId="77777777" w:rsidR="00527F99" w:rsidRPr="00527F99" w:rsidRDefault="00527F99" w:rsidP="00527F99">
      <w:pPr>
        <w:spacing w:before="240"/>
        <w:ind w:left="567"/>
        <w:jc w:val="both"/>
        <w:rPr>
          <w:rFonts w:ascii="Book Antiqua" w:hAnsi="Book Antiqua" w:cs="Arial"/>
          <w:b/>
          <w:u w:val="single"/>
        </w:rPr>
      </w:pPr>
      <w:r w:rsidRPr="00527F99">
        <w:rPr>
          <w:rFonts w:ascii="Book Antiqua" w:hAnsi="Book Antiqua" w:cs="Arial"/>
          <w:b/>
          <w:u w:val="single"/>
        </w:rPr>
        <w:lastRenderedPageBreak/>
        <w:t>FINDINGS</w:t>
      </w:r>
    </w:p>
    <w:p w14:paraId="1235B07A" w14:textId="77777777" w:rsidR="00FA7129" w:rsidRDefault="00ED3481" w:rsidP="00911478">
      <w:pPr>
        <w:numPr>
          <w:ilvl w:val="0"/>
          <w:numId w:val="3"/>
        </w:numPr>
        <w:spacing w:before="240"/>
        <w:jc w:val="both"/>
        <w:rPr>
          <w:rFonts w:ascii="Book Antiqua" w:hAnsi="Book Antiqua" w:cs="Arial"/>
        </w:rPr>
      </w:pPr>
      <w:r>
        <w:rPr>
          <w:rFonts w:ascii="Book Antiqua" w:hAnsi="Book Antiqua" w:cs="Arial"/>
        </w:rPr>
        <w:t xml:space="preserve">Mr Wood has invited the Tribunal to set aside the decision of Judge of the First-tier Tribunal </w:t>
      </w:r>
      <w:proofErr w:type="spellStart"/>
      <w:r>
        <w:rPr>
          <w:rFonts w:ascii="Book Antiqua" w:hAnsi="Book Antiqua" w:cs="Arial"/>
        </w:rPr>
        <w:t>Foudy</w:t>
      </w:r>
      <w:proofErr w:type="spellEnd"/>
      <w:r>
        <w:rPr>
          <w:rFonts w:ascii="Book Antiqua" w:hAnsi="Book Antiqua" w:cs="Arial"/>
        </w:rPr>
        <w:t xml:space="preserve"> and has advanced mistaken findings, inadequacy of reasoning and a failure to attach more weight to the fact the appellant had given a consistent account as reasons for an error in law. </w:t>
      </w:r>
    </w:p>
    <w:p w14:paraId="30BFEE0C" w14:textId="77777777" w:rsidR="00ED3481" w:rsidRDefault="00ED3481" w:rsidP="00911478">
      <w:pPr>
        <w:numPr>
          <w:ilvl w:val="0"/>
          <w:numId w:val="3"/>
        </w:numPr>
        <w:spacing w:before="240"/>
        <w:jc w:val="both"/>
        <w:rPr>
          <w:rFonts w:ascii="Book Antiqua" w:hAnsi="Book Antiqua" w:cs="Arial"/>
        </w:rPr>
      </w:pPr>
      <w:r>
        <w:rPr>
          <w:rFonts w:ascii="Book Antiqua" w:hAnsi="Book Antiqua" w:cs="Arial"/>
        </w:rPr>
        <w:t xml:space="preserve">The Court of Appeal in </w:t>
      </w:r>
      <w:r>
        <w:rPr>
          <w:rFonts w:ascii="Book Antiqua" w:hAnsi="Book Antiqua" w:cs="Arial"/>
          <w:u w:val="single"/>
        </w:rPr>
        <w:t>HK</w:t>
      </w:r>
      <w:r>
        <w:rPr>
          <w:rFonts w:ascii="Book Antiqua" w:hAnsi="Book Antiqua" w:cs="Arial"/>
        </w:rPr>
        <w:t xml:space="preserve"> gave some advice on how to deal with evidence in an asylum appeal. At paragraph 30 the Court stated-</w:t>
      </w:r>
    </w:p>
    <w:p w14:paraId="4E1BFEE7" w14:textId="77777777" w:rsidR="00ED3481" w:rsidRPr="00ED3481" w:rsidRDefault="00ED3481" w:rsidP="00ED3481">
      <w:pPr>
        <w:spacing w:before="240"/>
        <w:ind w:left="1134" w:right="1133"/>
        <w:jc w:val="both"/>
        <w:rPr>
          <w:rFonts w:ascii="Book Antiqua" w:hAnsi="Book Antiqua" w:cs="Arial"/>
          <w:sz w:val="22"/>
          <w:szCs w:val="22"/>
        </w:rPr>
      </w:pPr>
      <w:r w:rsidRPr="00ED3481">
        <w:rPr>
          <w:rFonts w:ascii="Book Antiqua" w:hAnsi="Book Antiqua" w:cs="Arial"/>
          <w:sz w:val="22"/>
          <w:szCs w:val="22"/>
        </w:rPr>
        <w:t>“</w:t>
      </w:r>
      <w:r w:rsidRPr="00ED3481">
        <w:rPr>
          <w:rFonts w:ascii="Book Antiqua" w:hAnsi="Book Antiqua"/>
          <w:sz w:val="22"/>
          <w:szCs w:val="22"/>
        </w:rPr>
        <w:t xml:space="preserve">Further, in many asylum cases, some, even most, of the appellant’s story may seem inherently unlikely but that does not mean that it is untrue. The ingredients of the story, and the story </w:t>
      </w:r>
      <w:proofErr w:type="gramStart"/>
      <w:r w:rsidRPr="00ED3481">
        <w:rPr>
          <w:rFonts w:ascii="Book Antiqua" w:hAnsi="Book Antiqua"/>
          <w:sz w:val="22"/>
          <w:szCs w:val="22"/>
        </w:rPr>
        <w:t>as a whole, have</w:t>
      </w:r>
      <w:proofErr w:type="gramEnd"/>
      <w:r w:rsidRPr="00ED3481">
        <w:rPr>
          <w:rFonts w:ascii="Book Antiqua" w:hAnsi="Book Antiqua"/>
          <w:sz w:val="22"/>
          <w:szCs w:val="22"/>
        </w:rPr>
        <w:t xml:space="preserve"> to be considered against the available country evidence and reliable expert evidence, and other familiar factors, such as consistency with what the appellant has said before, and with other factual evidence (where there is any).”</w:t>
      </w:r>
    </w:p>
    <w:p w14:paraId="230EB4C5" w14:textId="77777777" w:rsidR="00ED3481" w:rsidRDefault="00ED3481" w:rsidP="00911478">
      <w:pPr>
        <w:numPr>
          <w:ilvl w:val="0"/>
          <w:numId w:val="3"/>
        </w:numPr>
        <w:spacing w:before="240"/>
        <w:jc w:val="both"/>
        <w:rPr>
          <w:rFonts w:ascii="Book Antiqua" w:hAnsi="Book Antiqua" w:cs="Arial"/>
        </w:rPr>
      </w:pPr>
      <w:r>
        <w:rPr>
          <w:rFonts w:ascii="Book Antiqua" w:hAnsi="Book Antiqua" w:cs="Arial"/>
        </w:rPr>
        <w:t>The Court continued at paragraph 30 and stated-</w:t>
      </w:r>
    </w:p>
    <w:p w14:paraId="06399CAC" w14:textId="77777777" w:rsidR="00ED3481" w:rsidRPr="00ED3481" w:rsidRDefault="00ED3481" w:rsidP="00ED3481">
      <w:pPr>
        <w:spacing w:before="240"/>
        <w:ind w:left="1134" w:right="1133"/>
        <w:jc w:val="both"/>
        <w:rPr>
          <w:rFonts w:ascii="Book Antiqua" w:hAnsi="Book Antiqua" w:cs="Arial"/>
          <w:sz w:val="22"/>
          <w:szCs w:val="22"/>
        </w:rPr>
      </w:pPr>
      <w:r w:rsidRPr="00ED3481">
        <w:rPr>
          <w:rFonts w:ascii="Book Antiqua" w:hAnsi="Book Antiqua" w:cs="Arial"/>
          <w:sz w:val="22"/>
          <w:szCs w:val="22"/>
        </w:rPr>
        <w:t>“</w:t>
      </w:r>
      <w:r w:rsidRPr="00ED3481">
        <w:rPr>
          <w:rFonts w:ascii="Book Antiqua" w:hAnsi="Book Antiqua"/>
          <w:sz w:val="22"/>
          <w:szCs w:val="22"/>
        </w:rPr>
        <w:t xml:space="preserve">Inherent improbability in the context of asylum cases was discussed at some length by Lord Brodie in </w:t>
      </w:r>
      <w:proofErr w:type="spellStart"/>
      <w:r w:rsidRPr="00ED3481">
        <w:rPr>
          <w:rFonts w:ascii="Book Antiqua" w:hAnsi="Book Antiqua"/>
          <w:sz w:val="22"/>
          <w:szCs w:val="22"/>
        </w:rPr>
        <w:t>Awala</w:t>
      </w:r>
      <w:proofErr w:type="spellEnd"/>
      <w:r w:rsidRPr="00ED3481">
        <w:rPr>
          <w:rFonts w:ascii="Book Antiqua" w:hAnsi="Book Antiqua"/>
          <w:sz w:val="22"/>
          <w:szCs w:val="22"/>
        </w:rPr>
        <w:t xml:space="preserve"> –v- Secretary of State [2005] CSOH 73. At paragraph 22, he pointed out that it was “not proper to reject an applicant’s account merely on the basis that it is not credible or not plausible. To say that an applicant’s account is not credible is to state a conclusion” (emphasis added). At paragraph 24, he said that rejection of a story on grounds of implausibility must be done “on reasonably drawn inferences and not simply on conjecture or speculation”. He went on to emphasise, as did Pill LJ in </w:t>
      </w:r>
      <w:proofErr w:type="spellStart"/>
      <w:r w:rsidRPr="00ED3481">
        <w:rPr>
          <w:rFonts w:ascii="Book Antiqua" w:hAnsi="Book Antiqua"/>
          <w:sz w:val="22"/>
          <w:szCs w:val="22"/>
        </w:rPr>
        <w:t>Ghaisari</w:t>
      </w:r>
      <w:proofErr w:type="spellEnd"/>
      <w:r w:rsidRPr="00ED3481">
        <w:rPr>
          <w:rFonts w:ascii="Book Antiqua" w:hAnsi="Book Antiqua"/>
          <w:sz w:val="22"/>
          <w:szCs w:val="22"/>
        </w:rPr>
        <w:t>, the entitlement of the fact-finder to rely “on his common sense and his ability, as a practical and informed person, to identify what is or is not plausible”. However, he accepted that “there will be cases where actions which may appear implausible if judged by…Scottish standards, might be plausible when considered within the context of the applicant’s social and cultural background”.”</w:t>
      </w:r>
    </w:p>
    <w:p w14:paraId="6B3C2150" w14:textId="77777777" w:rsidR="00ED3481" w:rsidRPr="009D1EE0" w:rsidRDefault="009D1EE0" w:rsidP="00911478">
      <w:pPr>
        <w:numPr>
          <w:ilvl w:val="0"/>
          <w:numId w:val="3"/>
        </w:numPr>
        <w:spacing w:before="240"/>
        <w:jc w:val="both"/>
        <w:rPr>
          <w:rFonts w:ascii="Book Antiqua" w:hAnsi="Book Antiqua" w:cs="Arial"/>
        </w:rPr>
      </w:pPr>
      <w:r>
        <w:rPr>
          <w:rFonts w:ascii="Book Antiqua" w:hAnsi="Book Antiqua" w:cs="Arial"/>
        </w:rPr>
        <w:t>In allowing HK’s appeal the Cou</w:t>
      </w:r>
      <w:r w:rsidRPr="009D1EE0">
        <w:rPr>
          <w:rFonts w:ascii="Book Antiqua" w:hAnsi="Book Antiqua" w:cs="Arial"/>
        </w:rPr>
        <w:t xml:space="preserve">rt of Appeal pointed out that the facts </w:t>
      </w:r>
      <w:r w:rsidR="00A66D4C">
        <w:rPr>
          <w:rFonts w:ascii="Book Antiqua" w:hAnsi="Book Antiqua" w:cs="Arial"/>
        </w:rPr>
        <w:t>o</w:t>
      </w:r>
      <w:r w:rsidRPr="009D1EE0">
        <w:rPr>
          <w:rFonts w:ascii="Book Antiqua" w:hAnsi="Book Antiqua" w:cs="Arial"/>
        </w:rPr>
        <w:t xml:space="preserve">f the case were important and </w:t>
      </w:r>
      <w:r>
        <w:rPr>
          <w:rFonts w:ascii="Book Antiqua" w:hAnsi="Book Antiqua" w:cs="Arial"/>
        </w:rPr>
        <w:t xml:space="preserve">said, </w:t>
      </w:r>
      <w:r w:rsidRPr="009D1EE0">
        <w:rPr>
          <w:rFonts w:ascii="Book Antiqua" w:hAnsi="Book Antiqua" w:cs="Arial"/>
        </w:rPr>
        <w:t>“</w:t>
      </w:r>
      <w:r w:rsidRPr="009D1EE0">
        <w:rPr>
          <w:rFonts w:ascii="Book Antiqua" w:hAnsi="Book Antiqua"/>
        </w:rPr>
        <w:t>The striking features of the applicant’s account in the present case is that there is no evidence to contradict it; such in-country material and expert evidence as there is tends to support it (or, at the least, is not inconsistent with it); the applicant has, himself, been consistent throughout; and there is no finding that the applicant has shown himself otherwise to be an unreliable witness.</w:t>
      </w:r>
      <w:r>
        <w:rPr>
          <w:rFonts w:ascii="Book Antiqua" w:hAnsi="Book Antiqua"/>
        </w:rPr>
        <w:t>”</w:t>
      </w:r>
    </w:p>
    <w:p w14:paraId="7CD6E80E" w14:textId="77777777" w:rsidR="009D1EE0" w:rsidRPr="009D1EE0" w:rsidRDefault="009D1EE0" w:rsidP="00911478">
      <w:pPr>
        <w:numPr>
          <w:ilvl w:val="0"/>
          <w:numId w:val="3"/>
        </w:numPr>
        <w:spacing w:before="240"/>
        <w:jc w:val="both"/>
        <w:rPr>
          <w:rFonts w:ascii="Book Antiqua" w:hAnsi="Book Antiqua" w:cs="Arial"/>
        </w:rPr>
      </w:pPr>
      <w:r>
        <w:rPr>
          <w:rFonts w:ascii="Book Antiqua" w:hAnsi="Book Antiqua"/>
        </w:rPr>
        <w:t xml:space="preserve">It is against this background that I consider the error of law argument. Any decision should be looked at </w:t>
      </w:r>
      <w:proofErr w:type="gramStart"/>
      <w:r>
        <w:rPr>
          <w:rFonts w:ascii="Book Antiqua" w:hAnsi="Book Antiqua"/>
        </w:rPr>
        <w:t>as a whole rather</w:t>
      </w:r>
      <w:proofErr w:type="gramEnd"/>
      <w:r>
        <w:rPr>
          <w:rFonts w:ascii="Book Antiqua" w:hAnsi="Book Antiqua"/>
        </w:rPr>
        <w:t xml:space="preserve"> than taking individual paragraphs in isolation. </w:t>
      </w:r>
    </w:p>
    <w:p w14:paraId="5B9153CD" w14:textId="77777777" w:rsidR="009D1EE0" w:rsidRPr="009D1EE0" w:rsidRDefault="009D1EE0" w:rsidP="00911478">
      <w:pPr>
        <w:numPr>
          <w:ilvl w:val="0"/>
          <w:numId w:val="3"/>
        </w:numPr>
        <w:spacing w:before="240"/>
        <w:jc w:val="both"/>
        <w:rPr>
          <w:rFonts w:ascii="Book Antiqua" w:hAnsi="Book Antiqua" w:cs="Arial"/>
        </w:rPr>
      </w:pPr>
      <w:r>
        <w:rPr>
          <w:rFonts w:ascii="Book Antiqua" w:hAnsi="Book Antiqua"/>
        </w:rPr>
        <w:t xml:space="preserve">The Judge recorded the appellant’s claim in paragraph 10 of her decision. In paragraph 9 she recorded the fact she had </w:t>
      </w:r>
      <w:r w:rsidR="00A66D4C">
        <w:rPr>
          <w:rFonts w:ascii="Book Antiqua" w:hAnsi="Book Antiqua"/>
        </w:rPr>
        <w:t>considered</w:t>
      </w:r>
      <w:r>
        <w:rPr>
          <w:rFonts w:ascii="Book Antiqua" w:hAnsi="Book Antiqua"/>
        </w:rPr>
        <w:t xml:space="preserve"> </w:t>
      </w:r>
      <w:proofErr w:type="gramStart"/>
      <w:r>
        <w:rPr>
          <w:rFonts w:ascii="Book Antiqua" w:hAnsi="Book Antiqua"/>
        </w:rPr>
        <w:t>all of</w:t>
      </w:r>
      <w:proofErr w:type="gramEnd"/>
      <w:r>
        <w:rPr>
          <w:rFonts w:ascii="Book Antiqua" w:hAnsi="Book Antiqua"/>
        </w:rPr>
        <w:t xml:space="preserve"> the documents and the country guidance cases. </w:t>
      </w:r>
    </w:p>
    <w:p w14:paraId="7148BCE8" w14:textId="77777777" w:rsidR="009D1EE0" w:rsidRPr="003E6EE6" w:rsidRDefault="009D1EE0" w:rsidP="00911478">
      <w:pPr>
        <w:numPr>
          <w:ilvl w:val="0"/>
          <w:numId w:val="3"/>
        </w:numPr>
        <w:spacing w:before="240"/>
        <w:jc w:val="both"/>
        <w:rPr>
          <w:rFonts w:ascii="Book Antiqua" w:hAnsi="Book Antiqua" w:cs="Arial"/>
        </w:rPr>
      </w:pPr>
      <w:r>
        <w:rPr>
          <w:rFonts w:ascii="Book Antiqua" w:hAnsi="Book Antiqua"/>
        </w:rPr>
        <w:t xml:space="preserve">The respondent’s decision letter set out in some detail inconsistencies in the appellant’s account and some of those points were relevant to the question of assessing the </w:t>
      </w:r>
      <w:r>
        <w:rPr>
          <w:rFonts w:ascii="Book Antiqua" w:hAnsi="Book Antiqua"/>
        </w:rPr>
        <w:lastRenderedPageBreak/>
        <w:t xml:space="preserve">appellant’s overall credibility. </w:t>
      </w:r>
      <w:proofErr w:type="gramStart"/>
      <w:r>
        <w:rPr>
          <w:rFonts w:ascii="Book Antiqua" w:hAnsi="Book Antiqua"/>
        </w:rPr>
        <w:t>In particular, bearing</w:t>
      </w:r>
      <w:proofErr w:type="gramEnd"/>
      <w:r>
        <w:rPr>
          <w:rFonts w:ascii="Book Antiqua" w:hAnsi="Book Antiqua"/>
        </w:rPr>
        <w:t xml:space="preserve"> in mind today’s grounds of appeal, I highlight paragraphs 46, 50</w:t>
      </w:r>
      <w:r w:rsidR="003E6EE6">
        <w:rPr>
          <w:rFonts w:ascii="Book Antiqua" w:hAnsi="Book Antiqua"/>
        </w:rPr>
        <w:t xml:space="preserve">, 53, 54 and 55. </w:t>
      </w:r>
    </w:p>
    <w:p w14:paraId="0E83FD88" w14:textId="77777777" w:rsidR="003E6EE6" w:rsidRPr="003E6EE6" w:rsidRDefault="003E6EE6" w:rsidP="00911478">
      <w:pPr>
        <w:numPr>
          <w:ilvl w:val="0"/>
          <w:numId w:val="3"/>
        </w:numPr>
        <w:spacing w:before="240"/>
        <w:jc w:val="both"/>
        <w:rPr>
          <w:rFonts w:ascii="Book Antiqua" w:hAnsi="Book Antiqua" w:cs="Arial"/>
        </w:rPr>
      </w:pPr>
      <w:r>
        <w:rPr>
          <w:rFonts w:ascii="Book Antiqua" w:hAnsi="Book Antiqua"/>
        </w:rPr>
        <w:t>Mr Wood criticise</w:t>
      </w:r>
      <w:r w:rsidR="00A66D4C">
        <w:rPr>
          <w:rFonts w:ascii="Book Antiqua" w:hAnsi="Book Antiqua"/>
        </w:rPr>
        <w:t>d</w:t>
      </w:r>
      <w:r>
        <w:rPr>
          <w:rFonts w:ascii="Book Antiqua" w:hAnsi="Book Antiqua"/>
        </w:rPr>
        <w:t xml:space="preserve"> the Judge for not attaching greater weight to the fact the appellant gave a consistent account but as the Court made clear in </w:t>
      </w:r>
      <w:r>
        <w:rPr>
          <w:rFonts w:ascii="Book Antiqua" w:hAnsi="Book Antiqua"/>
          <w:u w:val="single"/>
        </w:rPr>
        <w:t>HK</w:t>
      </w:r>
      <w:r>
        <w:rPr>
          <w:rFonts w:ascii="Book Antiqua" w:hAnsi="Book Antiqua"/>
        </w:rPr>
        <w:t xml:space="preserve"> this assumes “the applicant has shown himself otherwise to be an unreliable witness”. </w:t>
      </w:r>
    </w:p>
    <w:p w14:paraId="78A1F796" w14:textId="77777777" w:rsidR="003E6EE6" w:rsidRPr="003E6EE6" w:rsidRDefault="003E6EE6" w:rsidP="00911478">
      <w:pPr>
        <w:numPr>
          <w:ilvl w:val="0"/>
          <w:numId w:val="3"/>
        </w:numPr>
        <w:spacing w:before="240"/>
        <w:jc w:val="both"/>
        <w:rPr>
          <w:rFonts w:ascii="Book Antiqua" w:hAnsi="Book Antiqua" w:cs="Arial"/>
        </w:rPr>
      </w:pPr>
      <w:r>
        <w:rPr>
          <w:rFonts w:ascii="Book Antiqua" w:hAnsi="Book Antiqua"/>
        </w:rPr>
        <w:t xml:space="preserve">The respondent highlighted </w:t>
      </w:r>
      <w:proofErr w:type="gramStart"/>
      <w:r>
        <w:rPr>
          <w:rFonts w:ascii="Book Antiqua" w:hAnsi="Book Antiqua"/>
        </w:rPr>
        <w:t>a number of</w:t>
      </w:r>
      <w:proofErr w:type="gramEnd"/>
      <w:r>
        <w:rPr>
          <w:rFonts w:ascii="Book Antiqua" w:hAnsi="Book Antiqua"/>
        </w:rPr>
        <w:t xml:space="preserve"> articles that reported the deaths of Revolutionary Guards and pointed out that there was no evidence of such a report of this incident. The country evidence did not support the appellant’s case and </w:t>
      </w:r>
      <w:r w:rsidR="00A66D4C">
        <w:rPr>
          <w:rFonts w:ascii="Book Antiqua" w:hAnsi="Book Antiqua"/>
        </w:rPr>
        <w:t xml:space="preserve">this </w:t>
      </w:r>
      <w:r>
        <w:rPr>
          <w:rFonts w:ascii="Book Antiqua" w:hAnsi="Book Antiqua"/>
        </w:rPr>
        <w:t xml:space="preserve">was something the Judge could </w:t>
      </w:r>
      <w:proofErr w:type="gramStart"/>
      <w:r>
        <w:rPr>
          <w:rFonts w:ascii="Book Antiqua" w:hAnsi="Book Antiqua"/>
        </w:rPr>
        <w:t>take into account</w:t>
      </w:r>
      <w:proofErr w:type="gramEnd"/>
      <w:r>
        <w:rPr>
          <w:rFonts w:ascii="Book Antiqua" w:hAnsi="Book Antiqua"/>
        </w:rPr>
        <w:t xml:space="preserve"> when assessing his credibility. </w:t>
      </w:r>
    </w:p>
    <w:p w14:paraId="78A423A2" w14:textId="77777777" w:rsidR="003E6EE6" w:rsidRPr="00257248" w:rsidRDefault="003E6EE6" w:rsidP="00911478">
      <w:pPr>
        <w:numPr>
          <w:ilvl w:val="0"/>
          <w:numId w:val="3"/>
        </w:numPr>
        <w:spacing w:before="240"/>
        <w:jc w:val="both"/>
        <w:rPr>
          <w:rFonts w:ascii="Book Antiqua" w:hAnsi="Book Antiqua" w:cs="Arial"/>
        </w:rPr>
      </w:pPr>
      <w:r>
        <w:rPr>
          <w:rFonts w:ascii="Book Antiqua" w:hAnsi="Book Antiqua"/>
        </w:rPr>
        <w:t xml:space="preserve">In paragraphs 18-20 the Judge considered the appellant’s claim and rejected it. Neither her reasons nor her examination of the evidence </w:t>
      </w:r>
      <w:r w:rsidR="00A66D4C">
        <w:rPr>
          <w:rFonts w:ascii="Book Antiqua" w:hAnsi="Book Antiqua"/>
        </w:rPr>
        <w:t>was</w:t>
      </w:r>
      <w:r>
        <w:rPr>
          <w:rFonts w:ascii="Book Antiqua" w:hAnsi="Book Antiqua"/>
        </w:rPr>
        <w:t xml:space="preserve"> extensive. The Judge attached weight to what the appellant stated in his interview about contact between the authorities and his family. The appellant was vague about the level of contact (Q108) between the authorities and his family and the Judge found that if he was of interest</w:t>
      </w:r>
      <w:r w:rsidR="00A66D4C">
        <w:rPr>
          <w:rFonts w:ascii="Book Antiqua" w:hAnsi="Book Antiqua"/>
        </w:rPr>
        <w:t>,</w:t>
      </w:r>
      <w:r>
        <w:rPr>
          <w:rFonts w:ascii="Book Antiqua" w:hAnsi="Book Antiqua"/>
        </w:rPr>
        <w:t xml:space="preserve"> he would have been able to give more information than he did. </w:t>
      </w:r>
      <w:r w:rsidR="00257248">
        <w:rPr>
          <w:rFonts w:ascii="Book Antiqua" w:hAnsi="Book Antiqua"/>
        </w:rPr>
        <w:t xml:space="preserve">The Judge also had to consider his account of how </w:t>
      </w:r>
      <w:r w:rsidR="00A66D4C">
        <w:rPr>
          <w:rFonts w:ascii="Book Antiqua" w:hAnsi="Book Antiqua"/>
        </w:rPr>
        <w:t>PJAK</w:t>
      </w:r>
      <w:r w:rsidR="00257248">
        <w:rPr>
          <w:rFonts w:ascii="Book Antiqua" w:hAnsi="Book Antiqua"/>
        </w:rPr>
        <w:t xml:space="preserve"> contacted </w:t>
      </w:r>
      <w:r w:rsidR="00A66D4C">
        <w:rPr>
          <w:rFonts w:ascii="Book Antiqua" w:hAnsi="Book Antiqua"/>
        </w:rPr>
        <w:t xml:space="preserve">him </w:t>
      </w:r>
      <w:r w:rsidR="00257248">
        <w:rPr>
          <w:rFonts w:ascii="Book Antiqua" w:hAnsi="Book Antiqua"/>
        </w:rPr>
        <w:t xml:space="preserve">bearing in mind the answers he provided in his interview. </w:t>
      </w:r>
    </w:p>
    <w:p w14:paraId="4BF7FEA7" w14:textId="77777777" w:rsidR="00257248" w:rsidRPr="00257248" w:rsidRDefault="00257248" w:rsidP="00911478">
      <w:pPr>
        <w:numPr>
          <w:ilvl w:val="0"/>
          <w:numId w:val="3"/>
        </w:numPr>
        <w:spacing w:before="240"/>
        <w:jc w:val="both"/>
        <w:rPr>
          <w:rFonts w:ascii="Book Antiqua" w:hAnsi="Book Antiqua" w:cs="Arial"/>
        </w:rPr>
      </w:pPr>
      <w:r>
        <w:rPr>
          <w:rFonts w:ascii="Book Antiqua" w:hAnsi="Book Antiqua"/>
        </w:rPr>
        <w:t xml:space="preserve">On the issue of how he </w:t>
      </w:r>
      <w:r w:rsidR="00A66D4C">
        <w:rPr>
          <w:rFonts w:ascii="Book Antiqua" w:hAnsi="Book Antiqua"/>
        </w:rPr>
        <w:t>met PJAK</w:t>
      </w:r>
      <w:r>
        <w:rPr>
          <w:rFonts w:ascii="Book Antiqua" w:hAnsi="Book Antiqua"/>
        </w:rPr>
        <w:t xml:space="preserve"> she simply did not accept the credibility of the account. The country evidence did not provide any support for the account he provided so whilst there </w:t>
      </w:r>
      <w:r w:rsidR="00A66D4C">
        <w:rPr>
          <w:rFonts w:ascii="Book Antiqua" w:hAnsi="Book Antiqua"/>
        </w:rPr>
        <w:t>wa</w:t>
      </w:r>
      <w:r>
        <w:rPr>
          <w:rFonts w:ascii="Book Antiqua" w:hAnsi="Book Antiqua"/>
        </w:rPr>
        <w:t xml:space="preserve">s evidence of clashes between Revolutionary Guards and PJAK members that would not necessarily help the appellant in this case. </w:t>
      </w:r>
    </w:p>
    <w:p w14:paraId="03F12FCD" w14:textId="77777777" w:rsidR="00A66D4C" w:rsidRDefault="00257248" w:rsidP="00911478">
      <w:pPr>
        <w:numPr>
          <w:ilvl w:val="0"/>
          <w:numId w:val="3"/>
        </w:numPr>
        <w:spacing w:before="240"/>
        <w:jc w:val="both"/>
        <w:rPr>
          <w:rFonts w:ascii="Book Antiqua" w:hAnsi="Book Antiqua" w:cs="Arial"/>
        </w:rPr>
      </w:pPr>
      <w:r>
        <w:rPr>
          <w:rFonts w:ascii="Book Antiqua" w:hAnsi="Book Antiqua" w:cs="Arial"/>
        </w:rPr>
        <w:t xml:space="preserve">The Judge considered the appellant’s account of how he </w:t>
      </w:r>
      <w:r w:rsidR="00A66D4C">
        <w:rPr>
          <w:rFonts w:ascii="Book Antiqua" w:hAnsi="Book Antiqua" w:cs="Arial"/>
        </w:rPr>
        <w:t>met</w:t>
      </w:r>
      <w:r>
        <w:rPr>
          <w:rFonts w:ascii="Book Antiqua" w:hAnsi="Book Antiqua" w:cs="Arial"/>
        </w:rPr>
        <w:t xml:space="preserve"> PJAK and rejected his claim and gave reasons. These were not speculative reasons. The Judge in paragraph 10 of her decision considered whether the appellant’s account was reasonable likely and in the absence of other evidence, other than his own evidence, the Judge found his account lacked credibility. </w:t>
      </w:r>
      <w:r w:rsidR="00A66D4C">
        <w:rPr>
          <w:rFonts w:ascii="Book Antiqua" w:hAnsi="Book Antiqua" w:cs="Arial"/>
        </w:rPr>
        <w:t xml:space="preserve">Simply being consistent does not make the account true and as stated above the Court of Appeal gave guidance on what the </w:t>
      </w:r>
      <w:proofErr w:type="spellStart"/>
      <w:r w:rsidR="00A66D4C">
        <w:rPr>
          <w:rFonts w:ascii="Book Antiqua" w:hAnsi="Book Antiqua" w:cs="Arial"/>
        </w:rPr>
        <w:t>Triubunal</w:t>
      </w:r>
      <w:proofErr w:type="spellEnd"/>
      <w:r w:rsidR="00A66D4C">
        <w:rPr>
          <w:rFonts w:ascii="Book Antiqua" w:hAnsi="Book Antiqua" w:cs="Arial"/>
        </w:rPr>
        <w:t xml:space="preserve"> should look at. </w:t>
      </w:r>
    </w:p>
    <w:p w14:paraId="56C38ADC" w14:textId="77777777" w:rsidR="00257248" w:rsidRDefault="00A66D4C" w:rsidP="00911478">
      <w:pPr>
        <w:numPr>
          <w:ilvl w:val="0"/>
          <w:numId w:val="3"/>
        </w:numPr>
        <w:spacing w:before="240"/>
        <w:jc w:val="both"/>
        <w:rPr>
          <w:rFonts w:ascii="Book Antiqua" w:hAnsi="Book Antiqua" w:cs="Arial"/>
        </w:rPr>
      </w:pPr>
      <w:r>
        <w:rPr>
          <w:rFonts w:ascii="Book Antiqua" w:hAnsi="Book Antiqua" w:cs="Arial"/>
        </w:rPr>
        <w:t>The Judge’s</w:t>
      </w:r>
      <w:r w:rsidR="00257248">
        <w:rPr>
          <w:rFonts w:ascii="Book Antiqua" w:hAnsi="Book Antiqua" w:cs="Arial"/>
        </w:rPr>
        <w:t xml:space="preserve"> recording of the events in paragraph 19 </w:t>
      </w:r>
      <w:r>
        <w:rPr>
          <w:rFonts w:ascii="Book Antiqua" w:hAnsi="Book Antiqua" w:cs="Arial"/>
        </w:rPr>
        <w:t>were accepted by Mr Tan as</w:t>
      </w:r>
      <w:r w:rsidR="00257248">
        <w:rPr>
          <w:rFonts w:ascii="Book Antiqua" w:hAnsi="Book Antiqua" w:cs="Arial"/>
        </w:rPr>
        <w:t xml:space="preserve"> not correct but the Judge </w:t>
      </w:r>
      <w:r>
        <w:rPr>
          <w:rFonts w:ascii="Book Antiqua" w:hAnsi="Book Antiqua" w:cs="Arial"/>
        </w:rPr>
        <w:t xml:space="preserve">had already </w:t>
      </w:r>
      <w:r w:rsidR="00257248">
        <w:rPr>
          <w:rFonts w:ascii="Book Antiqua" w:hAnsi="Book Antiqua" w:cs="Arial"/>
        </w:rPr>
        <w:t>identified the appellant’s version of events in paragraph 10 of the decision and ultimately, I find the misrepresentation of the facts does not detract from what the appellant claimed</w:t>
      </w:r>
      <w:r>
        <w:rPr>
          <w:rFonts w:ascii="Book Antiqua" w:hAnsi="Book Antiqua" w:cs="Arial"/>
        </w:rPr>
        <w:t xml:space="preserve"> happened</w:t>
      </w:r>
      <w:r w:rsidR="00257248">
        <w:rPr>
          <w:rFonts w:ascii="Book Antiqua" w:hAnsi="Book Antiqua" w:cs="Arial"/>
        </w:rPr>
        <w:t xml:space="preserve">-something the Judge rejected. She was entitled to reach the findings she did in paragraphs 18-20 of her decision. </w:t>
      </w:r>
    </w:p>
    <w:p w14:paraId="26B30D63" w14:textId="77777777" w:rsidR="00A66D4C" w:rsidRDefault="00A66D4C" w:rsidP="00911478">
      <w:pPr>
        <w:numPr>
          <w:ilvl w:val="0"/>
          <w:numId w:val="3"/>
        </w:numPr>
        <w:spacing w:before="240"/>
        <w:jc w:val="both"/>
        <w:rPr>
          <w:rFonts w:ascii="Book Antiqua" w:hAnsi="Book Antiqua" w:cs="Arial"/>
        </w:rPr>
      </w:pPr>
      <w:r>
        <w:rPr>
          <w:rFonts w:ascii="Book Antiqua" w:hAnsi="Book Antiqua" w:cs="Arial"/>
        </w:rPr>
        <w:t xml:space="preserve">The appellant’s case was about credibility and whilst the decision could have been more detailed, I am satisfied that </w:t>
      </w:r>
      <w:proofErr w:type="gramStart"/>
      <w:r>
        <w:rPr>
          <w:rFonts w:ascii="Book Antiqua" w:hAnsi="Book Antiqua" w:cs="Arial"/>
        </w:rPr>
        <w:t>with regard to</w:t>
      </w:r>
      <w:proofErr w:type="gramEnd"/>
      <w:r>
        <w:rPr>
          <w:rFonts w:ascii="Book Antiqua" w:hAnsi="Book Antiqua" w:cs="Arial"/>
        </w:rPr>
        <w:t xml:space="preserve"> the main grounds of appeal there is no material error as the findings were open to the Judge. </w:t>
      </w:r>
    </w:p>
    <w:p w14:paraId="3E156548" w14:textId="77777777" w:rsidR="00A66D4C" w:rsidRPr="00772D15" w:rsidRDefault="00A66D4C" w:rsidP="00911478">
      <w:pPr>
        <w:numPr>
          <w:ilvl w:val="0"/>
          <w:numId w:val="3"/>
        </w:numPr>
        <w:spacing w:before="240"/>
        <w:jc w:val="both"/>
        <w:rPr>
          <w:rFonts w:ascii="Book Antiqua" w:hAnsi="Book Antiqua" w:cs="Arial"/>
        </w:rPr>
      </w:pPr>
      <w:r>
        <w:rPr>
          <w:rFonts w:ascii="Book Antiqua" w:hAnsi="Book Antiqua" w:cs="Arial"/>
        </w:rPr>
        <w:t xml:space="preserve">A separate argument was developed before the Tribunal </w:t>
      </w:r>
      <w:proofErr w:type="gramStart"/>
      <w:r>
        <w:rPr>
          <w:rFonts w:ascii="Book Antiqua" w:hAnsi="Book Antiqua" w:cs="Arial"/>
        </w:rPr>
        <w:t>in light of</w:t>
      </w:r>
      <w:proofErr w:type="gramEnd"/>
      <w:r>
        <w:rPr>
          <w:rFonts w:ascii="Book Antiqua" w:hAnsi="Book Antiqua" w:cs="Arial"/>
        </w:rPr>
        <w:t xml:space="preserve"> </w:t>
      </w:r>
      <w:r>
        <w:rPr>
          <w:rFonts w:ascii="Book Antiqua" w:hAnsi="Book Antiqua" w:cs="Arial"/>
          <w:u w:val="single"/>
        </w:rPr>
        <w:t>HB</w:t>
      </w:r>
      <w:r>
        <w:rPr>
          <w:rFonts w:ascii="Book Antiqua" w:hAnsi="Book Antiqua" w:cs="Arial"/>
        </w:rPr>
        <w:t xml:space="preserve"> but as the Judge did not accept the appellant’s account there are no additional risk factors that would be engaged and there is no error in law. </w:t>
      </w:r>
    </w:p>
    <w:p w14:paraId="55DB5E96" w14:textId="77777777" w:rsidR="00A91420" w:rsidRDefault="00A91420" w:rsidP="00284E94">
      <w:pPr>
        <w:jc w:val="both"/>
        <w:rPr>
          <w:rFonts w:ascii="Book Antiqua" w:hAnsi="Book Antiqua" w:cs="Arial"/>
        </w:rPr>
      </w:pPr>
    </w:p>
    <w:p w14:paraId="5BC87BC1" w14:textId="77777777" w:rsidR="00864126" w:rsidRPr="00816182" w:rsidRDefault="00864126" w:rsidP="00864126">
      <w:pPr>
        <w:jc w:val="both"/>
        <w:rPr>
          <w:rFonts w:ascii="Book Antiqua" w:hAnsi="Book Antiqua" w:cs="Arial"/>
          <w:b/>
          <w:u w:val="single"/>
        </w:rPr>
      </w:pPr>
      <w:r w:rsidRPr="00816182">
        <w:rPr>
          <w:rFonts w:ascii="Book Antiqua" w:hAnsi="Book Antiqua" w:cs="Arial"/>
          <w:b/>
          <w:u w:val="single"/>
        </w:rPr>
        <w:lastRenderedPageBreak/>
        <w:t>Notice of Decision</w:t>
      </w:r>
    </w:p>
    <w:p w14:paraId="35407E18" w14:textId="77777777" w:rsidR="00864126" w:rsidRDefault="00864126" w:rsidP="00864126">
      <w:pPr>
        <w:jc w:val="both"/>
        <w:rPr>
          <w:rFonts w:ascii="Book Antiqua" w:hAnsi="Book Antiqua" w:cs="Arial"/>
        </w:rPr>
      </w:pPr>
    </w:p>
    <w:p w14:paraId="0632368A" w14:textId="77777777" w:rsidR="00864126" w:rsidRDefault="00864126" w:rsidP="00864126">
      <w:pPr>
        <w:jc w:val="both"/>
        <w:rPr>
          <w:rFonts w:ascii="Book Antiqua" w:hAnsi="Book Antiqua" w:cs="Arial"/>
        </w:rPr>
      </w:pPr>
      <w:r>
        <w:rPr>
          <w:rFonts w:ascii="Book Antiqua" w:hAnsi="Book Antiqua" w:cs="Arial"/>
        </w:rPr>
        <w:t>The</w:t>
      </w:r>
      <w:r w:rsidR="00A91420">
        <w:rPr>
          <w:rFonts w:ascii="Book Antiqua" w:hAnsi="Book Antiqua" w:cs="Arial"/>
        </w:rPr>
        <w:t xml:space="preserve">re is </w:t>
      </w:r>
      <w:r w:rsidR="00A66D4C">
        <w:rPr>
          <w:rFonts w:ascii="Book Antiqua" w:hAnsi="Book Antiqua" w:cs="Arial"/>
        </w:rPr>
        <w:t xml:space="preserve">no </w:t>
      </w:r>
      <w:r w:rsidR="00A91420">
        <w:rPr>
          <w:rFonts w:ascii="Book Antiqua" w:hAnsi="Book Antiqua" w:cs="Arial"/>
        </w:rPr>
        <w:t xml:space="preserve">error in law.  </w:t>
      </w:r>
      <w:r w:rsidR="00772D15">
        <w:rPr>
          <w:rFonts w:ascii="Book Antiqua" w:hAnsi="Book Antiqua" w:cs="Arial"/>
        </w:rPr>
        <w:t>I</w:t>
      </w:r>
      <w:r w:rsidR="00FA7129">
        <w:rPr>
          <w:rFonts w:ascii="Book Antiqua" w:hAnsi="Book Antiqua" w:cs="Arial"/>
        </w:rPr>
        <w:t xml:space="preserve"> </w:t>
      </w:r>
      <w:r w:rsidR="00A66D4C">
        <w:rPr>
          <w:rFonts w:ascii="Book Antiqua" w:hAnsi="Book Antiqua" w:cs="Arial"/>
        </w:rPr>
        <w:t xml:space="preserve">uphold </w:t>
      </w:r>
      <w:r w:rsidR="00772D15">
        <w:rPr>
          <w:rFonts w:ascii="Book Antiqua" w:hAnsi="Book Antiqua" w:cs="Arial"/>
        </w:rPr>
        <w:t>the original decision</w:t>
      </w:r>
      <w:r w:rsidR="00FA7129">
        <w:rPr>
          <w:rFonts w:ascii="Book Antiqua" w:hAnsi="Book Antiqua" w:cs="Arial"/>
        </w:rPr>
        <w:t>.</w:t>
      </w:r>
    </w:p>
    <w:p w14:paraId="4F62FB1D" w14:textId="77777777" w:rsidR="00864126" w:rsidRDefault="00864126" w:rsidP="00864126">
      <w:pPr>
        <w:jc w:val="both"/>
        <w:rPr>
          <w:rFonts w:ascii="Book Antiqua" w:hAnsi="Book Antiqua" w:cs="Arial"/>
        </w:rPr>
      </w:pPr>
    </w:p>
    <w:p w14:paraId="23485D1B" w14:textId="77777777" w:rsidR="00864126" w:rsidRDefault="00864126" w:rsidP="000369F5">
      <w:pPr>
        <w:tabs>
          <w:tab w:val="left" w:pos="2520"/>
        </w:tabs>
        <w:jc w:val="both"/>
        <w:rPr>
          <w:rFonts w:ascii="Book Antiqua" w:hAnsi="Book Antiqua" w:cs="Arial"/>
        </w:rPr>
      </w:pPr>
    </w:p>
    <w:p w14:paraId="2A2898EC"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154D5">
        <w:rPr>
          <w:rFonts w:ascii="Book Antiqua" w:hAnsi="Book Antiqua" w:cs="Arial"/>
        </w:rPr>
        <w:tab/>
      </w:r>
      <w:r w:rsidR="00FA7129">
        <w:rPr>
          <w:rFonts w:ascii="Book Antiqua" w:hAnsi="Book Antiqua" w:cs="Arial"/>
        </w:rPr>
        <w:t>05/03</w:t>
      </w:r>
      <w:r w:rsidR="00A154D5">
        <w:rPr>
          <w:rFonts w:ascii="Book Antiqua" w:hAnsi="Book Antiqua" w:cs="Arial"/>
        </w:rPr>
        <w:t>/2019</w:t>
      </w:r>
    </w:p>
    <w:p w14:paraId="727F4D7A" w14:textId="77777777" w:rsidR="00864126" w:rsidRPr="00F5664C" w:rsidRDefault="00864126" w:rsidP="00864126">
      <w:pPr>
        <w:tabs>
          <w:tab w:val="left" w:pos="2520"/>
        </w:tabs>
        <w:jc w:val="both"/>
        <w:rPr>
          <w:rFonts w:ascii="Book Antiqua" w:hAnsi="Book Antiqua" w:cs="Arial"/>
        </w:rPr>
      </w:pPr>
    </w:p>
    <w:p w14:paraId="18CC46EC" w14:textId="77777777" w:rsidR="00864126" w:rsidRDefault="00864126" w:rsidP="00864126">
      <w:pPr>
        <w:tabs>
          <w:tab w:val="left" w:pos="2520"/>
        </w:tabs>
        <w:jc w:val="both"/>
        <w:rPr>
          <w:rFonts w:ascii="Book Antiqua" w:hAnsi="Book Antiqua" w:cs="Arial"/>
        </w:rPr>
      </w:pPr>
    </w:p>
    <w:p w14:paraId="6FC97A1D" w14:textId="6EDC9513" w:rsidR="00A154D5" w:rsidRDefault="00C06909" w:rsidP="00864126">
      <w:pPr>
        <w:tabs>
          <w:tab w:val="left" w:pos="2520"/>
        </w:tabs>
        <w:jc w:val="both"/>
        <w:rPr>
          <w:rFonts w:ascii="Book Antiqua" w:hAnsi="Book Antiqua" w:cs="Arial"/>
        </w:rPr>
      </w:pPr>
      <w:r w:rsidRPr="00A154D5">
        <w:rPr>
          <w:rFonts w:ascii="Book Antiqua" w:hAnsi="Book Antiqua"/>
          <w:noProof/>
        </w:rPr>
        <w:drawing>
          <wp:inline distT="0" distB="0" distL="0" distR="0" wp14:anchorId="0408C002" wp14:editId="78D718BA">
            <wp:extent cx="1247775"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7775" cy="714375"/>
                    </a:xfrm>
                    <a:prstGeom prst="rect">
                      <a:avLst/>
                    </a:prstGeom>
                    <a:noFill/>
                    <a:ln>
                      <a:noFill/>
                    </a:ln>
                  </pic:spPr>
                </pic:pic>
              </a:graphicData>
            </a:graphic>
          </wp:inline>
        </w:drawing>
      </w:r>
    </w:p>
    <w:p w14:paraId="1F5E9516" w14:textId="77777777" w:rsidR="00A154D5" w:rsidRPr="00F5664C" w:rsidRDefault="00A154D5" w:rsidP="00864126">
      <w:pPr>
        <w:tabs>
          <w:tab w:val="left" w:pos="2520"/>
        </w:tabs>
        <w:jc w:val="both"/>
        <w:rPr>
          <w:rFonts w:ascii="Book Antiqua" w:hAnsi="Book Antiqua" w:cs="Arial"/>
        </w:rPr>
      </w:pPr>
    </w:p>
    <w:p w14:paraId="0A8A2BDC" w14:textId="77777777" w:rsidR="00772D15" w:rsidRDefault="00864126" w:rsidP="00772D15">
      <w:pPr>
        <w:tabs>
          <w:tab w:val="left" w:pos="2520"/>
        </w:tabs>
        <w:jc w:val="both"/>
        <w:rPr>
          <w:rFonts w:ascii="Book Antiqua" w:hAnsi="Book Antiqua" w:cs="Arial"/>
        </w:rPr>
      </w:pPr>
      <w:r>
        <w:rPr>
          <w:rFonts w:ascii="Book Antiqua" w:hAnsi="Book Antiqua" w:cs="Arial"/>
        </w:rPr>
        <w:t xml:space="preserve">Deputy Upper Tribunal </w:t>
      </w:r>
      <w:r w:rsidR="00A154D5">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14:paraId="71C1599B" w14:textId="77777777" w:rsidR="00A66D4C" w:rsidRDefault="00A66D4C" w:rsidP="00772D15">
      <w:pPr>
        <w:tabs>
          <w:tab w:val="left" w:pos="2520"/>
        </w:tabs>
        <w:jc w:val="both"/>
        <w:rPr>
          <w:rFonts w:ascii="Book Antiqua" w:hAnsi="Book Antiqua" w:cs="Arial"/>
        </w:rPr>
      </w:pPr>
    </w:p>
    <w:p w14:paraId="2197827A" w14:textId="77777777" w:rsidR="00A66D4C" w:rsidRPr="00A66D4C" w:rsidRDefault="00A66D4C" w:rsidP="00A66D4C">
      <w:pPr>
        <w:tabs>
          <w:tab w:val="left" w:pos="2520"/>
        </w:tabs>
        <w:rPr>
          <w:rFonts w:ascii="Book Antiqua" w:hAnsi="Book Antiqua" w:cs="Arial"/>
          <w:b/>
          <w:u w:val="single"/>
        </w:rPr>
      </w:pPr>
      <w:r w:rsidRPr="00A66D4C">
        <w:rPr>
          <w:rFonts w:ascii="Book Antiqua" w:hAnsi="Book Antiqua" w:cs="Arial"/>
          <w:b/>
          <w:u w:val="single"/>
        </w:rPr>
        <w:t>TO THE RESPONDENT</w:t>
      </w:r>
    </w:p>
    <w:p w14:paraId="4C753CD7" w14:textId="77777777" w:rsidR="00A66D4C" w:rsidRDefault="00A66D4C" w:rsidP="00A66D4C">
      <w:pPr>
        <w:tabs>
          <w:tab w:val="left" w:pos="2520"/>
        </w:tabs>
        <w:rPr>
          <w:rFonts w:ascii="Book Antiqua" w:hAnsi="Book Antiqua" w:cs="Arial"/>
        </w:rPr>
      </w:pPr>
      <w:r w:rsidRPr="00A66D4C">
        <w:rPr>
          <w:rFonts w:ascii="Book Antiqua" w:hAnsi="Book Antiqua" w:cs="Arial"/>
          <w:b/>
          <w:u w:val="single"/>
        </w:rPr>
        <w:t>FEE AWARD</w:t>
      </w:r>
    </w:p>
    <w:p w14:paraId="48ABD8A0" w14:textId="77777777" w:rsidR="00A66D4C" w:rsidRDefault="00A66D4C" w:rsidP="00A66D4C">
      <w:pPr>
        <w:tabs>
          <w:tab w:val="left" w:pos="2520"/>
        </w:tabs>
        <w:rPr>
          <w:rFonts w:ascii="Book Antiqua" w:hAnsi="Book Antiqua" w:cs="Arial"/>
        </w:rPr>
      </w:pPr>
    </w:p>
    <w:p w14:paraId="03A247C6" w14:textId="77777777" w:rsidR="00A66D4C" w:rsidRDefault="00A66D4C" w:rsidP="00A66D4C">
      <w:pPr>
        <w:tabs>
          <w:tab w:val="left" w:pos="2520"/>
        </w:tabs>
        <w:rPr>
          <w:rFonts w:ascii="Book Antiqua" w:hAnsi="Book Antiqua" w:cs="Arial"/>
        </w:rPr>
      </w:pPr>
      <w:r>
        <w:rPr>
          <w:rFonts w:ascii="Book Antiqua" w:hAnsi="Book Antiqua" w:cs="Arial"/>
        </w:rPr>
        <w:t xml:space="preserve"> I do not make a fee award because I have dismissed the appeal. </w:t>
      </w:r>
    </w:p>
    <w:p w14:paraId="03A81BA6" w14:textId="77777777" w:rsidR="00A66D4C" w:rsidRDefault="00A66D4C" w:rsidP="00A66D4C">
      <w:pPr>
        <w:tabs>
          <w:tab w:val="left" w:pos="2520"/>
        </w:tabs>
        <w:rPr>
          <w:rFonts w:ascii="Book Antiqua" w:hAnsi="Book Antiqua" w:cs="Arial"/>
        </w:rPr>
      </w:pPr>
    </w:p>
    <w:p w14:paraId="633962EE" w14:textId="77777777" w:rsidR="00A66D4C" w:rsidRDefault="00A66D4C" w:rsidP="00A66D4C">
      <w:pPr>
        <w:tabs>
          <w:tab w:val="left" w:pos="2520"/>
        </w:tabs>
        <w:rPr>
          <w:rFonts w:ascii="Book Antiqua" w:hAnsi="Book Antiqua" w:cs="Arial"/>
        </w:rPr>
      </w:pPr>
    </w:p>
    <w:p w14:paraId="2B952412" w14:textId="77777777" w:rsidR="00A66D4C" w:rsidRPr="00F5664C" w:rsidRDefault="00A66D4C" w:rsidP="00A66D4C">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t>05/03/2019</w:t>
      </w:r>
    </w:p>
    <w:p w14:paraId="139597B0" w14:textId="77777777" w:rsidR="00A66D4C" w:rsidRPr="00F5664C" w:rsidRDefault="00A66D4C" w:rsidP="00A66D4C">
      <w:pPr>
        <w:tabs>
          <w:tab w:val="left" w:pos="2520"/>
        </w:tabs>
        <w:jc w:val="both"/>
        <w:rPr>
          <w:rFonts w:ascii="Book Antiqua" w:hAnsi="Book Antiqua" w:cs="Arial"/>
        </w:rPr>
      </w:pPr>
    </w:p>
    <w:p w14:paraId="6CE909E9" w14:textId="77777777" w:rsidR="00A66D4C" w:rsidRDefault="00A66D4C" w:rsidP="00A66D4C">
      <w:pPr>
        <w:tabs>
          <w:tab w:val="left" w:pos="2520"/>
        </w:tabs>
        <w:jc w:val="both"/>
        <w:rPr>
          <w:rFonts w:ascii="Book Antiqua" w:hAnsi="Book Antiqua" w:cs="Arial"/>
        </w:rPr>
      </w:pPr>
    </w:p>
    <w:p w14:paraId="432E1AB8" w14:textId="47751D32" w:rsidR="00A66D4C" w:rsidRDefault="00C06909" w:rsidP="00A66D4C">
      <w:pPr>
        <w:tabs>
          <w:tab w:val="left" w:pos="2520"/>
        </w:tabs>
        <w:jc w:val="both"/>
        <w:rPr>
          <w:rFonts w:ascii="Book Antiqua" w:hAnsi="Book Antiqua" w:cs="Arial"/>
        </w:rPr>
      </w:pPr>
      <w:r w:rsidRPr="00A154D5">
        <w:rPr>
          <w:rFonts w:ascii="Book Antiqua" w:hAnsi="Book Antiqua"/>
          <w:noProof/>
        </w:rPr>
        <w:drawing>
          <wp:inline distT="0" distB="0" distL="0" distR="0" wp14:anchorId="5EBAC0A6" wp14:editId="05D13F46">
            <wp:extent cx="1247775" cy="714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7775" cy="714375"/>
                    </a:xfrm>
                    <a:prstGeom prst="rect">
                      <a:avLst/>
                    </a:prstGeom>
                    <a:noFill/>
                    <a:ln>
                      <a:noFill/>
                    </a:ln>
                  </pic:spPr>
                </pic:pic>
              </a:graphicData>
            </a:graphic>
          </wp:inline>
        </w:drawing>
      </w:r>
    </w:p>
    <w:p w14:paraId="5AC3CE0C" w14:textId="77777777" w:rsidR="00A66D4C" w:rsidRPr="00F5664C" w:rsidRDefault="00A66D4C" w:rsidP="00A66D4C">
      <w:pPr>
        <w:tabs>
          <w:tab w:val="left" w:pos="2520"/>
        </w:tabs>
        <w:jc w:val="both"/>
        <w:rPr>
          <w:rFonts w:ascii="Book Antiqua" w:hAnsi="Book Antiqua" w:cs="Arial"/>
        </w:rPr>
      </w:pPr>
    </w:p>
    <w:p w14:paraId="24C48DF5" w14:textId="77777777" w:rsidR="00A66D4C" w:rsidRPr="00A66D4C" w:rsidRDefault="00A66D4C" w:rsidP="00A66D4C">
      <w:pPr>
        <w:tabs>
          <w:tab w:val="left" w:pos="2520"/>
        </w:tabs>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proofErr w:type="spellStart"/>
      <w:r>
        <w:rPr>
          <w:rFonts w:ascii="Book Antiqua" w:hAnsi="Book Antiqua" w:cs="Arial"/>
        </w:rPr>
        <w:t>Alis</w:t>
      </w:r>
      <w:proofErr w:type="spellEnd"/>
    </w:p>
    <w:sectPr w:rsidR="00A66D4C" w:rsidRPr="00A66D4C" w:rsidSect="00927734">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A8E40" w14:textId="77777777" w:rsidR="00080590" w:rsidRDefault="00080590">
      <w:r>
        <w:separator/>
      </w:r>
    </w:p>
  </w:endnote>
  <w:endnote w:type="continuationSeparator" w:id="0">
    <w:p w14:paraId="43EAE7EA" w14:textId="77777777" w:rsidR="00080590" w:rsidRDefault="0008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E195A" w14:textId="2E5D323F" w:rsidR="00CF253F" w:rsidRPr="00927734" w:rsidRDefault="00CF253F" w:rsidP="00593795">
    <w:pPr>
      <w:pStyle w:val="Footer"/>
      <w:jc w:val="center"/>
      <w:rPr>
        <w:rFonts w:ascii="Book Antiqua" w:hAnsi="Book Antiqua" w:cs="Arial"/>
      </w:rPr>
    </w:pPr>
    <w:r w:rsidRPr="00927734">
      <w:rPr>
        <w:rStyle w:val="PageNumber"/>
        <w:rFonts w:ascii="Book Antiqua" w:hAnsi="Book Antiqua" w:cs="Arial"/>
      </w:rPr>
      <w:fldChar w:fldCharType="begin"/>
    </w:r>
    <w:r w:rsidRPr="00927734">
      <w:rPr>
        <w:rStyle w:val="PageNumber"/>
        <w:rFonts w:ascii="Book Antiqua" w:hAnsi="Book Antiqua" w:cs="Arial"/>
      </w:rPr>
      <w:instrText xml:space="preserve"> PAGE </w:instrText>
    </w:r>
    <w:r w:rsidRPr="00927734">
      <w:rPr>
        <w:rStyle w:val="PageNumber"/>
        <w:rFonts w:ascii="Book Antiqua" w:hAnsi="Book Antiqua" w:cs="Arial"/>
      </w:rPr>
      <w:fldChar w:fldCharType="separate"/>
    </w:r>
    <w:r w:rsidR="00E13B4F">
      <w:rPr>
        <w:rStyle w:val="PageNumber"/>
        <w:rFonts w:ascii="Book Antiqua" w:hAnsi="Book Antiqua" w:cs="Arial"/>
        <w:noProof/>
      </w:rPr>
      <w:t>5</w:t>
    </w:r>
    <w:r w:rsidRPr="0092773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D0DFB"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A12860">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E550C" w14:textId="77777777" w:rsidR="00080590" w:rsidRDefault="00080590">
      <w:r>
        <w:separator/>
      </w:r>
    </w:p>
  </w:footnote>
  <w:footnote w:type="continuationSeparator" w:id="0">
    <w:p w14:paraId="4265315D" w14:textId="77777777" w:rsidR="00080590" w:rsidRDefault="00080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47213" w14:textId="57D39640"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91953">
      <w:rPr>
        <w:rFonts w:ascii="Book Antiqua" w:hAnsi="Book Antiqua" w:cs="Arial"/>
        <w:sz w:val="16"/>
        <w:szCs w:val="16"/>
      </w:rPr>
      <w:t>PA</w:t>
    </w:r>
    <w:r w:rsidR="004D2A64">
      <w:rPr>
        <w:rFonts w:ascii="Book Antiqua" w:hAnsi="Book Antiqua" w:cs="Arial"/>
        <w:sz w:val="16"/>
        <w:szCs w:val="16"/>
      </w:rPr>
      <w:t>/</w:t>
    </w:r>
    <w:r w:rsidR="00D1102F">
      <w:rPr>
        <w:rFonts w:ascii="Book Antiqua" w:hAnsi="Book Antiqua" w:cs="Arial"/>
        <w:sz w:val="16"/>
        <w:szCs w:val="16"/>
      </w:rPr>
      <w:t>10989</w:t>
    </w:r>
    <w:r w:rsidR="004D2A64">
      <w:rPr>
        <w:rFonts w:ascii="Book Antiqua" w:hAnsi="Book Antiqua" w:cs="Arial"/>
        <w:sz w:val="16"/>
        <w:szCs w:val="16"/>
      </w:rPr>
      <w:t>/201</w:t>
    </w:r>
    <w:r w:rsidR="00D1102F">
      <w:rPr>
        <w:rFonts w:ascii="Book Antiqua" w:hAnsi="Book Antiqua" w:cs="Arial"/>
        <w:sz w:val="16"/>
        <w:szCs w:val="16"/>
      </w:rPr>
      <w:t>7</w:t>
    </w:r>
  </w:p>
  <w:p w14:paraId="6B37F395" w14:textId="77777777" w:rsidR="00927734" w:rsidRPr="00F5664C" w:rsidRDefault="0092773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544F8"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3"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7421E87"/>
    <w:multiLevelType w:val="hybridMultilevel"/>
    <w:tmpl w:val="30ACBF96"/>
    <w:lvl w:ilvl="0" w:tplc="7952C5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1F5BD5"/>
    <w:multiLevelType w:val="hybridMultilevel"/>
    <w:tmpl w:val="24761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8B95D7B"/>
    <w:multiLevelType w:val="multilevel"/>
    <w:tmpl w:val="1A802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D3C3114"/>
    <w:multiLevelType w:val="hybridMultilevel"/>
    <w:tmpl w:val="E7369564"/>
    <w:lvl w:ilvl="0" w:tplc="E2160C64">
      <w:start w:val="1"/>
      <w:numFmt w:val="decimal"/>
      <w:lvlText w:val="%1."/>
      <w:lvlJc w:val="left"/>
      <w:pPr>
        <w:tabs>
          <w:tab w:val="num" w:pos="810"/>
        </w:tabs>
        <w:ind w:left="810" w:hanging="450"/>
      </w:pPr>
      <w:rPr>
        <w:rFonts w:hint="default"/>
      </w:rPr>
    </w:lvl>
    <w:lvl w:ilvl="1" w:tplc="92CE5CC0">
      <w:start w:val="1"/>
      <w:numFmt w:val="lowerRoman"/>
      <w:lvlText w:val="(%2)"/>
      <w:lvlJc w:val="left"/>
      <w:pPr>
        <w:tabs>
          <w:tab w:val="num" w:pos="1800"/>
        </w:tabs>
        <w:ind w:left="1800" w:hanging="720"/>
      </w:pPr>
      <w:rPr>
        <w:rFonts w:hint="default"/>
        <w:i w:val="0"/>
      </w:rPr>
    </w:lvl>
    <w:lvl w:ilvl="2" w:tplc="0809001B">
      <w:start w:val="1"/>
      <w:numFmt w:val="lowerRoman"/>
      <w:lvlText w:val="%3."/>
      <w:lvlJc w:val="right"/>
      <w:pPr>
        <w:tabs>
          <w:tab w:val="num" w:pos="2160"/>
        </w:tabs>
        <w:ind w:left="2160" w:hanging="180"/>
      </w:pPr>
    </w:lvl>
    <w:lvl w:ilvl="3" w:tplc="EA404ED6">
      <w:start w:val="1"/>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9"/>
  </w:num>
  <w:num w:numId="3">
    <w:abstractNumId w:val="6"/>
  </w:num>
  <w:num w:numId="4">
    <w:abstractNumId w:val="16"/>
  </w:num>
  <w:num w:numId="5">
    <w:abstractNumId w:val="26"/>
  </w:num>
  <w:num w:numId="6">
    <w:abstractNumId w:val="17"/>
  </w:num>
  <w:num w:numId="7">
    <w:abstractNumId w:val="24"/>
  </w:num>
  <w:num w:numId="8">
    <w:abstractNumId w:val="13"/>
  </w:num>
  <w:num w:numId="9">
    <w:abstractNumId w:val="11"/>
  </w:num>
  <w:num w:numId="10">
    <w:abstractNumId w:val="22"/>
  </w:num>
  <w:num w:numId="11">
    <w:abstractNumId w:val="21"/>
  </w:num>
  <w:num w:numId="12">
    <w:abstractNumId w:val="5"/>
  </w:num>
  <w:num w:numId="13">
    <w:abstractNumId w:val="20"/>
  </w:num>
  <w:num w:numId="14">
    <w:abstractNumId w:val="3"/>
  </w:num>
  <w:num w:numId="15">
    <w:abstractNumId w:val="8"/>
  </w:num>
  <w:num w:numId="16">
    <w:abstractNumId w:val="10"/>
  </w:num>
  <w:num w:numId="17">
    <w:abstractNumId w:val="18"/>
  </w:num>
  <w:num w:numId="18">
    <w:abstractNumId w:val="14"/>
  </w:num>
  <w:num w:numId="19">
    <w:abstractNumId w:val="15"/>
  </w:num>
  <w:num w:numId="20">
    <w:abstractNumId w:val="23"/>
  </w:num>
  <w:num w:numId="21">
    <w:abstractNumId w:val="2"/>
  </w:num>
  <w:num w:numId="22">
    <w:abstractNumId w:val="7"/>
  </w:num>
  <w:num w:numId="23">
    <w:abstractNumId w:val="0"/>
  </w:num>
  <w:num w:numId="24">
    <w:abstractNumId w:val="1"/>
  </w:num>
  <w:num w:numId="25">
    <w:abstractNumId w:val="12"/>
  </w:num>
  <w:num w:numId="26">
    <w:abstractNumId w:val="25"/>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0829197-2C76-49DC-8D05-52FD994539DA}"/>
    <w:docVar w:name="dgnword-eventsink" w:val="1356992134672"/>
  </w:docVars>
  <w:rsids>
    <w:rsidRoot w:val="004D2A64"/>
    <w:rsid w:val="00000621"/>
    <w:rsid w:val="000036C2"/>
    <w:rsid w:val="0000577C"/>
    <w:rsid w:val="00033D3D"/>
    <w:rsid w:val="000369F5"/>
    <w:rsid w:val="00071A7E"/>
    <w:rsid w:val="000746C0"/>
    <w:rsid w:val="00074D1D"/>
    <w:rsid w:val="00080590"/>
    <w:rsid w:val="00082381"/>
    <w:rsid w:val="00087037"/>
    <w:rsid w:val="00092580"/>
    <w:rsid w:val="000A32A2"/>
    <w:rsid w:val="000B6C45"/>
    <w:rsid w:val="000C202A"/>
    <w:rsid w:val="000D5D94"/>
    <w:rsid w:val="00100ABA"/>
    <w:rsid w:val="001165A7"/>
    <w:rsid w:val="001274BC"/>
    <w:rsid w:val="00151BB7"/>
    <w:rsid w:val="00161ACB"/>
    <w:rsid w:val="00167D3A"/>
    <w:rsid w:val="001A1E2C"/>
    <w:rsid w:val="001E12F7"/>
    <w:rsid w:val="001F2716"/>
    <w:rsid w:val="0020133A"/>
    <w:rsid w:val="00207617"/>
    <w:rsid w:val="00257248"/>
    <w:rsid w:val="00283659"/>
    <w:rsid w:val="00284E94"/>
    <w:rsid w:val="00291D5E"/>
    <w:rsid w:val="002C4E73"/>
    <w:rsid w:val="002D68BF"/>
    <w:rsid w:val="00305FBC"/>
    <w:rsid w:val="0031653F"/>
    <w:rsid w:val="003233FC"/>
    <w:rsid w:val="00334945"/>
    <w:rsid w:val="00336CBF"/>
    <w:rsid w:val="00342AF0"/>
    <w:rsid w:val="003546C8"/>
    <w:rsid w:val="00376F8F"/>
    <w:rsid w:val="00384467"/>
    <w:rsid w:val="00392D87"/>
    <w:rsid w:val="003A7CF2"/>
    <w:rsid w:val="003B15D3"/>
    <w:rsid w:val="003C0DF3"/>
    <w:rsid w:val="003C5363"/>
    <w:rsid w:val="003C5CE5"/>
    <w:rsid w:val="003E267B"/>
    <w:rsid w:val="003E4B44"/>
    <w:rsid w:val="003E6EE6"/>
    <w:rsid w:val="003E7CD1"/>
    <w:rsid w:val="00402B9E"/>
    <w:rsid w:val="00423932"/>
    <w:rsid w:val="004249CB"/>
    <w:rsid w:val="0044127D"/>
    <w:rsid w:val="004448DB"/>
    <w:rsid w:val="00444D3D"/>
    <w:rsid w:val="00446C9A"/>
    <w:rsid w:val="00456521"/>
    <w:rsid w:val="0047469D"/>
    <w:rsid w:val="00477193"/>
    <w:rsid w:val="004852B5"/>
    <w:rsid w:val="00493D72"/>
    <w:rsid w:val="004A1848"/>
    <w:rsid w:val="004B45B9"/>
    <w:rsid w:val="004D2A64"/>
    <w:rsid w:val="00507FEC"/>
    <w:rsid w:val="00510F0E"/>
    <w:rsid w:val="00516E48"/>
    <w:rsid w:val="00523546"/>
    <w:rsid w:val="00527F99"/>
    <w:rsid w:val="00541D19"/>
    <w:rsid w:val="005479E1"/>
    <w:rsid w:val="005570FD"/>
    <w:rsid w:val="005575EA"/>
    <w:rsid w:val="00564626"/>
    <w:rsid w:val="0057790C"/>
    <w:rsid w:val="00577DF1"/>
    <w:rsid w:val="00593795"/>
    <w:rsid w:val="005A75FF"/>
    <w:rsid w:val="005B4942"/>
    <w:rsid w:val="005B7789"/>
    <w:rsid w:val="005E0FF3"/>
    <w:rsid w:val="00615580"/>
    <w:rsid w:val="00620B80"/>
    <w:rsid w:val="00622725"/>
    <w:rsid w:val="006313D3"/>
    <w:rsid w:val="00640E14"/>
    <w:rsid w:val="0065791C"/>
    <w:rsid w:val="00677176"/>
    <w:rsid w:val="0069017E"/>
    <w:rsid w:val="00690B8A"/>
    <w:rsid w:val="006D1DFA"/>
    <w:rsid w:val="006D506B"/>
    <w:rsid w:val="006D5949"/>
    <w:rsid w:val="006E3C90"/>
    <w:rsid w:val="006E4664"/>
    <w:rsid w:val="006F08DA"/>
    <w:rsid w:val="00704B61"/>
    <w:rsid w:val="00713C92"/>
    <w:rsid w:val="00715327"/>
    <w:rsid w:val="00742A8D"/>
    <w:rsid w:val="0075191E"/>
    <w:rsid w:val="007552A9"/>
    <w:rsid w:val="00761858"/>
    <w:rsid w:val="00762FE7"/>
    <w:rsid w:val="00767D59"/>
    <w:rsid w:val="0077063B"/>
    <w:rsid w:val="00772D15"/>
    <w:rsid w:val="00776E97"/>
    <w:rsid w:val="00780FD7"/>
    <w:rsid w:val="007912AD"/>
    <w:rsid w:val="007A1F28"/>
    <w:rsid w:val="007B0824"/>
    <w:rsid w:val="007B1637"/>
    <w:rsid w:val="00805FA5"/>
    <w:rsid w:val="008303B8"/>
    <w:rsid w:val="00833DCE"/>
    <w:rsid w:val="00841581"/>
    <w:rsid w:val="00842418"/>
    <w:rsid w:val="00864126"/>
    <w:rsid w:val="00871D34"/>
    <w:rsid w:val="008B270C"/>
    <w:rsid w:val="008B322E"/>
    <w:rsid w:val="008C3D3D"/>
    <w:rsid w:val="008D4131"/>
    <w:rsid w:val="008E5A03"/>
    <w:rsid w:val="008F1932"/>
    <w:rsid w:val="008F294D"/>
    <w:rsid w:val="00911478"/>
    <w:rsid w:val="00916A58"/>
    <w:rsid w:val="00921062"/>
    <w:rsid w:val="00927734"/>
    <w:rsid w:val="0093083E"/>
    <w:rsid w:val="009451FF"/>
    <w:rsid w:val="00954AB4"/>
    <w:rsid w:val="009553DD"/>
    <w:rsid w:val="00955B0E"/>
    <w:rsid w:val="00966ECF"/>
    <w:rsid w:val="009727A3"/>
    <w:rsid w:val="00987774"/>
    <w:rsid w:val="00991A68"/>
    <w:rsid w:val="009A11E8"/>
    <w:rsid w:val="009A43A1"/>
    <w:rsid w:val="009D1EE0"/>
    <w:rsid w:val="009E4E62"/>
    <w:rsid w:val="009F5220"/>
    <w:rsid w:val="009F7C4D"/>
    <w:rsid w:val="00A12860"/>
    <w:rsid w:val="00A15234"/>
    <w:rsid w:val="00A154D5"/>
    <w:rsid w:val="00A201AB"/>
    <w:rsid w:val="00A31C8B"/>
    <w:rsid w:val="00A54733"/>
    <w:rsid w:val="00A66D4C"/>
    <w:rsid w:val="00A845DC"/>
    <w:rsid w:val="00A91420"/>
    <w:rsid w:val="00A97AEE"/>
    <w:rsid w:val="00AC5CF6"/>
    <w:rsid w:val="00AC7862"/>
    <w:rsid w:val="00B144FA"/>
    <w:rsid w:val="00B16F58"/>
    <w:rsid w:val="00B30648"/>
    <w:rsid w:val="00B322F4"/>
    <w:rsid w:val="00B3524D"/>
    <w:rsid w:val="00B40F69"/>
    <w:rsid w:val="00B46616"/>
    <w:rsid w:val="00B4758F"/>
    <w:rsid w:val="00B57A65"/>
    <w:rsid w:val="00B610E3"/>
    <w:rsid w:val="00B61205"/>
    <w:rsid w:val="00B617C4"/>
    <w:rsid w:val="00B626FA"/>
    <w:rsid w:val="00B66D87"/>
    <w:rsid w:val="00B7040A"/>
    <w:rsid w:val="00B80C0D"/>
    <w:rsid w:val="00B947BF"/>
    <w:rsid w:val="00B96FA0"/>
    <w:rsid w:val="00BB2AA8"/>
    <w:rsid w:val="00BD4196"/>
    <w:rsid w:val="00BD63A5"/>
    <w:rsid w:val="00BE4FE1"/>
    <w:rsid w:val="00BF22CA"/>
    <w:rsid w:val="00C0355E"/>
    <w:rsid w:val="00C06909"/>
    <w:rsid w:val="00C26032"/>
    <w:rsid w:val="00C265B0"/>
    <w:rsid w:val="00C321B5"/>
    <w:rsid w:val="00C345E1"/>
    <w:rsid w:val="00C74D85"/>
    <w:rsid w:val="00C9551E"/>
    <w:rsid w:val="00C977BA"/>
    <w:rsid w:val="00CB6E35"/>
    <w:rsid w:val="00CD4AEB"/>
    <w:rsid w:val="00CE1A46"/>
    <w:rsid w:val="00CE44D7"/>
    <w:rsid w:val="00CE66AC"/>
    <w:rsid w:val="00CF253F"/>
    <w:rsid w:val="00CF56B4"/>
    <w:rsid w:val="00D1102F"/>
    <w:rsid w:val="00D20F09"/>
    <w:rsid w:val="00D22636"/>
    <w:rsid w:val="00D40FD9"/>
    <w:rsid w:val="00D42256"/>
    <w:rsid w:val="00D53769"/>
    <w:rsid w:val="00D67604"/>
    <w:rsid w:val="00D73ADD"/>
    <w:rsid w:val="00D74CFD"/>
    <w:rsid w:val="00D85C13"/>
    <w:rsid w:val="00D91BE3"/>
    <w:rsid w:val="00D94AFC"/>
    <w:rsid w:val="00DB70AE"/>
    <w:rsid w:val="00DB7231"/>
    <w:rsid w:val="00DD07FC"/>
    <w:rsid w:val="00DD5071"/>
    <w:rsid w:val="00DD5C39"/>
    <w:rsid w:val="00DE26AF"/>
    <w:rsid w:val="00DE7DB7"/>
    <w:rsid w:val="00DF4EA0"/>
    <w:rsid w:val="00E00A0A"/>
    <w:rsid w:val="00E07F57"/>
    <w:rsid w:val="00E121E4"/>
    <w:rsid w:val="00E13B4F"/>
    <w:rsid w:val="00E4586A"/>
    <w:rsid w:val="00E50BCE"/>
    <w:rsid w:val="00E61292"/>
    <w:rsid w:val="00E76309"/>
    <w:rsid w:val="00E77C4D"/>
    <w:rsid w:val="00E81D01"/>
    <w:rsid w:val="00E90C08"/>
    <w:rsid w:val="00E91953"/>
    <w:rsid w:val="00EA4F85"/>
    <w:rsid w:val="00EB38EB"/>
    <w:rsid w:val="00EC154C"/>
    <w:rsid w:val="00ED305F"/>
    <w:rsid w:val="00ED3481"/>
    <w:rsid w:val="00EE45D8"/>
    <w:rsid w:val="00F004CD"/>
    <w:rsid w:val="00F12507"/>
    <w:rsid w:val="00F22EDA"/>
    <w:rsid w:val="00F26555"/>
    <w:rsid w:val="00F3224D"/>
    <w:rsid w:val="00F33E0E"/>
    <w:rsid w:val="00F3723B"/>
    <w:rsid w:val="00F5664C"/>
    <w:rsid w:val="00F64613"/>
    <w:rsid w:val="00F72B81"/>
    <w:rsid w:val="00F73986"/>
    <w:rsid w:val="00FA7129"/>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FDABE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72"/>
    <w:qFormat/>
    <w:rsid w:val="000B6C45"/>
    <w:pPr>
      <w:widowControl w:val="0"/>
      <w:ind w:left="720"/>
    </w:pPr>
    <w:rPr>
      <w:rFonts w:eastAsia="ヒラギノ角ゴ Pro W3"/>
      <w:color w:val="000000"/>
      <w:sz w:val="20"/>
      <w:lang w:eastAsia="en-US"/>
    </w:rPr>
  </w:style>
  <w:style w:type="paragraph" w:customStyle="1" w:styleId="Normal1">
    <w:name w:val="Normal1"/>
    <w:basedOn w:val="Normal"/>
    <w:rsid w:val="00E919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51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63272-EF80-4D92-9649-B814B35F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1758</Words>
  <Characters>8658</Characters>
  <Application>Microsoft Office Word</Application>
  <DocSecurity>0</DocSecurity>
  <Lines>72</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2019-04-23T15:52:00Z</dcterms:created>
  <dcterms:modified xsi:type="dcterms:W3CDTF">2019-04-23T15:52:00Z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