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649FF" w14:textId="77777777" w:rsidR="00933B65" w:rsidRPr="008D689B" w:rsidRDefault="00FE0046" w:rsidP="00933B65">
      <w:pPr>
        <w:jc w:val="center"/>
        <w:rPr>
          <w:rFonts w:ascii="Book Antiqua" w:hAnsi="Book Antiqua" w:cs="Arial"/>
          <w:color w:val="000000"/>
          <w:sz w:val="16"/>
          <w:szCs w:val="16"/>
        </w:rPr>
      </w:pPr>
      <w:r w:rsidRPr="008D689B">
        <w:rPr>
          <w:rFonts w:ascii="Book Antiqua" w:hAnsi="Book Antiqua"/>
          <w:noProof/>
          <w:sz w:val="16"/>
          <w:szCs w:val="16"/>
        </w:rPr>
        <w:drawing>
          <wp:inline distT="0" distB="0" distL="0" distR="0" wp14:anchorId="4404CE8D" wp14:editId="0774C53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2C917D93" w14:textId="77777777" w:rsidR="008D689B" w:rsidRPr="008D689B" w:rsidRDefault="008D689B" w:rsidP="008D689B">
      <w:pPr>
        <w:rPr>
          <w:rFonts w:ascii="Book Antiqua" w:hAnsi="Book Antiqua" w:cs="Arial"/>
          <w:color w:val="000000"/>
          <w:sz w:val="16"/>
          <w:szCs w:val="16"/>
        </w:rPr>
      </w:pPr>
    </w:p>
    <w:p w14:paraId="648B443F" w14:textId="77777777" w:rsidR="00933B65" w:rsidRPr="008D689B" w:rsidRDefault="00933B65" w:rsidP="00933B65">
      <w:pPr>
        <w:tabs>
          <w:tab w:val="right" w:pos="9720"/>
        </w:tabs>
        <w:ind w:right="-82"/>
        <w:rPr>
          <w:rFonts w:ascii="Book Antiqua" w:hAnsi="Book Antiqua" w:cs="Arial"/>
          <w:b/>
          <w:color w:val="000000"/>
        </w:rPr>
      </w:pPr>
      <w:r w:rsidRPr="008D689B">
        <w:rPr>
          <w:rFonts w:ascii="Book Antiqua" w:hAnsi="Book Antiqua" w:cs="Arial"/>
          <w:b/>
          <w:color w:val="000000"/>
        </w:rPr>
        <w:t xml:space="preserve">Upper Tribunal </w:t>
      </w:r>
    </w:p>
    <w:p w14:paraId="4DC6088A" w14:textId="77777777" w:rsidR="00933B65" w:rsidRPr="008D689B" w:rsidRDefault="00933B65" w:rsidP="008A64A7">
      <w:pPr>
        <w:tabs>
          <w:tab w:val="right" w:pos="9720"/>
        </w:tabs>
        <w:ind w:right="-82"/>
        <w:rPr>
          <w:rFonts w:ascii="Book Antiqua" w:hAnsi="Book Antiqua" w:cs="Arial"/>
          <w:color w:val="000000"/>
        </w:rPr>
      </w:pPr>
      <w:r w:rsidRPr="008D689B">
        <w:rPr>
          <w:rFonts w:ascii="Book Antiqua" w:hAnsi="Book Antiqua" w:cs="Arial"/>
          <w:b/>
          <w:color w:val="000000"/>
        </w:rPr>
        <w:t>(Immigration and Asylum Chamber)</w:t>
      </w:r>
      <w:r w:rsidRPr="008D689B">
        <w:rPr>
          <w:rFonts w:ascii="Book Antiqua" w:hAnsi="Book Antiqua" w:cs="Arial"/>
          <w:b/>
          <w:color w:val="000000"/>
        </w:rPr>
        <w:tab/>
      </w:r>
      <w:r w:rsidRPr="008D689B">
        <w:rPr>
          <w:rFonts w:ascii="Book Antiqua" w:hAnsi="Book Antiqua" w:cs="Arial"/>
          <w:color w:val="000000"/>
        </w:rPr>
        <w:t xml:space="preserve">Appeal Number: </w:t>
      </w:r>
      <w:bookmarkStart w:id="0" w:name="_Hlk518571963"/>
      <w:bookmarkStart w:id="1" w:name="_GoBack"/>
      <w:r w:rsidR="00E968CC" w:rsidRPr="008D689B">
        <w:rPr>
          <w:rFonts w:ascii="Book Antiqua" w:hAnsi="Book Antiqua" w:cs="Arial"/>
          <w:caps/>
          <w:color w:val="000000"/>
        </w:rPr>
        <w:t>PA/11048/2016</w:t>
      </w:r>
      <w:bookmarkEnd w:id="0"/>
      <w:bookmarkEnd w:id="1"/>
    </w:p>
    <w:p w14:paraId="4142864D" w14:textId="77777777" w:rsidR="00933B65" w:rsidRPr="008D689B" w:rsidRDefault="00933B65" w:rsidP="00933B65">
      <w:pPr>
        <w:jc w:val="center"/>
        <w:rPr>
          <w:rFonts w:ascii="Book Antiqua" w:hAnsi="Book Antiqua" w:cs="Arial"/>
          <w:color w:val="000000"/>
        </w:rPr>
      </w:pPr>
    </w:p>
    <w:p w14:paraId="30270E97" w14:textId="77777777" w:rsidR="008D689B" w:rsidRPr="008D689B" w:rsidRDefault="008D689B" w:rsidP="00933B65">
      <w:pPr>
        <w:jc w:val="center"/>
        <w:rPr>
          <w:rFonts w:ascii="Book Antiqua" w:hAnsi="Book Antiqua" w:cs="Arial"/>
          <w:b/>
          <w:color w:val="000000"/>
          <w:u w:val="single"/>
        </w:rPr>
      </w:pPr>
    </w:p>
    <w:p w14:paraId="65678FCB" w14:textId="21F41AC2" w:rsidR="00933B65" w:rsidRPr="008D689B" w:rsidRDefault="00933B65" w:rsidP="00933B65">
      <w:pPr>
        <w:jc w:val="center"/>
        <w:rPr>
          <w:rFonts w:ascii="Book Antiqua" w:hAnsi="Book Antiqua" w:cs="Arial"/>
          <w:b/>
          <w:color w:val="000000"/>
          <w:u w:val="single"/>
        </w:rPr>
      </w:pPr>
      <w:r w:rsidRPr="008D689B">
        <w:rPr>
          <w:rFonts w:ascii="Book Antiqua" w:hAnsi="Book Antiqua" w:cs="Arial"/>
          <w:b/>
          <w:color w:val="000000"/>
          <w:u w:val="single"/>
        </w:rPr>
        <w:t>THE IMMIGRATION ACTS</w:t>
      </w:r>
    </w:p>
    <w:p w14:paraId="2CB3570D" w14:textId="77777777" w:rsidR="008D689B" w:rsidRPr="008D689B" w:rsidRDefault="008D689B" w:rsidP="00933B65">
      <w:pPr>
        <w:jc w:val="center"/>
        <w:rPr>
          <w:rFonts w:ascii="Book Antiqua" w:hAnsi="Book Antiqua" w:cs="Arial"/>
          <w:b/>
          <w:u w:val="single"/>
        </w:rPr>
      </w:pPr>
    </w:p>
    <w:p w14:paraId="51044FE3" w14:textId="77777777" w:rsidR="00933B65" w:rsidRPr="008D689B" w:rsidRDefault="00933B65" w:rsidP="00933B6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933B65" w:rsidRPr="008D689B" w14:paraId="64CEF597" w14:textId="77777777" w:rsidTr="008D689B">
        <w:tc>
          <w:tcPr>
            <w:tcW w:w="2500" w:type="pct"/>
            <w:shd w:val="clear" w:color="auto" w:fill="auto"/>
          </w:tcPr>
          <w:p w14:paraId="2D799BF2" w14:textId="77777777" w:rsidR="00933B65" w:rsidRPr="008D689B" w:rsidRDefault="00933B65" w:rsidP="002154EF">
            <w:pPr>
              <w:jc w:val="both"/>
              <w:rPr>
                <w:rFonts w:ascii="Book Antiqua" w:hAnsi="Book Antiqua" w:cs="Arial"/>
                <w:b/>
              </w:rPr>
            </w:pPr>
            <w:r w:rsidRPr="008D689B">
              <w:rPr>
                <w:rFonts w:ascii="Book Antiqua" w:hAnsi="Book Antiqua" w:cs="Arial"/>
                <w:b/>
              </w:rPr>
              <w:t xml:space="preserve">Heard at </w:t>
            </w:r>
            <w:r w:rsidR="008B5B9B" w:rsidRPr="008D689B">
              <w:rPr>
                <w:rFonts w:ascii="Book Antiqua" w:hAnsi="Book Antiqua" w:cs="Arial"/>
                <w:b/>
              </w:rPr>
              <w:t xml:space="preserve">Glasgow </w:t>
            </w:r>
          </w:p>
        </w:tc>
        <w:tc>
          <w:tcPr>
            <w:tcW w:w="2500" w:type="pct"/>
            <w:shd w:val="clear" w:color="auto" w:fill="auto"/>
          </w:tcPr>
          <w:p w14:paraId="2D605CA5" w14:textId="77777777" w:rsidR="00933B65" w:rsidRPr="008D689B" w:rsidRDefault="000F73DE" w:rsidP="008D689B">
            <w:pPr>
              <w:jc w:val="right"/>
              <w:rPr>
                <w:rFonts w:ascii="Book Antiqua" w:hAnsi="Book Antiqua" w:cs="Arial"/>
                <w:b/>
                <w:color w:val="000000"/>
              </w:rPr>
            </w:pPr>
            <w:r w:rsidRPr="008D689B">
              <w:rPr>
                <w:rFonts w:ascii="Book Antiqua" w:hAnsi="Book Antiqua" w:cs="Arial"/>
                <w:b/>
                <w:color w:val="000000"/>
              </w:rPr>
              <w:t>Decision &amp; Reasons Promulgated</w:t>
            </w:r>
          </w:p>
        </w:tc>
      </w:tr>
      <w:tr w:rsidR="00933B65" w:rsidRPr="008D689B" w14:paraId="7759DF01" w14:textId="77777777" w:rsidTr="008D689B">
        <w:tc>
          <w:tcPr>
            <w:tcW w:w="2500" w:type="pct"/>
            <w:shd w:val="clear" w:color="auto" w:fill="auto"/>
          </w:tcPr>
          <w:p w14:paraId="72B07EEA" w14:textId="77777777" w:rsidR="00933B65" w:rsidRPr="008D689B" w:rsidRDefault="006D2D9A" w:rsidP="002154EF">
            <w:pPr>
              <w:jc w:val="both"/>
              <w:rPr>
                <w:rFonts w:ascii="Book Antiqua" w:hAnsi="Book Antiqua" w:cs="Arial"/>
                <w:b/>
              </w:rPr>
            </w:pPr>
            <w:r w:rsidRPr="008D689B">
              <w:rPr>
                <w:rFonts w:ascii="Book Antiqua" w:hAnsi="Book Antiqua" w:cs="Arial"/>
                <w:b/>
              </w:rPr>
              <w:t>o</w:t>
            </w:r>
            <w:r w:rsidR="00933B65" w:rsidRPr="008D689B">
              <w:rPr>
                <w:rFonts w:ascii="Book Antiqua" w:hAnsi="Book Antiqua" w:cs="Arial"/>
                <w:b/>
              </w:rPr>
              <w:t xml:space="preserve">n </w:t>
            </w:r>
            <w:r w:rsidR="00E968CC" w:rsidRPr="008D689B">
              <w:rPr>
                <w:rFonts w:ascii="Book Antiqua" w:hAnsi="Book Antiqua" w:cs="Arial"/>
                <w:b/>
              </w:rPr>
              <w:t>5 July 2018</w:t>
            </w:r>
          </w:p>
        </w:tc>
        <w:tc>
          <w:tcPr>
            <w:tcW w:w="2500" w:type="pct"/>
            <w:shd w:val="clear" w:color="auto" w:fill="auto"/>
          </w:tcPr>
          <w:p w14:paraId="7801C7C6" w14:textId="77777777" w:rsidR="00933B65" w:rsidRPr="008D689B" w:rsidRDefault="000F73DE" w:rsidP="008D689B">
            <w:pPr>
              <w:jc w:val="right"/>
              <w:rPr>
                <w:rFonts w:ascii="Book Antiqua" w:hAnsi="Book Antiqua" w:cs="Arial"/>
                <w:b/>
              </w:rPr>
            </w:pPr>
            <w:r w:rsidRPr="008D689B">
              <w:rPr>
                <w:rFonts w:ascii="Book Antiqua" w:hAnsi="Book Antiqua" w:cs="Arial"/>
                <w:b/>
              </w:rPr>
              <w:t>On 9 July 2018</w:t>
            </w:r>
          </w:p>
        </w:tc>
      </w:tr>
      <w:tr w:rsidR="00933B65" w:rsidRPr="008D689B" w14:paraId="055407BD" w14:textId="77777777" w:rsidTr="008D689B">
        <w:tc>
          <w:tcPr>
            <w:tcW w:w="2500" w:type="pct"/>
            <w:shd w:val="clear" w:color="auto" w:fill="auto"/>
          </w:tcPr>
          <w:p w14:paraId="4DCD0EBE" w14:textId="77777777" w:rsidR="00933B65" w:rsidRPr="008D689B" w:rsidRDefault="00933B65" w:rsidP="002154EF">
            <w:pPr>
              <w:jc w:val="both"/>
              <w:rPr>
                <w:rFonts w:ascii="Book Antiqua" w:hAnsi="Book Antiqua" w:cs="Arial"/>
                <w:b/>
              </w:rPr>
            </w:pPr>
          </w:p>
        </w:tc>
        <w:tc>
          <w:tcPr>
            <w:tcW w:w="2500" w:type="pct"/>
            <w:shd w:val="clear" w:color="auto" w:fill="auto"/>
          </w:tcPr>
          <w:p w14:paraId="4EBB5FB8" w14:textId="77777777" w:rsidR="00933B65" w:rsidRPr="008D689B" w:rsidRDefault="00933B65" w:rsidP="008D689B">
            <w:pPr>
              <w:jc w:val="right"/>
              <w:rPr>
                <w:rFonts w:ascii="Book Antiqua" w:hAnsi="Book Antiqua" w:cs="Arial"/>
                <w:b/>
              </w:rPr>
            </w:pPr>
          </w:p>
        </w:tc>
      </w:tr>
    </w:tbl>
    <w:p w14:paraId="060C4815" w14:textId="77777777" w:rsidR="008D689B" w:rsidRPr="008D689B" w:rsidRDefault="008D689B" w:rsidP="00933B65">
      <w:pPr>
        <w:jc w:val="center"/>
        <w:rPr>
          <w:rFonts w:ascii="Book Antiqua" w:hAnsi="Book Antiqua" w:cs="Arial"/>
          <w:b/>
        </w:rPr>
      </w:pPr>
    </w:p>
    <w:p w14:paraId="03B994BD" w14:textId="771F47A4" w:rsidR="00933B65" w:rsidRPr="008D689B" w:rsidRDefault="00933B65" w:rsidP="00933B65">
      <w:pPr>
        <w:jc w:val="center"/>
        <w:rPr>
          <w:rFonts w:ascii="Book Antiqua" w:hAnsi="Book Antiqua" w:cs="Arial"/>
          <w:b/>
        </w:rPr>
      </w:pPr>
      <w:r w:rsidRPr="008D689B">
        <w:rPr>
          <w:rFonts w:ascii="Book Antiqua" w:hAnsi="Book Antiqua" w:cs="Arial"/>
          <w:b/>
        </w:rPr>
        <w:t>Before</w:t>
      </w:r>
    </w:p>
    <w:p w14:paraId="018BB72F" w14:textId="77777777" w:rsidR="00933B65" w:rsidRPr="008D689B" w:rsidRDefault="00933B65" w:rsidP="00933B65">
      <w:pPr>
        <w:jc w:val="center"/>
        <w:rPr>
          <w:rFonts w:ascii="Book Antiqua" w:hAnsi="Book Antiqua" w:cs="Arial"/>
          <w:b/>
        </w:rPr>
      </w:pPr>
    </w:p>
    <w:p w14:paraId="67FF331B" w14:textId="77777777" w:rsidR="00933B65" w:rsidRPr="008D689B" w:rsidRDefault="00933B65" w:rsidP="00933B65">
      <w:pPr>
        <w:jc w:val="center"/>
        <w:rPr>
          <w:rFonts w:ascii="Book Antiqua" w:hAnsi="Book Antiqua" w:cs="Arial"/>
          <w:b/>
          <w:color w:val="000000"/>
        </w:rPr>
      </w:pPr>
      <w:r w:rsidRPr="008D689B">
        <w:rPr>
          <w:rFonts w:ascii="Book Antiqua" w:hAnsi="Book Antiqua" w:cs="Arial"/>
          <w:b/>
          <w:color w:val="000000"/>
        </w:rPr>
        <w:t xml:space="preserve">UPPER TRIBUNAL JUDGE </w:t>
      </w:r>
      <w:r w:rsidR="008B5B9B" w:rsidRPr="008D689B">
        <w:rPr>
          <w:rFonts w:ascii="Book Antiqua" w:hAnsi="Book Antiqua" w:cs="Arial"/>
          <w:b/>
          <w:color w:val="000000"/>
        </w:rPr>
        <w:t>MACLEMAN</w:t>
      </w:r>
    </w:p>
    <w:p w14:paraId="44587305" w14:textId="77777777" w:rsidR="00933B65" w:rsidRPr="008D689B" w:rsidRDefault="00933B65" w:rsidP="00933B65">
      <w:pPr>
        <w:jc w:val="center"/>
        <w:rPr>
          <w:rFonts w:ascii="Book Antiqua" w:hAnsi="Book Antiqua" w:cs="Arial"/>
          <w:b/>
        </w:rPr>
      </w:pPr>
    </w:p>
    <w:p w14:paraId="51654B09" w14:textId="77777777" w:rsidR="008D689B" w:rsidRPr="008D689B" w:rsidRDefault="008D689B" w:rsidP="00933B65">
      <w:pPr>
        <w:jc w:val="center"/>
        <w:rPr>
          <w:rFonts w:ascii="Book Antiqua" w:hAnsi="Book Antiqua" w:cs="Arial"/>
          <w:b/>
        </w:rPr>
      </w:pPr>
    </w:p>
    <w:p w14:paraId="10414E73" w14:textId="2035F784" w:rsidR="00933B65" w:rsidRPr="008D689B" w:rsidRDefault="00933B65" w:rsidP="00933B65">
      <w:pPr>
        <w:jc w:val="center"/>
        <w:rPr>
          <w:rFonts w:ascii="Book Antiqua" w:hAnsi="Book Antiqua" w:cs="Arial"/>
          <w:b/>
        </w:rPr>
      </w:pPr>
      <w:r w:rsidRPr="008D689B">
        <w:rPr>
          <w:rFonts w:ascii="Book Antiqua" w:hAnsi="Book Antiqua" w:cs="Arial"/>
          <w:b/>
        </w:rPr>
        <w:t>Between</w:t>
      </w:r>
    </w:p>
    <w:p w14:paraId="346B5E21" w14:textId="77777777" w:rsidR="00933B65" w:rsidRPr="008D689B" w:rsidRDefault="00933B65" w:rsidP="00933B65">
      <w:pPr>
        <w:jc w:val="center"/>
        <w:rPr>
          <w:rFonts w:ascii="Book Antiqua" w:hAnsi="Book Antiqua" w:cs="Arial"/>
          <w:b/>
        </w:rPr>
      </w:pPr>
    </w:p>
    <w:p w14:paraId="1606F55A" w14:textId="43D220C6" w:rsidR="00933B65" w:rsidRPr="008D689B" w:rsidRDefault="008D689B" w:rsidP="00933B65">
      <w:pPr>
        <w:jc w:val="center"/>
        <w:rPr>
          <w:rFonts w:ascii="Book Antiqua" w:hAnsi="Book Antiqua" w:cs="Arial"/>
          <w:b/>
        </w:rPr>
      </w:pPr>
      <w:r>
        <w:rPr>
          <w:rFonts w:ascii="Book Antiqua" w:hAnsi="Book Antiqua" w:cs="Arial"/>
          <w:b/>
        </w:rPr>
        <w:t>[</w:t>
      </w:r>
      <w:r w:rsidR="00972FF8" w:rsidRPr="008D689B">
        <w:rPr>
          <w:rFonts w:ascii="Book Antiqua" w:hAnsi="Book Antiqua" w:cs="Arial"/>
          <w:b/>
        </w:rPr>
        <w:t>O</w:t>
      </w:r>
      <w:r>
        <w:rPr>
          <w:rFonts w:ascii="Book Antiqua" w:hAnsi="Book Antiqua" w:cs="Arial"/>
          <w:b/>
        </w:rPr>
        <w:t xml:space="preserve"> </w:t>
      </w:r>
      <w:r w:rsidR="00972FF8" w:rsidRPr="008D689B">
        <w:rPr>
          <w:rFonts w:ascii="Book Antiqua" w:hAnsi="Book Antiqua" w:cs="Arial"/>
          <w:b/>
        </w:rPr>
        <w:t>M</w:t>
      </w:r>
      <w:r>
        <w:rPr>
          <w:rFonts w:ascii="Book Antiqua" w:hAnsi="Book Antiqua" w:cs="Arial"/>
          <w:b/>
        </w:rPr>
        <w:t>]</w:t>
      </w:r>
    </w:p>
    <w:p w14:paraId="23FF3D9C" w14:textId="77777777" w:rsidR="00933B65" w:rsidRPr="008D689B" w:rsidRDefault="00933B65" w:rsidP="00933B65">
      <w:pPr>
        <w:jc w:val="right"/>
        <w:rPr>
          <w:rFonts w:ascii="Book Antiqua" w:hAnsi="Book Antiqua" w:cs="Arial"/>
          <w:u w:val="single"/>
        </w:rPr>
      </w:pPr>
      <w:r w:rsidRPr="008D689B">
        <w:rPr>
          <w:rFonts w:ascii="Book Antiqua" w:hAnsi="Book Antiqua" w:cs="Arial"/>
          <w:u w:val="single"/>
        </w:rPr>
        <w:t>Appellant</w:t>
      </w:r>
    </w:p>
    <w:p w14:paraId="11EB6131" w14:textId="77777777" w:rsidR="00933B65" w:rsidRPr="008D689B" w:rsidRDefault="00933B65" w:rsidP="00933B65">
      <w:pPr>
        <w:jc w:val="center"/>
        <w:rPr>
          <w:rFonts w:ascii="Book Antiqua" w:hAnsi="Book Antiqua" w:cs="Arial"/>
          <w:b/>
        </w:rPr>
      </w:pPr>
      <w:r w:rsidRPr="008D689B">
        <w:rPr>
          <w:rFonts w:ascii="Book Antiqua" w:hAnsi="Book Antiqua" w:cs="Arial"/>
          <w:b/>
        </w:rPr>
        <w:t>and</w:t>
      </w:r>
    </w:p>
    <w:p w14:paraId="0DFC4E46" w14:textId="77777777" w:rsidR="00933B65" w:rsidRPr="008D689B" w:rsidRDefault="00933B65" w:rsidP="00933B65">
      <w:pPr>
        <w:jc w:val="center"/>
        <w:rPr>
          <w:rFonts w:ascii="Book Antiqua" w:hAnsi="Book Antiqua" w:cs="Arial"/>
          <w:b/>
        </w:rPr>
      </w:pPr>
    </w:p>
    <w:p w14:paraId="2353931F" w14:textId="77777777" w:rsidR="00D44C2B" w:rsidRPr="008D689B" w:rsidRDefault="00933B65" w:rsidP="00933B65">
      <w:pPr>
        <w:jc w:val="center"/>
        <w:rPr>
          <w:rFonts w:ascii="Book Antiqua" w:hAnsi="Book Antiqua" w:cs="Arial"/>
          <w:b/>
        </w:rPr>
      </w:pPr>
      <w:r w:rsidRPr="008D689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8D689B">
        <w:rPr>
          <w:rFonts w:ascii="Book Antiqua" w:hAnsi="Book Antiqua" w:cs="Arial"/>
          <w:b/>
        </w:rPr>
        <w:instrText xml:space="preserve"> FORMTEXT </w:instrText>
      </w:r>
      <w:r w:rsidRPr="008D689B">
        <w:rPr>
          <w:rFonts w:ascii="Book Antiqua" w:hAnsi="Book Antiqua" w:cs="Arial"/>
          <w:b/>
        </w:rPr>
      </w:r>
      <w:r w:rsidRPr="008D689B">
        <w:rPr>
          <w:rFonts w:ascii="Book Antiqua" w:hAnsi="Book Antiqua" w:cs="Arial"/>
          <w:b/>
        </w:rPr>
        <w:fldChar w:fldCharType="separate"/>
      </w:r>
      <w:r w:rsidRPr="008D689B">
        <w:rPr>
          <w:rFonts w:ascii="Book Antiqua" w:hAnsi="Book Antiqua" w:cs="Arial"/>
          <w:b/>
          <w:noProof/>
        </w:rPr>
        <w:t>THE SECRETARY OF STATE FOR THE HOME DEPARTMENT</w:t>
      </w:r>
      <w:r w:rsidRPr="008D689B">
        <w:rPr>
          <w:rFonts w:ascii="Book Antiqua" w:hAnsi="Book Antiqua" w:cs="Arial"/>
          <w:b/>
        </w:rPr>
        <w:fldChar w:fldCharType="end"/>
      </w:r>
      <w:bookmarkEnd w:id="2"/>
    </w:p>
    <w:p w14:paraId="22F02D36" w14:textId="77777777" w:rsidR="00933B65" w:rsidRPr="008D689B" w:rsidRDefault="00933B65" w:rsidP="008A64A7">
      <w:pPr>
        <w:jc w:val="right"/>
        <w:rPr>
          <w:rFonts w:ascii="Book Antiqua" w:hAnsi="Book Antiqua" w:cs="Arial"/>
          <w:u w:val="single"/>
        </w:rPr>
      </w:pPr>
      <w:r w:rsidRPr="008D689B">
        <w:rPr>
          <w:rFonts w:ascii="Book Antiqua" w:hAnsi="Book Antiqua" w:cs="Arial"/>
          <w:u w:val="single"/>
        </w:rPr>
        <w:t>Respondent</w:t>
      </w:r>
    </w:p>
    <w:p w14:paraId="73032F2E" w14:textId="35FC6812" w:rsidR="00933B65" w:rsidRPr="008D689B" w:rsidRDefault="00933B65" w:rsidP="00933B65">
      <w:pPr>
        <w:rPr>
          <w:rFonts w:ascii="Book Antiqua" w:hAnsi="Book Antiqua" w:cs="Arial"/>
        </w:rPr>
      </w:pPr>
    </w:p>
    <w:p w14:paraId="2F313F2D" w14:textId="77777777" w:rsidR="008D689B" w:rsidRPr="008D689B" w:rsidRDefault="008D689B" w:rsidP="00933B65">
      <w:pPr>
        <w:rPr>
          <w:rFonts w:ascii="Book Antiqua" w:hAnsi="Book Antiqua" w:cs="Arial"/>
        </w:rPr>
      </w:pPr>
    </w:p>
    <w:p w14:paraId="5C35EB40" w14:textId="4E6798E8" w:rsidR="00933B65" w:rsidRPr="008D689B" w:rsidRDefault="00933B65" w:rsidP="008D689B">
      <w:pPr>
        <w:ind w:left="2552" w:hanging="2552"/>
        <w:rPr>
          <w:rFonts w:ascii="Book Antiqua" w:hAnsi="Book Antiqua" w:cs="Arial"/>
        </w:rPr>
      </w:pPr>
      <w:r w:rsidRPr="008D689B">
        <w:rPr>
          <w:rFonts w:ascii="Book Antiqua" w:hAnsi="Book Antiqua" w:cs="Arial"/>
        </w:rPr>
        <w:t>For the Appellant:</w:t>
      </w:r>
      <w:r w:rsidR="008D689B">
        <w:rPr>
          <w:rFonts w:ascii="Book Antiqua" w:hAnsi="Book Antiqua" w:cs="Arial"/>
        </w:rPr>
        <w:tab/>
      </w:r>
      <w:r w:rsidR="00A87A00" w:rsidRPr="008D689B">
        <w:rPr>
          <w:rFonts w:ascii="Book Antiqua" w:hAnsi="Book Antiqua" w:cs="Arial"/>
        </w:rPr>
        <w:t xml:space="preserve">Mr T Haddow, Advocate, instructed by </w:t>
      </w:r>
      <w:r w:rsidR="00C666D0" w:rsidRPr="008D689B">
        <w:rPr>
          <w:rFonts w:ascii="Book Antiqua" w:hAnsi="Book Antiqua" w:cs="Arial"/>
        </w:rPr>
        <w:t>Q</w:t>
      </w:r>
      <w:r w:rsidR="002E7BA6" w:rsidRPr="008D689B">
        <w:rPr>
          <w:rFonts w:ascii="Book Antiqua" w:hAnsi="Book Antiqua" w:cs="Arial"/>
        </w:rPr>
        <w:t>u</w:t>
      </w:r>
      <w:r w:rsidR="00C666D0" w:rsidRPr="008D689B">
        <w:rPr>
          <w:rFonts w:ascii="Book Antiqua" w:hAnsi="Book Antiqua" w:cs="Arial"/>
        </w:rPr>
        <w:t>inn</w:t>
      </w:r>
      <w:r w:rsidR="002E7BA6" w:rsidRPr="008D689B">
        <w:rPr>
          <w:rFonts w:ascii="Book Antiqua" w:hAnsi="Book Antiqua" w:cs="Arial"/>
        </w:rPr>
        <w:t xml:space="preserve"> Martin </w:t>
      </w:r>
      <w:r w:rsidR="00FD11E0" w:rsidRPr="008D689B">
        <w:rPr>
          <w:rFonts w:ascii="Book Antiqua" w:hAnsi="Book Antiqua" w:cs="Arial"/>
        </w:rPr>
        <w:t>&amp;</w:t>
      </w:r>
      <w:r w:rsidR="002E7BA6" w:rsidRPr="008D689B">
        <w:rPr>
          <w:rFonts w:ascii="Book Antiqua" w:hAnsi="Book Antiqua" w:cs="Arial"/>
        </w:rPr>
        <w:t xml:space="preserve"> </w:t>
      </w:r>
      <w:proofErr w:type="spellStart"/>
      <w:r w:rsidR="002E7BA6" w:rsidRPr="008D689B">
        <w:rPr>
          <w:rFonts w:ascii="Book Antiqua" w:hAnsi="Book Antiqua" w:cs="Arial"/>
        </w:rPr>
        <w:t>Langan</w:t>
      </w:r>
      <w:proofErr w:type="spellEnd"/>
      <w:r w:rsidR="002E7BA6" w:rsidRPr="008D689B">
        <w:rPr>
          <w:rFonts w:ascii="Book Antiqua" w:hAnsi="Book Antiqua" w:cs="Arial"/>
        </w:rPr>
        <w:t xml:space="preserve">, </w:t>
      </w:r>
      <w:r w:rsidR="003D7D3D" w:rsidRPr="008D689B">
        <w:rPr>
          <w:rFonts w:ascii="Book Antiqua" w:hAnsi="Book Antiqua" w:cs="Arial"/>
        </w:rPr>
        <w:t>Solicitors</w:t>
      </w:r>
    </w:p>
    <w:p w14:paraId="1B8ED3B0" w14:textId="5F403101" w:rsidR="00933B65" w:rsidRPr="008D689B" w:rsidRDefault="00933B65" w:rsidP="008D689B">
      <w:pPr>
        <w:tabs>
          <w:tab w:val="left" w:pos="2552"/>
        </w:tabs>
        <w:rPr>
          <w:rFonts w:ascii="Book Antiqua" w:hAnsi="Book Antiqua" w:cs="Arial"/>
        </w:rPr>
      </w:pPr>
      <w:r w:rsidRPr="008D689B">
        <w:rPr>
          <w:rFonts w:ascii="Book Antiqua" w:hAnsi="Book Antiqua" w:cs="Arial"/>
        </w:rPr>
        <w:t>For the Respondent:</w:t>
      </w:r>
      <w:r w:rsidR="008D689B">
        <w:rPr>
          <w:rFonts w:ascii="Book Antiqua" w:hAnsi="Book Antiqua" w:cs="Arial"/>
        </w:rPr>
        <w:tab/>
      </w:r>
      <w:r w:rsidR="00B77F1C" w:rsidRPr="008D689B">
        <w:rPr>
          <w:rFonts w:ascii="Book Antiqua" w:hAnsi="Book Antiqua" w:cs="Arial"/>
        </w:rPr>
        <w:t xml:space="preserve">Mr A Mullen, </w:t>
      </w:r>
      <w:r w:rsidR="003D7D3D" w:rsidRPr="008D689B">
        <w:rPr>
          <w:rFonts w:ascii="Book Antiqua" w:hAnsi="Book Antiqua" w:cs="Arial"/>
        </w:rPr>
        <w:t>Senior</w:t>
      </w:r>
      <w:r w:rsidRPr="008D689B">
        <w:rPr>
          <w:rFonts w:ascii="Book Antiqua" w:hAnsi="Book Antiqua" w:cs="Arial"/>
        </w:rPr>
        <w:t xml:space="preserve"> Home Office Presenting Officer</w:t>
      </w:r>
    </w:p>
    <w:p w14:paraId="515BCDD2" w14:textId="77777777" w:rsidR="00933B65" w:rsidRPr="008D689B" w:rsidRDefault="00933B65" w:rsidP="00933B65">
      <w:pPr>
        <w:tabs>
          <w:tab w:val="left" w:pos="2520"/>
        </w:tabs>
        <w:jc w:val="center"/>
        <w:rPr>
          <w:rFonts w:ascii="Book Antiqua" w:hAnsi="Book Antiqua" w:cs="Arial"/>
        </w:rPr>
      </w:pPr>
    </w:p>
    <w:p w14:paraId="40635AFA" w14:textId="77777777" w:rsidR="008D689B" w:rsidRPr="008D689B" w:rsidRDefault="008D689B" w:rsidP="00734D2D">
      <w:pPr>
        <w:tabs>
          <w:tab w:val="left" w:pos="2520"/>
        </w:tabs>
        <w:jc w:val="center"/>
        <w:rPr>
          <w:rFonts w:ascii="Book Antiqua" w:hAnsi="Book Antiqua" w:cs="Arial"/>
          <w:b/>
          <w:u w:val="single"/>
        </w:rPr>
      </w:pPr>
    </w:p>
    <w:p w14:paraId="49F3C4AF" w14:textId="0F516383" w:rsidR="00321C6F" w:rsidRPr="008D689B" w:rsidRDefault="00933B65" w:rsidP="00734D2D">
      <w:pPr>
        <w:tabs>
          <w:tab w:val="left" w:pos="2520"/>
        </w:tabs>
        <w:jc w:val="center"/>
        <w:rPr>
          <w:rFonts w:ascii="Book Antiqua" w:hAnsi="Book Antiqua" w:cs="Arial"/>
        </w:rPr>
      </w:pPr>
      <w:r w:rsidRPr="008D689B">
        <w:rPr>
          <w:rFonts w:ascii="Book Antiqua" w:hAnsi="Book Antiqua" w:cs="Arial"/>
          <w:b/>
          <w:u w:val="single"/>
        </w:rPr>
        <w:t>DETERMINATION AND REASONS</w:t>
      </w:r>
    </w:p>
    <w:p w14:paraId="27CD4DC9" w14:textId="77777777" w:rsidR="002D36F1" w:rsidRPr="008D689B" w:rsidRDefault="00007BAC" w:rsidP="002D36F1">
      <w:pPr>
        <w:numPr>
          <w:ilvl w:val="0"/>
          <w:numId w:val="2"/>
        </w:numPr>
        <w:spacing w:before="240"/>
        <w:jc w:val="both"/>
        <w:rPr>
          <w:rFonts w:ascii="Book Antiqua" w:hAnsi="Book Antiqua" w:cs="Arial"/>
        </w:rPr>
      </w:pPr>
      <w:r w:rsidRPr="008D689B">
        <w:rPr>
          <w:rFonts w:ascii="Book Antiqua" w:hAnsi="Book Antiqua" w:cs="Arial"/>
        </w:rPr>
        <w:t>Th</w:t>
      </w:r>
      <w:r w:rsidR="004C43A2" w:rsidRPr="008D689B">
        <w:rPr>
          <w:rFonts w:ascii="Book Antiqua" w:hAnsi="Book Antiqua" w:cs="Arial"/>
        </w:rPr>
        <w:t xml:space="preserve">e respondent refused the appellant’s protection claim </w:t>
      </w:r>
      <w:r w:rsidR="002D36F1" w:rsidRPr="008D689B">
        <w:rPr>
          <w:rFonts w:ascii="Book Antiqua" w:hAnsi="Book Antiqua" w:cs="Arial"/>
        </w:rPr>
        <w:t>for reasons given in a</w:t>
      </w:r>
      <w:r w:rsidR="00D31D54" w:rsidRPr="008D689B">
        <w:rPr>
          <w:rFonts w:ascii="Book Antiqua" w:hAnsi="Book Antiqua" w:cs="Arial"/>
        </w:rPr>
        <w:t xml:space="preserve"> decision dated </w:t>
      </w:r>
      <w:r w:rsidR="00B43EAE" w:rsidRPr="008D689B">
        <w:rPr>
          <w:rFonts w:ascii="Book Antiqua" w:hAnsi="Book Antiqua" w:cs="Arial"/>
        </w:rPr>
        <w:t>30 September 2016</w:t>
      </w:r>
      <w:r w:rsidR="000777B7" w:rsidRPr="008D689B">
        <w:rPr>
          <w:rFonts w:ascii="Book Antiqua" w:hAnsi="Book Antiqua" w:cs="Arial"/>
        </w:rPr>
        <w:t>.</w:t>
      </w:r>
    </w:p>
    <w:p w14:paraId="0A2DD431" w14:textId="77777777" w:rsidR="00007BAC" w:rsidRPr="008D689B" w:rsidRDefault="00186DF6" w:rsidP="00186DF6">
      <w:pPr>
        <w:numPr>
          <w:ilvl w:val="0"/>
          <w:numId w:val="2"/>
        </w:numPr>
        <w:spacing w:before="240"/>
        <w:jc w:val="both"/>
        <w:rPr>
          <w:rFonts w:ascii="Book Antiqua" w:hAnsi="Book Antiqua" w:cs="Arial"/>
        </w:rPr>
      </w:pPr>
      <w:r w:rsidRPr="008D689B">
        <w:rPr>
          <w:rFonts w:ascii="Book Antiqua" w:hAnsi="Book Antiqua" w:cs="Arial"/>
        </w:rPr>
        <w:t>F</w:t>
      </w:r>
      <w:r w:rsidRPr="008D689B">
        <w:rPr>
          <w:rFonts w:ascii="Book Antiqua" w:hAnsi="Book Antiqua" w:cs="Arial"/>
          <w:noProof/>
        </w:rPr>
        <mc:AlternateContent>
          <mc:Choice Requires="wpi">
            <w:drawing>
              <wp:anchor distT="0" distB="0" distL="114300" distR="114300" simplePos="0" relativeHeight="251659264" behindDoc="0" locked="0" layoutInCell="1" allowOverlap="1" wp14:anchorId="59B02B68" wp14:editId="567E2266">
                <wp:simplePos x="0" y="0"/>
                <wp:positionH relativeFrom="column">
                  <wp:posOffset>6976518</wp:posOffset>
                </wp:positionH>
                <wp:positionV relativeFrom="paragraph">
                  <wp:posOffset>394224</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1CC6E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48.65pt;margin-top:30.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IJV7AQAAJgMAAA4AAABkcnMvZTJvRG9jLnhtbJxSwW7CMAy9T9o/&#10;RLmPtjChraLlMDSJwxiH7QOyNKHRmrhyUgp/P7fQAZumSVwix06e3/PzbL6zFdsq9AZcxpNRzJly&#10;EgrjNhl/f3u+e+DMB+EKUYFTGd8rz+f57c2srVM1hhKqQiEjEOfTts54GUKdRpGXpbLCj6BWjooa&#10;0IpAV9xEBYqW0G0VjeN4GrWARY0glfeUXRyKPO/xtVYyvGrtVWBVxh/jmOiFIcAh+DgGUT4T6QZF&#10;XRp5pCSuYGSFcUTgG2ohgmANml9Q1kgEDzqMJNgItDZS9XpIWRL/ULZ0n52q5F42mEpwQbmwFhiG&#10;2fWFa1rYirOP9gUKckc0AfgRkcbzvxkH0guQjSU+B0dQVSLQOvjS1J4zTE2RcVwWyYm/2z6dFKzx&#10;pGu1XSPr3k84c8ISJdLNJpysGaSvLv9SJTqW/kLdabSdH0SW7TJOO7Dvzt5utQtMUnIypbSkfBec&#10;YR7+Dh3O5k5tLxw+v3eUztY7/w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N+pfIvcAAAACwEAAA8AAABkcnMvZG93bnJldi54bWxMj8FOwzAMhu9IvENkJG4s6Sa1pWs6TQi4&#10;s3HgmDWmqdYkJcm69u3xTnD87U+/P9e72Q5swhB77yRkKwEMXet17zoJn8e3pxJYTMppNXiHEhaM&#10;sGvu72pVaX91HzgdUseoxMVKSTApjRXnsTVoVVz5ER3tvn2wKlEMHddBXancDnwtRM6t6h1dMGrE&#10;F4Pt+XCxEsLrsTSTfd9n5ge7r7JYYpctUj4+zPstsIRz+oPhpk/q0JDTyV+cjmygLJ6LDbESclEA&#10;uxGZEGtgJ5pscuBNzf//0PwCAAD//wMAUEsDBBQABgAIAAAAIQAh1TohuQEAAF0EAAAQAAAAZHJz&#10;L2luay9pbmsxLnhtbLSTwW7jIBCG7yvtOyD2HBvHzTq16vS0kVbaSqttK7VH157GqAYiwHHy9h1j&#10;Qlw17al7QTAwPzMfP1fXe9GSHWjDlSxoEjFKQFaq5nJT0Pu79WxJibGlrMtWSSjoAQy9Xn3/dsXl&#10;i2hzHAkqSDPMRFvQxtptHsd930d9Gim9ieeMpfFv+XLzh658Vg3PXHKLV5pjqFLSwt4OYjmvC1rZ&#10;PQvnUftWdbqCsD1EdHU6YXVZwVppUdqg2JRSQktkKbDuB0rsYYsTjvdsQFMiODY8m0fJRXax/HWJ&#10;gXJf0Mm6wxINViJofF7z8T9ort9rDmWl8+xnRokvqYbdUFPsmOcf9/5Xqy1oy+GEeYTiNw6kGteO&#10;zwhKg1FtN7wNJbuy7RBZwhjawt+dxGeAvNdDNl+qh1w+1JsW9xaNb2/KwUMLljo+reUC0OhiGzxm&#10;DQoP4Vur3XeYs2Q5Y9mMpXfsMl+kOcuiNFtMnsK7+Kj5pDvTBL0nffKr2wnUxs56XtsmQGcRWwTo&#10;U+TnUhvgm8Z+luvbdsnBOWf+oTMT8X38g+eC/nBfkbjMMeAaYYQR58o3NgzSyHf1CgAA//8DAFBL&#10;AQItABQABgAIAAAAIQCbMyc3DAEAAC0CAAATAAAAAAAAAAAAAAAAAAAAAABbQ29udGVudF9UeXBl&#10;c10ueG1sUEsBAi0AFAAGAAgAAAAhADj9If/WAAAAlAEAAAsAAAAAAAAAAAAAAAAAPQEAAF9yZWxz&#10;Ly5yZWxzUEsBAi0AFAAGAAgAAAAhAHQTIJV7AQAAJgMAAA4AAAAAAAAAAAAAAAAAPAIAAGRycy9l&#10;Mm9Eb2MueG1sUEsBAi0AFAAGAAgAAAAhAHkYvJ2/AAAAIQEAABkAAAAAAAAAAAAAAAAA4wMAAGRy&#10;cy9fcmVscy9lMm9Eb2MueG1sLnJlbHNQSwECLQAUAAYACAAAACEA36l8i9wAAAALAQAADwAAAAAA&#10;AAAAAAAAAADZBAAAZHJzL2Rvd25yZXYueG1sUEsBAi0AFAAGAAgAAAAhACHVOiG5AQAAXQQAABAA&#10;AAAAAAAAAAAAAAAA4gUAAGRycy9pbmsvaW5rMS54bWxQSwUGAAAAAAYABgB4AQAAyQcAAAAA&#10;">
                <v:imagedata r:id="rId10" o:title=""/>
              </v:shape>
            </w:pict>
          </mc:Fallback>
        </mc:AlternateContent>
      </w:r>
      <w:r w:rsidR="000777B7" w:rsidRPr="008D689B">
        <w:rPr>
          <w:rFonts w:ascii="Book Antiqua" w:hAnsi="Book Antiqua" w:cs="Arial"/>
        </w:rPr>
        <w:t>tT</w:t>
      </w:r>
      <w:r w:rsidR="00007BAC" w:rsidRPr="008D689B">
        <w:rPr>
          <w:rFonts w:ascii="Book Antiqua" w:hAnsi="Book Antiqua" w:cs="Arial"/>
        </w:rPr>
        <w:t xml:space="preserve"> Judge </w:t>
      </w:r>
      <w:r w:rsidR="009A23C5" w:rsidRPr="008D689B">
        <w:rPr>
          <w:rFonts w:ascii="Book Antiqua" w:hAnsi="Book Antiqua" w:cs="Arial"/>
        </w:rPr>
        <w:t>Mozolowski</w:t>
      </w:r>
      <w:r w:rsidR="00007BAC" w:rsidRPr="008D689B">
        <w:rPr>
          <w:rFonts w:ascii="Book Antiqua" w:hAnsi="Book Antiqua" w:cs="Arial"/>
        </w:rPr>
        <w:t xml:space="preserve"> </w:t>
      </w:r>
      <w:r w:rsidR="00F27746" w:rsidRPr="008D689B">
        <w:rPr>
          <w:rFonts w:ascii="Book Antiqua" w:hAnsi="Book Antiqua" w:cs="Arial"/>
        </w:rPr>
        <w:t>dismissed</w:t>
      </w:r>
      <w:r w:rsidRPr="008D689B">
        <w:rPr>
          <w:rFonts w:ascii="Book Antiqua" w:hAnsi="Book Antiqua" w:cs="Arial"/>
        </w:rPr>
        <w:t xml:space="preserve"> the </w:t>
      </w:r>
      <w:r w:rsidR="00F27746" w:rsidRPr="008D689B">
        <w:rPr>
          <w:rFonts w:ascii="Book Antiqua" w:hAnsi="Book Antiqua" w:cs="Arial"/>
        </w:rPr>
        <w:t>appellant’s</w:t>
      </w:r>
      <w:r w:rsidRPr="008D689B">
        <w:rPr>
          <w:rFonts w:ascii="Book Antiqua" w:hAnsi="Book Antiqua" w:cs="Arial"/>
        </w:rPr>
        <w:t xml:space="preserve"> appeal </w:t>
      </w:r>
      <w:r w:rsidR="00604BC4" w:rsidRPr="008D689B">
        <w:rPr>
          <w:rFonts w:ascii="Book Antiqua" w:hAnsi="Book Antiqua" w:cs="Arial"/>
        </w:rPr>
        <w:t>by a</w:t>
      </w:r>
      <w:r w:rsidR="00F27746" w:rsidRPr="008D689B">
        <w:rPr>
          <w:rFonts w:ascii="Book Antiqua" w:hAnsi="Book Antiqua" w:cs="Arial"/>
        </w:rPr>
        <w:t xml:space="preserve"> decision </w:t>
      </w:r>
      <w:r w:rsidR="00007BAC" w:rsidRPr="008D689B">
        <w:rPr>
          <w:rFonts w:ascii="Book Antiqua" w:hAnsi="Book Antiqua" w:cs="Arial"/>
        </w:rPr>
        <w:t xml:space="preserve">promulgated on </w:t>
      </w:r>
      <w:r w:rsidR="009A23C5" w:rsidRPr="008D689B">
        <w:rPr>
          <w:rFonts w:ascii="Book Antiqua" w:hAnsi="Book Antiqua" w:cs="Arial"/>
        </w:rPr>
        <w:t>22 November 2017.</w:t>
      </w:r>
    </w:p>
    <w:p w14:paraId="1B3209CF" w14:textId="77777777" w:rsidR="002A7080" w:rsidRPr="008D689B" w:rsidRDefault="0002202C" w:rsidP="00A93731">
      <w:pPr>
        <w:numPr>
          <w:ilvl w:val="0"/>
          <w:numId w:val="2"/>
        </w:numPr>
        <w:spacing w:before="240"/>
        <w:jc w:val="both"/>
        <w:rPr>
          <w:rFonts w:ascii="Book Antiqua" w:hAnsi="Book Antiqua"/>
        </w:rPr>
      </w:pPr>
      <w:r w:rsidRPr="008D689B">
        <w:rPr>
          <w:rFonts w:ascii="Book Antiqua" w:hAnsi="Book Antiqua"/>
        </w:rPr>
        <w:t>Deputy UT Judge Saini</w:t>
      </w:r>
      <w:r w:rsidRPr="008D689B">
        <w:rPr>
          <w:rFonts w:ascii="Book Antiqua" w:hAnsi="Book Antiqua" w:cs="Arial"/>
        </w:rPr>
        <w:t xml:space="preserve"> granted p</w:t>
      </w:r>
      <w:r w:rsidR="00F27746" w:rsidRPr="008D689B">
        <w:rPr>
          <w:rFonts w:ascii="Book Antiqua" w:hAnsi="Book Antiqua" w:cs="Arial"/>
        </w:rPr>
        <w:t xml:space="preserve">ermission to appeal to the UT </w:t>
      </w:r>
      <w:r w:rsidR="00604BC4" w:rsidRPr="008D689B">
        <w:rPr>
          <w:rFonts w:ascii="Book Antiqua" w:hAnsi="Book Antiqua" w:cs="Arial"/>
        </w:rPr>
        <w:t>o</w:t>
      </w:r>
      <w:r w:rsidR="006E68EC" w:rsidRPr="008D689B">
        <w:rPr>
          <w:rFonts w:ascii="Book Antiqua" w:hAnsi="Book Antiqua"/>
        </w:rPr>
        <w:t>n</w:t>
      </w:r>
      <w:r w:rsidR="00D61C61" w:rsidRPr="008D689B">
        <w:rPr>
          <w:rFonts w:ascii="Book Antiqua" w:hAnsi="Book Antiqua"/>
        </w:rPr>
        <w:t xml:space="preserve"> 25 February 2018.</w:t>
      </w:r>
    </w:p>
    <w:p w14:paraId="69AF11E7" w14:textId="77777777" w:rsidR="00F125AD" w:rsidRPr="008D689B" w:rsidRDefault="006F3C8F" w:rsidP="00186DF6">
      <w:pPr>
        <w:numPr>
          <w:ilvl w:val="0"/>
          <w:numId w:val="2"/>
        </w:numPr>
        <w:spacing w:before="240"/>
        <w:jc w:val="both"/>
        <w:rPr>
          <w:rFonts w:ascii="Book Antiqua" w:hAnsi="Book Antiqua"/>
        </w:rPr>
      </w:pPr>
      <w:r w:rsidRPr="008D689B">
        <w:rPr>
          <w:rFonts w:ascii="Book Antiqua" w:hAnsi="Book Antiqua"/>
        </w:rPr>
        <w:lastRenderedPageBreak/>
        <w:t>Mr Haddow</w:t>
      </w:r>
      <w:r w:rsidR="00604BC4" w:rsidRPr="008D689B">
        <w:rPr>
          <w:rFonts w:ascii="Book Antiqua" w:hAnsi="Book Antiqua"/>
        </w:rPr>
        <w:t>’s</w:t>
      </w:r>
      <w:r w:rsidRPr="008D689B">
        <w:rPr>
          <w:rFonts w:ascii="Book Antiqua" w:hAnsi="Book Antiqua"/>
        </w:rPr>
        <w:t xml:space="preserve"> </w:t>
      </w:r>
      <w:r w:rsidR="001C51EE" w:rsidRPr="008D689B">
        <w:rPr>
          <w:rFonts w:ascii="Book Antiqua" w:hAnsi="Book Antiqua"/>
        </w:rPr>
        <w:t>written submissions dated 4 July 2018</w:t>
      </w:r>
      <w:r w:rsidR="00F73C1C" w:rsidRPr="008D689B">
        <w:rPr>
          <w:rFonts w:ascii="Book Antiqua" w:hAnsi="Book Antiqua"/>
        </w:rPr>
        <w:t xml:space="preserve"> frame the </w:t>
      </w:r>
      <w:r w:rsidR="00622241" w:rsidRPr="008D689B">
        <w:rPr>
          <w:rFonts w:ascii="Book Antiqua" w:hAnsi="Book Antiqua"/>
        </w:rPr>
        <w:t>appellant’s case under 3 headings of error: 1, the analysis of events in Iran</w:t>
      </w:r>
      <w:r w:rsidR="00FE4E6C" w:rsidRPr="008D689B">
        <w:rPr>
          <w:rFonts w:ascii="Book Antiqua" w:hAnsi="Book Antiqua"/>
        </w:rPr>
        <w:t xml:space="preserve">; 2, the approach to credibility; and 3, the approach to </w:t>
      </w:r>
      <w:r w:rsidR="00BF3DBE" w:rsidRPr="008D689B">
        <w:rPr>
          <w:rFonts w:ascii="Book Antiqua" w:hAnsi="Book Antiqua"/>
        </w:rPr>
        <w:t>independent evidence of conversion</w:t>
      </w:r>
      <w:r w:rsidR="00674334" w:rsidRPr="008D689B">
        <w:rPr>
          <w:rFonts w:ascii="Book Antiqua" w:hAnsi="Book Antiqua"/>
        </w:rPr>
        <w:t>.</w:t>
      </w:r>
    </w:p>
    <w:p w14:paraId="7C4EC499" w14:textId="6FAB8043" w:rsidR="00F42DD4" w:rsidRPr="008D689B" w:rsidRDefault="00F42DD4" w:rsidP="00F42DD4">
      <w:pPr>
        <w:numPr>
          <w:ilvl w:val="0"/>
          <w:numId w:val="2"/>
        </w:numPr>
        <w:spacing w:before="240"/>
        <w:jc w:val="both"/>
        <w:rPr>
          <w:rFonts w:ascii="Book Antiqua" w:hAnsi="Book Antiqua"/>
        </w:rPr>
      </w:pPr>
      <w:r w:rsidRPr="008D689B">
        <w:rPr>
          <w:rFonts w:ascii="Book Antiqua" w:hAnsi="Book Antiqua"/>
        </w:rPr>
        <w:t xml:space="preserve">In course of submissions, Mr Mullen conceded that paragraph 24 gave no good reason for its conclusion that the appellant’s claimed introduction to Christianity through his friend </w:t>
      </w:r>
      <w:r w:rsidR="008D689B">
        <w:rPr>
          <w:rFonts w:ascii="Book Antiqua" w:hAnsi="Book Antiqua"/>
        </w:rPr>
        <w:t>[</w:t>
      </w:r>
      <w:r w:rsidRPr="008D689B">
        <w:rPr>
          <w:rFonts w:ascii="Book Antiqua" w:hAnsi="Book Antiqua"/>
        </w:rPr>
        <w:t>B</w:t>
      </w:r>
      <w:r w:rsidR="008D689B">
        <w:rPr>
          <w:rFonts w:ascii="Book Antiqua" w:hAnsi="Book Antiqua"/>
        </w:rPr>
        <w:t xml:space="preserve">] </w:t>
      </w:r>
      <w:r w:rsidRPr="008D689B">
        <w:rPr>
          <w:rFonts w:ascii="Book Antiqua" w:hAnsi="Book Antiqua"/>
        </w:rPr>
        <w:t xml:space="preserve">did not happen, and that similar absence of reasoning was identifiable in the conclusions stated at paragraphs 25, 26, 27 and 28; that </w:t>
      </w:r>
      <w:r w:rsidR="00720212" w:rsidRPr="008D689B">
        <w:rPr>
          <w:rFonts w:ascii="Book Antiqua" w:hAnsi="Book Antiqua"/>
        </w:rPr>
        <w:t xml:space="preserve">ground 1 established that </w:t>
      </w:r>
      <w:r w:rsidRPr="008D689B">
        <w:rPr>
          <w:rFonts w:ascii="Book Antiqua" w:hAnsi="Book Antiqua"/>
        </w:rPr>
        <w:t>the decision could not safely stand; and that the case should be remitted.</w:t>
      </w:r>
    </w:p>
    <w:p w14:paraId="74D9212F" w14:textId="77777777" w:rsidR="00F71B38" w:rsidRPr="008D689B" w:rsidRDefault="001604AD" w:rsidP="00186DF6">
      <w:pPr>
        <w:numPr>
          <w:ilvl w:val="0"/>
          <w:numId w:val="2"/>
        </w:numPr>
        <w:spacing w:before="240"/>
        <w:jc w:val="both"/>
        <w:rPr>
          <w:rFonts w:ascii="Book Antiqua" w:hAnsi="Book Antiqua"/>
        </w:rPr>
      </w:pPr>
      <w:r w:rsidRPr="008D689B">
        <w:rPr>
          <w:rFonts w:ascii="Book Antiqua" w:hAnsi="Book Antiqua"/>
        </w:rPr>
        <w:t xml:space="preserve">Mr Haddow referred to </w:t>
      </w:r>
      <w:r w:rsidR="005A1975" w:rsidRPr="008D689B">
        <w:rPr>
          <w:rFonts w:ascii="Book Antiqua" w:hAnsi="Book Antiqua"/>
          <w:i/>
        </w:rPr>
        <w:t>Karanakaran</w:t>
      </w:r>
      <w:r w:rsidR="005A1975" w:rsidRPr="008D689B">
        <w:rPr>
          <w:rFonts w:ascii="Book Antiqua" w:hAnsi="Book Antiqua"/>
        </w:rPr>
        <w:t xml:space="preserve"> [2000] EWCA 11</w:t>
      </w:r>
      <w:r w:rsidR="00C85775" w:rsidRPr="008D689B">
        <w:rPr>
          <w:rFonts w:ascii="Book Antiqua" w:hAnsi="Book Antiqua"/>
        </w:rPr>
        <w:t xml:space="preserve"> </w:t>
      </w:r>
      <w:r w:rsidR="00FD2C42" w:rsidRPr="008D689B">
        <w:rPr>
          <w:rFonts w:ascii="Book Antiqua" w:hAnsi="Book Antiqua"/>
        </w:rPr>
        <w:t>on the cate</w:t>
      </w:r>
      <w:r w:rsidR="00F71B38" w:rsidRPr="008D689B">
        <w:rPr>
          <w:rFonts w:ascii="Book Antiqua" w:hAnsi="Book Antiqua"/>
        </w:rPr>
        <w:t>g</w:t>
      </w:r>
      <w:r w:rsidR="00FD2C42" w:rsidRPr="008D689B">
        <w:rPr>
          <w:rFonts w:ascii="Book Antiqua" w:hAnsi="Book Antiqua"/>
        </w:rPr>
        <w:t xml:space="preserve">ories </w:t>
      </w:r>
      <w:r w:rsidR="00F71B38" w:rsidRPr="008D689B">
        <w:rPr>
          <w:rFonts w:ascii="Book Antiqua" w:hAnsi="Book Antiqua"/>
        </w:rPr>
        <w:t>of</w:t>
      </w:r>
      <w:r w:rsidR="00FD2C42" w:rsidRPr="008D689B">
        <w:rPr>
          <w:rFonts w:ascii="Book Antiqua" w:hAnsi="Book Antiqua"/>
        </w:rPr>
        <w:t xml:space="preserve"> evidence to be assessed by decision-makers</w:t>
      </w:r>
      <w:r w:rsidR="00F71B38" w:rsidRPr="008D689B">
        <w:rPr>
          <w:rFonts w:ascii="Book Antiqua" w:hAnsi="Book Antiqua"/>
        </w:rPr>
        <w:t>, ranging f</w:t>
      </w:r>
      <w:r w:rsidR="00AC488C" w:rsidRPr="008D689B">
        <w:rPr>
          <w:rFonts w:ascii="Book Antiqua" w:hAnsi="Book Antiqua"/>
        </w:rPr>
        <w:t>ro</w:t>
      </w:r>
      <w:r w:rsidR="00F71B38" w:rsidRPr="008D689B">
        <w:rPr>
          <w:rFonts w:ascii="Book Antiqua" w:hAnsi="Book Antiqua"/>
        </w:rPr>
        <w:t>m</w:t>
      </w:r>
      <w:r w:rsidR="000009CF" w:rsidRPr="008D689B">
        <w:rPr>
          <w:rFonts w:ascii="Book Antiqua" w:hAnsi="Book Antiqua"/>
        </w:rPr>
        <w:t>:</w:t>
      </w:r>
    </w:p>
    <w:p w14:paraId="48DAEECD" w14:textId="20528522" w:rsidR="00F71B38" w:rsidRPr="008D689B" w:rsidRDefault="00F71B38" w:rsidP="008D689B">
      <w:pPr>
        <w:tabs>
          <w:tab w:val="left" w:pos="1701"/>
        </w:tabs>
        <w:spacing w:before="120"/>
        <w:ind w:left="1134"/>
        <w:jc w:val="both"/>
        <w:rPr>
          <w:rFonts w:ascii="Book Antiqua" w:hAnsi="Book Antiqua"/>
        </w:rPr>
      </w:pPr>
      <w:r w:rsidRPr="008D689B">
        <w:rPr>
          <w:rFonts w:ascii="Book Antiqua" w:hAnsi="Book Antiqua"/>
        </w:rPr>
        <w:t>(1)</w:t>
      </w:r>
      <w:r w:rsidR="008D689B">
        <w:rPr>
          <w:rFonts w:ascii="Book Antiqua" w:hAnsi="Book Antiqua"/>
        </w:rPr>
        <w:tab/>
      </w:r>
      <w:r w:rsidRPr="008D689B">
        <w:rPr>
          <w:rFonts w:ascii="Book Antiqua" w:hAnsi="Book Antiqua"/>
        </w:rPr>
        <w:t>evidence they are certain about;</w:t>
      </w:r>
    </w:p>
    <w:p w14:paraId="12080983" w14:textId="1C6ED660" w:rsidR="00161172" w:rsidRPr="008D689B" w:rsidRDefault="00F71B38" w:rsidP="008D689B">
      <w:pPr>
        <w:tabs>
          <w:tab w:val="left" w:pos="1701"/>
        </w:tabs>
        <w:spacing w:before="120"/>
        <w:ind w:left="1134"/>
        <w:jc w:val="both"/>
        <w:rPr>
          <w:rFonts w:ascii="Book Antiqua" w:hAnsi="Book Antiqua"/>
        </w:rPr>
      </w:pPr>
      <w:r w:rsidRPr="008D689B">
        <w:rPr>
          <w:rFonts w:ascii="Book Antiqua" w:hAnsi="Book Antiqua"/>
        </w:rPr>
        <w:t>(2)</w:t>
      </w:r>
      <w:r w:rsidR="008D689B">
        <w:rPr>
          <w:rFonts w:ascii="Book Antiqua" w:hAnsi="Book Antiqua"/>
        </w:rPr>
        <w:tab/>
      </w:r>
      <w:r w:rsidRPr="008D689B">
        <w:rPr>
          <w:rFonts w:ascii="Book Antiqua" w:hAnsi="Book Antiqua"/>
        </w:rPr>
        <w:t xml:space="preserve">evidence they think is probably </w:t>
      </w:r>
      <w:r w:rsidR="00161172" w:rsidRPr="008D689B">
        <w:rPr>
          <w:rFonts w:ascii="Book Antiqua" w:hAnsi="Book Antiqua"/>
        </w:rPr>
        <w:t>true;</w:t>
      </w:r>
    </w:p>
    <w:p w14:paraId="5961B4AA" w14:textId="4D627DF6" w:rsidR="00031C32" w:rsidRPr="008D689B" w:rsidRDefault="00031C32" w:rsidP="008D689B">
      <w:pPr>
        <w:tabs>
          <w:tab w:val="left" w:pos="1701"/>
        </w:tabs>
        <w:spacing w:before="120"/>
        <w:ind w:left="1134"/>
        <w:jc w:val="both"/>
        <w:rPr>
          <w:rFonts w:ascii="Book Antiqua" w:hAnsi="Book Antiqua"/>
        </w:rPr>
      </w:pPr>
      <w:r w:rsidRPr="008D689B">
        <w:rPr>
          <w:rFonts w:ascii="Book Antiqua" w:hAnsi="Book Antiqua"/>
        </w:rPr>
        <w:t>(3)</w:t>
      </w:r>
      <w:r w:rsidR="008D689B">
        <w:rPr>
          <w:rFonts w:ascii="Book Antiqua" w:hAnsi="Book Antiqua"/>
        </w:rPr>
        <w:tab/>
      </w:r>
      <w:r w:rsidRPr="008D689B">
        <w:rPr>
          <w:rFonts w:ascii="Book Antiqua" w:hAnsi="Book Antiqua"/>
        </w:rPr>
        <w:t>e</w:t>
      </w:r>
      <w:r w:rsidR="00161172" w:rsidRPr="008D689B">
        <w:rPr>
          <w:rFonts w:ascii="Book Antiqua" w:hAnsi="Book Antiqua"/>
        </w:rPr>
        <w:t>vidence to which they are willing to attach some credence, even if they could not go so far as to say it is probably true</w:t>
      </w:r>
      <w:r w:rsidR="003B19CC" w:rsidRPr="008D689B">
        <w:rPr>
          <w:rFonts w:ascii="Book Antiqua" w:hAnsi="Book Antiqua"/>
        </w:rPr>
        <w:t xml:space="preserve">; </w:t>
      </w:r>
      <w:r w:rsidRPr="008D689B">
        <w:rPr>
          <w:rFonts w:ascii="Book Antiqua" w:hAnsi="Book Antiqua"/>
        </w:rPr>
        <w:t>to</w:t>
      </w:r>
    </w:p>
    <w:p w14:paraId="145CC1F1" w14:textId="1A587281" w:rsidR="00AD0215" w:rsidRPr="008D689B" w:rsidRDefault="003B19CC" w:rsidP="008D689B">
      <w:pPr>
        <w:tabs>
          <w:tab w:val="left" w:pos="1701"/>
        </w:tabs>
        <w:spacing w:before="120"/>
        <w:ind w:left="1134"/>
        <w:jc w:val="both"/>
        <w:rPr>
          <w:rFonts w:ascii="Book Antiqua" w:hAnsi="Book Antiqua"/>
        </w:rPr>
      </w:pPr>
      <w:r w:rsidRPr="008D689B">
        <w:rPr>
          <w:rFonts w:ascii="Book Antiqua" w:hAnsi="Book Antiqua"/>
        </w:rPr>
        <w:t>(4)</w:t>
      </w:r>
      <w:r w:rsidR="008D689B">
        <w:rPr>
          <w:rFonts w:ascii="Book Antiqua" w:hAnsi="Book Antiqua"/>
        </w:rPr>
        <w:tab/>
      </w:r>
      <w:r w:rsidR="00031C32" w:rsidRPr="008D689B">
        <w:rPr>
          <w:rFonts w:ascii="Book Antiqua" w:hAnsi="Book Antiqua"/>
        </w:rPr>
        <w:t>evidence to</w:t>
      </w:r>
      <w:r w:rsidRPr="008D689B">
        <w:rPr>
          <w:rFonts w:ascii="Book Antiqua" w:hAnsi="Book Antiqua"/>
        </w:rPr>
        <w:t xml:space="preserve"> which they are not willing to attach any credence at all.</w:t>
      </w:r>
    </w:p>
    <w:p w14:paraId="4588E868" w14:textId="77777777" w:rsidR="00D0766E" w:rsidRPr="008D689B" w:rsidRDefault="00AD0215" w:rsidP="00186DF6">
      <w:pPr>
        <w:numPr>
          <w:ilvl w:val="0"/>
          <w:numId w:val="2"/>
        </w:numPr>
        <w:spacing w:before="240"/>
        <w:jc w:val="both"/>
        <w:rPr>
          <w:rFonts w:ascii="Book Antiqua" w:hAnsi="Book Antiqua"/>
        </w:rPr>
      </w:pPr>
      <w:r w:rsidRPr="008D689B">
        <w:rPr>
          <w:rFonts w:ascii="Book Antiqua" w:hAnsi="Book Antiqua"/>
        </w:rPr>
        <w:t>Ev</w:t>
      </w:r>
      <w:r w:rsidR="00031C32" w:rsidRPr="008D689B">
        <w:rPr>
          <w:rFonts w:ascii="Book Antiqua" w:hAnsi="Book Antiqua"/>
        </w:rPr>
        <w:t>i</w:t>
      </w:r>
      <w:r w:rsidRPr="008D689B">
        <w:rPr>
          <w:rFonts w:ascii="Book Antiqua" w:hAnsi="Book Antiqua"/>
        </w:rPr>
        <w:t>d</w:t>
      </w:r>
      <w:r w:rsidR="00031C32" w:rsidRPr="008D689B">
        <w:rPr>
          <w:rFonts w:ascii="Book Antiqua" w:hAnsi="Book Antiqua"/>
        </w:rPr>
        <w:t>e</w:t>
      </w:r>
      <w:r w:rsidR="001D1669" w:rsidRPr="008D689B">
        <w:rPr>
          <w:rFonts w:ascii="Book Antiqua" w:hAnsi="Book Antiqua"/>
        </w:rPr>
        <w:t>nce</w:t>
      </w:r>
      <w:r w:rsidRPr="008D689B">
        <w:rPr>
          <w:rFonts w:ascii="Book Antiqua" w:hAnsi="Book Antiqua"/>
        </w:rPr>
        <w:t xml:space="preserve"> in </w:t>
      </w:r>
      <w:r w:rsidR="001D1669" w:rsidRPr="008D689B">
        <w:rPr>
          <w:rFonts w:ascii="Book Antiqua" w:hAnsi="Book Antiqua"/>
        </w:rPr>
        <w:t>category</w:t>
      </w:r>
      <w:r w:rsidRPr="008D689B">
        <w:rPr>
          <w:rFonts w:ascii="Book Antiqua" w:hAnsi="Book Antiqua"/>
        </w:rPr>
        <w:t xml:space="preserve"> (3) </w:t>
      </w:r>
      <w:r w:rsidR="001D1669" w:rsidRPr="008D689B">
        <w:rPr>
          <w:rFonts w:ascii="Book Antiqua" w:hAnsi="Book Antiqua"/>
        </w:rPr>
        <w:t>i</w:t>
      </w:r>
      <w:r w:rsidRPr="008D689B">
        <w:rPr>
          <w:rFonts w:ascii="Book Antiqua" w:hAnsi="Book Antiqua"/>
        </w:rPr>
        <w:t>s not excluded</w:t>
      </w:r>
      <w:r w:rsidR="000102A9" w:rsidRPr="008D689B">
        <w:rPr>
          <w:rFonts w:ascii="Book Antiqua" w:hAnsi="Book Antiqua"/>
        </w:rPr>
        <w:t xml:space="preserve"> from the decision</w:t>
      </w:r>
      <w:r w:rsidR="00763C5F" w:rsidRPr="008D689B">
        <w:rPr>
          <w:rFonts w:ascii="Book Antiqua" w:hAnsi="Book Antiqua"/>
        </w:rPr>
        <w:t>.  The decision-making body must not exclude</w:t>
      </w:r>
      <w:r w:rsidR="00D0766E" w:rsidRPr="008D689B">
        <w:rPr>
          <w:rFonts w:ascii="Book Antiqua" w:hAnsi="Book Antiqua"/>
        </w:rPr>
        <w:t xml:space="preserve"> matters</w:t>
      </w:r>
      <w:r w:rsidR="001D1669" w:rsidRPr="008D689B">
        <w:rPr>
          <w:rFonts w:ascii="Book Antiqua" w:hAnsi="Book Antiqua"/>
        </w:rPr>
        <w:t>:</w:t>
      </w:r>
    </w:p>
    <w:p w14:paraId="3048BDEA" w14:textId="7A3CF5FC" w:rsidR="00AC488C" w:rsidRPr="008D689B" w:rsidRDefault="008D689B" w:rsidP="008D689B">
      <w:pPr>
        <w:spacing w:before="120"/>
        <w:ind w:left="1134"/>
        <w:jc w:val="both"/>
        <w:rPr>
          <w:rFonts w:ascii="Book Antiqua" w:hAnsi="Book Antiqua"/>
        </w:rPr>
      </w:pPr>
      <w:r>
        <w:rPr>
          <w:rFonts w:ascii="Book Antiqua" w:hAnsi="Book Antiqua"/>
        </w:rPr>
        <w:t>‘</w:t>
      </w:r>
      <w:r w:rsidR="005B68F4" w:rsidRPr="008D689B">
        <w:rPr>
          <w:rFonts w:ascii="Book Antiqua" w:hAnsi="Book Antiqua"/>
        </w:rPr>
        <w:t>… u</w:t>
      </w:r>
      <w:r w:rsidR="00D0766E" w:rsidRPr="008D689B">
        <w:rPr>
          <w:rFonts w:ascii="Book Antiqua" w:hAnsi="Book Antiqua"/>
        </w:rPr>
        <w:t xml:space="preserve">nless it feels that it can safely discard them </w:t>
      </w:r>
      <w:r w:rsidR="00AC488C" w:rsidRPr="008D689B">
        <w:rPr>
          <w:rFonts w:ascii="Book Antiqua" w:hAnsi="Book Antiqua"/>
        </w:rPr>
        <w:t>because it has no real doubt that they did not in</w:t>
      </w:r>
      <w:r w:rsidR="001D1669" w:rsidRPr="008D689B">
        <w:rPr>
          <w:rFonts w:ascii="Book Antiqua" w:hAnsi="Book Antiqua"/>
        </w:rPr>
        <w:t xml:space="preserve"> </w:t>
      </w:r>
      <w:r w:rsidR="00AC488C" w:rsidRPr="008D689B">
        <w:rPr>
          <w:rFonts w:ascii="Book Antiqua" w:hAnsi="Book Antiqua"/>
        </w:rPr>
        <w:t>f</w:t>
      </w:r>
      <w:r w:rsidR="001D1669" w:rsidRPr="008D689B">
        <w:rPr>
          <w:rFonts w:ascii="Book Antiqua" w:hAnsi="Book Antiqua"/>
        </w:rPr>
        <w:t>act</w:t>
      </w:r>
      <w:r w:rsidR="00AC488C" w:rsidRPr="008D689B">
        <w:rPr>
          <w:rFonts w:ascii="Book Antiqua" w:hAnsi="Book Antiqua"/>
        </w:rPr>
        <w:t xml:space="preserve"> occur</w:t>
      </w:r>
      <w:r w:rsidR="001D1669" w:rsidRPr="008D689B">
        <w:rPr>
          <w:rFonts w:ascii="Book Antiqua" w:hAnsi="Book Antiqua"/>
        </w:rPr>
        <w:t>.</w:t>
      </w:r>
      <w:r>
        <w:rPr>
          <w:rFonts w:ascii="Book Antiqua" w:hAnsi="Book Antiqua"/>
        </w:rPr>
        <w:t>’</w:t>
      </w:r>
    </w:p>
    <w:p w14:paraId="71AA9591" w14:textId="77777777" w:rsidR="0033270E" w:rsidRPr="008D689B" w:rsidRDefault="00734C8F" w:rsidP="00186DF6">
      <w:pPr>
        <w:numPr>
          <w:ilvl w:val="0"/>
          <w:numId w:val="2"/>
        </w:numPr>
        <w:spacing w:before="240"/>
        <w:jc w:val="both"/>
        <w:rPr>
          <w:rFonts w:ascii="Book Antiqua" w:hAnsi="Book Antiqua"/>
        </w:rPr>
      </w:pPr>
      <w:r w:rsidRPr="008D689B">
        <w:rPr>
          <w:rFonts w:ascii="Book Antiqua" w:hAnsi="Book Antiqua"/>
        </w:rPr>
        <w:t xml:space="preserve">On general principles about decisions based on credibility or plausibility Mr Haddow referred </w:t>
      </w:r>
      <w:r w:rsidR="00E87527" w:rsidRPr="008D689B">
        <w:rPr>
          <w:rFonts w:ascii="Book Antiqua" w:hAnsi="Book Antiqua"/>
        </w:rPr>
        <w:t xml:space="preserve">to </w:t>
      </w:r>
      <w:r w:rsidR="00B45384" w:rsidRPr="008D689B">
        <w:rPr>
          <w:rFonts w:ascii="Book Antiqua" w:hAnsi="Book Antiqua"/>
          <w:i/>
        </w:rPr>
        <w:t>HA</w:t>
      </w:r>
      <w:r w:rsidR="00B45384" w:rsidRPr="008D689B">
        <w:rPr>
          <w:rFonts w:ascii="Book Antiqua" w:hAnsi="Book Antiqua"/>
        </w:rPr>
        <w:t xml:space="preserve"> [2008] SC 58 at paragraph 17</w:t>
      </w:r>
      <w:r w:rsidR="0033270E" w:rsidRPr="008D689B">
        <w:rPr>
          <w:rFonts w:ascii="Book Antiqua" w:hAnsi="Book Antiqua"/>
        </w:rPr>
        <w:t>:</w:t>
      </w:r>
    </w:p>
    <w:p w14:paraId="3838DA88" w14:textId="3639FFA8" w:rsidR="002B183D" w:rsidRPr="008D689B" w:rsidRDefault="008D689B" w:rsidP="008D689B">
      <w:pPr>
        <w:spacing w:before="120"/>
        <w:ind w:left="1134" w:right="567"/>
        <w:jc w:val="both"/>
        <w:rPr>
          <w:rFonts w:ascii="Book Antiqua" w:hAnsi="Book Antiqua"/>
          <w:sz w:val="22"/>
        </w:rPr>
      </w:pPr>
      <w:r w:rsidRPr="008D689B">
        <w:rPr>
          <w:rFonts w:ascii="Book Antiqua" w:hAnsi="Book Antiqua"/>
          <w:sz w:val="22"/>
        </w:rPr>
        <w:t>“</w:t>
      </w:r>
      <w:r w:rsidR="004458F7" w:rsidRPr="008D689B">
        <w:rPr>
          <w:rFonts w:ascii="Book Antiqua" w:hAnsi="Book Antiqua"/>
          <w:sz w:val="22"/>
        </w:rPr>
        <w:t>A</w:t>
      </w:r>
      <w:r w:rsidR="00844C12" w:rsidRPr="008D689B">
        <w:rPr>
          <w:rFonts w:ascii="Book Antiqua" w:hAnsi="Book Antiqua"/>
          <w:sz w:val="22"/>
        </w:rPr>
        <w:t>n immigration judge’s decision on credibility</w:t>
      </w:r>
      <w:r w:rsidR="00B0585A" w:rsidRPr="008D689B">
        <w:rPr>
          <w:rFonts w:ascii="Book Antiqua" w:hAnsi="Book Antiqua"/>
          <w:sz w:val="22"/>
        </w:rPr>
        <w:t xml:space="preserve"> or implausibility may, we conclude, disclose an error of law if, on examination of the reasons given for his decision, it appears either that he has failed to take into account the relevant consideration that the p</w:t>
      </w:r>
      <w:r w:rsidR="004458F7" w:rsidRPr="008D689B">
        <w:rPr>
          <w:rFonts w:ascii="Book Antiqua" w:hAnsi="Book Antiqua"/>
          <w:sz w:val="22"/>
        </w:rPr>
        <w:t>lausibility</w:t>
      </w:r>
      <w:r w:rsidR="00B0585A" w:rsidRPr="008D689B">
        <w:rPr>
          <w:rFonts w:ascii="Book Antiqua" w:hAnsi="Book Antiqua"/>
          <w:sz w:val="22"/>
        </w:rPr>
        <w:t xml:space="preserve"> of the asylum seeker</w:t>
      </w:r>
      <w:r w:rsidR="004458F7" w:rsidRPr="008D689B">
        <w:rPr>
          <w:rFonts w:ascii="Book Antiqua" w:hAnsi="Book Antiqua"/>
          <w:sz w:val="22"/>
        </w:rPr>
        <w:t>’</w:t>
      </w:r>
      <w:r w:rsidR="00B0585A" w:rsidRPr="008D689B">
        <w:rPr>
          <w:rFonts w:ascii="Book Antiqua" w:hAnsi="Book Antiqua"/>
          <w:sz w:val="22"/>
        </w:rPr>
        <w:t>s narrative may be affected by its cultural context,</w:t>
      </w:r>
      <w:r w:rsidR="002E76B4" w:rsidRPr="008D689B">
        <w:rPr>
          <w:rFonts w:ascii="Book Antiqua" w:hAnsi="Book Antiqua"/>
          <w:sz w:val="22"/>
        </w:rPr>
        <w:t xml:space="preserve"> </w:t>
      </w:r>
      <w:r w:rsidR="00BB05F2" w:rsidRPr="008D689B">
        <w:rPr>
          <w:rFonts w:ascii="Book Antiqua" w:hAnsi="Book Antiqua"/>
          <w:sz w:val="22"/>
        </w:rPr>
        <w:t xml:space="preserve">or </w:t>
      </w:r>
      <w:r w:rsidR="002E76B4" w:rsidRPr="008D689B">
        <w:rPr>
          <w:rFonts w:ascii="Book Antiqua" w:hAnsi="Book Antiqua"/>
          <w:sz w:val="22"/>
        </w:rPr>
        <w:t>has failed to explain the part played</w:t>
      </w:r>
      <w:r w:rsidR="00BB05F2" w:rsidRPr="008D689B">
        <w:rPr>
          <w:rFonts w:ascii="Book Antiqua" w:hAnsi="Book Antiqua"/>
          <w:sz w:val="22"/>
        </w:rPr>
        <w:t xml:space="preserve"> in his</w:t>
      </w:r>
      <w:r w:rsidR="002E76B4" w:rsidRPr="008D689B">
        <w:rPr>
          <w:rFonts w:ascii="Book Antiqua" w:hAnsi="Book Antiqua"/>
          <w:sz w:val="22"/>
        </w:rPr>
        <w:t xml:space="preserve"> decision by consideration of that context, </w:t>
      </w:r>
      <w:r w:rsidR="003A59C1" w:rsidRPr="008D689B">
        <w:rPr>
          <w:rFonts w:ascii="Book Antiqua" w:hAnsi="Book Antiqua"/>
          <w:sz w:val="22"/>
        </w:rPr>
        <w:t>or has</w:t>
      </w:r>
      <w:r w:rsidR="002E76B4" w:rsidRPr="008D689B">
        <w:rPr>
          <w:rFonts w:ascii="Book Antiqua" w:hAnsi="Book Antiqua"/>
          <w:sz w:val="22"/>
        </w:rPr>
        <w:t xml:space="preserve"> based</w:t>
      </w:r>
      <w:r w:rsidR="003A59C1" w:rsidRPr="008D689B">
        <w:rPr>
          <w:rFonts w:ascii="Book Antiqua" w:hAnsi="Book Antiqua"/>
          <w:sz w:val="22"/>
        </w:rPr>
        <w:t xml:space="preserve"> hi</w:t>
      </w:r>
      <w:r w:rsidR="002E76B4" w:rsidRPr="008D689B">
        <w:rPr>
          <w:rFonts w:ascii="Book Antiqua" w:hAnsi="Book Antiqua"/>
          <w:sz w:val="22"/>
        </w:rPr>
        <w:t>s conclusion on speculation or conjecture.</w:t>
      </w:r>
      <w:r w:rsidRPr="008D689B">
        <w:rPr>
          <w:rFonts w:ascii="Book Antiqua" w:hAnsi="Book Antiqua"/>
          <w:sz w:val="22"/>
        </w:rPr>
        <w:t>”</w:t>
      </w:r>
    </w:p>
    <w:p w14:paraId="78245ACF" w14:textId="77777777" w:rsidR="002F73CE" w:rsidRPr="008D689B" w:rsidRDefault="00720212" w:rsidP="002F73CE">
      <w:pPr>
        <w:numPr>
          <w:ilvl w:val="0"/>
          <w:numId w:val="2"/>
        </w:numPr>
        <w:spacing w:before="240"/>
        <w:jc w:val="both"/>
        <w:rPr>
          <w:rFonts w:ascii="Book Antiqua" w:hAnsi="Book Antiqua"/>
        </w:rPr>
      </w:pPr>
      <w:r w:rsidRPr="008D689B">
        <w:rPr>
          <w:rFonts w:ascii="Book Antiqua" w:hAnsi="Book Antiqua" w:cs="Arial"/>
        </w:rPr>
        <w:t xml:space="preserve">The errors in the judge’s decision </w:t>
      </w:r>
      <w:r w:rsidR="00BB21CA" w:rsidRPr="008D689B">
        <w:rPr>
          <w:rFonts w:ascii="Book Antiqua" w:hAnsi="Book Antiqua" w:cs="Arial"/>
        </w:rPr>
        <w:t xml:space="preserve">at the </w:t>
      </w:r>
      <w:r w:rsidR="003C14DE" w:rsidRPr="008D689B">
        <w:rPr>
          <w:rFonts w:ascii="Book Antiqua" w:hAnsi="Book Antiqua" w:cs="Arial"/>
        </w:rPr>
        <w:t xml:space="preserve">paragraphs criticised </w:t>
      </w:r>
      <w:r w:rsidRPr="008D689B">
        <w:rPr>
          <w:rFonts w:ascii="Book Antiqua" w:hAnsi="Book Antiqua" w:cs="Arial"/>
        </w:rPr>
        <w:t>may be categorised as absence of reasoning</w:t>
      </w:r>
      <w:r w:rsidR="00851651" w:rsidRPr="008D689B">
        <w:rPr>
          <w:rFonts w:ascii="Book Antiqua" w:hAnsi="Book Antiqua" w:cs="Arial"/>
        </w:rPr>
        <w:t>;</w:t>
      </w:r>
      <w:r w:rsidRPr="008D689B">
        <w:rPr>
          <w:rFonts w:ascii="Book Antiqua" w:hAnsi="Book Antiqua" w:cs="Arial"/>
        </w:rPr>
        <w:t xml:space="preserve"> or as</w:t>
      </w:r>
      <w:r w:rsidR="00BB21CA" w:rsidRPr="008D689B">
        <w:rPr>
          <w:rFonts w:ascii="Book Antiqua" w:hAnsi="Book Antiqua" w:cs="Arial"/>
        </w:rPr>
        <w:t xml:space="preserve"> speculation and conjecture</w:t>
      </w:r>
      <w:r w:rsidR="00851651" w:rsidRPr="008D689B">
        <w:rPr>
          <w:rFonts w:ascii="Book Antiqua" w:hAnsi="Book Antiqua" w:cs="Arial"/>
        </w:rPr>
        <w:t xml:space="preserve">; or as placing matters in </w:t>
      </w:r>
      <w:r w:rsidR="00851651" w:rsidRPr="008D689B">
        <w:rPr>
          <w:rFonts w:ascii="Book Antiqua" w:hAnsi="Book Antiqua" w:cs="Arial"/>
          <w:i/>
        </w:rPr>
        <w:t>Karanakaran</w:t>
      </w:r>
      <w:r w:rsidR="00851651" w:rsidRPr="008D689B">
        <w:rPr>
          <w:rFonts w:ascii="Book Antiqua" w:hAnsi="Book Antiqua" w:cs="Arial"/>
        </w:rPr>
        <w:t xml:space="preserve"> category (4)</w:t>
      </w:r>
      <w:r w:rsidR="008B56A3" w:rsidRPr="008D689B">
        <w:rPr>
          <w:rFonts w:ascii="Book Antiqua" w:hAnsi="Book Antiqua" w:cs="Arial"/>
        </w:rPr>
        <w:t xml:space="preserve">, </w:t>
      </w:r>
      <w:r w:rsidR="002F73CE" w:rsidRPr="008D689B">
        <w:rPr>
          <w:rFonts w:ascii="Book Antiqua" w:hAnsi="Book Antiqua" w:cs="Arial"/>
        </w:rPr>
        <w:t>without an explanation of why they could not possibly have happened.  The c</w:t>
      </w:r>
      <w:r w:rsidR="002F73CE" w:rsidRPr="008D689B">
        <w:rPr>
          <w:rFonts w:ascii="Book Antiqua" w:hAnsi="Book Antiqua"/>
        </w:rPr>
        <w:t>oncessions by the respondent were fairly and correctly made.</w:t>
      </w:r>
    </w:p>
    <w:p w14:paraId="25BCBB60" w14:textId="77777777" w:rsidR="00283021" w:rsidRPr="008D689B" w:rsidRDefault="00283021" w:rsidP="002F73CE">
      <w:pPr>
        <w:numPr>
          <w:ilvl w:val="0"/>
          <w:numId w:val="2"/>
        </w:numPr>
        <w:spacing w:before="240"/>
        <w:jc w:val="both"/>
        <w:rPr>
          <w:rFonts w:ascii="Book Antiqua" w:hAnsi="Book Antiqua"/>
        </w:rPr>
      </w:pPr>
      <w:r w:rsidRPr="008D689B">
        <w:rPr>
          <w:rFonts w:ascii="Book Antiqua" w:hAnsi="Book Antiqua"/>
        </w:rPr>
        <w:t>It is unnecessary to resolve grounds 1 and 2.</w:t>
      </w:r>
    </w:p>
    <w:p w14:paraId="546D153C" w14:textId="77777777" w:rsidR="00FD199E" w:rsidRPr="008D689B" w:rsidRDefault="00FD199E" w:rsidP="00FD199E">
      <w:pPr>
        <w:numPr>
          <w:ilvl w:val="0"/>
          <w:numId w:val="2"/>
        </w:numPr>
        <w:spacing w:before="240"/>
        <w:jc w:val="both"/>
        <w:rPr>
          <w:rFonts w:ascii="Book Antiqua" w:hAnsi="Book Antiqua" w:cs="Arial"/>
        </w:rPr>
      </w:pPr>
      <w:r w:rsidRPr="008D689B">
        <w:rPr>
          <w:rFonts w:ascii="Book Antiqua" w:hAnsi="Book Antiqua" w:cs="Arial"/>
        </w:rPr>
        <w:t xml:space="preserve">The decision of the FtT is </w:t>
      </w:r>
      <w:r w:rsidRPr="008D689B">
        <w:rPr>
          <w:rFonts w:ascii="Book Antiqua" w:hAnsi="Book Antiqua" w:cs="Arial"/>
          <w:b/>
        </w:rPr>
        <w:t>set aside</w:t>
      </w:r>
      <w:r w:rsidRPr="008D689B">
        <w:rPr>
          <w:rFonts w:ascii="Book Antiqua" w:hAnsi="Book Antiqua" w:cs="Arial"/>
        </w:rPr>
        <w:t>. It stands only as a record of what was said at the hearing.</w:t>
      </w:r>
    </w:p>
    <w:p w14:paraId="77D483F2" w14:textId="77777777" w:rsidR="00FD199E" w:rsidRPr="008D689B" w:rsidRDefault="00FD199E" w:rsidP="00FD199E">
      <w:pPr>
        <w:numPr>
          <w:ilvl w:val="0"/>
          <w:numId w:val="2"/>
        </w:numPr>
        <w:spacing w:before="240"/>
        <w:jc w:val="both"/>
        <w:rPr>
          <w:rFonts w:ascii="Book Antiqua" w:hAnsi="Book Antiqua"/>
        </w:rPr>
      </w:pPr>
      <w:r w:rsidRPr="008D689B">
        <w:rPr>
          <w:rFonts w:ascii="Book Antiqua" w:hAnsi="Book Antiqua"/>
        </w:rPr>
        <w:t xml:space="preserve">There is a presumption that the UT will proceed to remake decisions.  However, </w:t>
      </w:r>
      <w:r w:rsidR="002A569F" w:rsidRPr="008D689B">
        <w:rPr>
          <w:rFonts w:ascii="Book Antiqua" w:hAnsi="Book Antiqua"/>
        </w:rPr>
        <w:t xml:space="preserve">parties were in agreement that </w:t>
      </w:r>
      <w:r w:rsidRPr="008D689B">
        <w:rPr>
          <w:rFonts w:ascii="Book Antiqua" w:hAnsi="Book Antiqua"/>
        </w:rPr>
        <w:t xml:space="preserve">the nature of this case is such that it is appropriate under </w:t>
      </w:r>
      <w:r w:rsidRPr="008D689B">
        <w:rPr>
          <w:rFonts w:ascii="Book Antiqua" w:hAnsi="Book Antiqua"/>
        </w:rPr>
        <w:lastRenderedPageBreak/>
        <w:t xml:space="preserve">section 12 of the 2002 Act and Practice Statement 7.2 to remit to the FtT for an entirely fresh hearing.  </w:t>
      </w:r>
    </w:p>
    <w:p w14:paraId="2ED6E35C" w14:textId="77777777" w:rsidR="00321C6F" w:rsidRPr="008D689B" w:rsidRDefault="00FD199E" w:rsidP="00FD199E">
      <w:pPr>
        <w:numPr>
          <w:ilvl w:val="0"/>
          <w:numId w:val="2"/>
        </w:numPr>
        <w:spacing w:before="240"/>
        <w:jc w:val="both"/>
        <w:rPr>
          <w:rFonts w:ascii="Book Antiqua" w:hAnsi="Book Antiqua"/>
        </w:rPr>
      </w:pPr>
      <w:r w:rsidRPr="008D689B">
        <w:rPr>
          <w:rFonts w:ascii="Book Antiqua" w:hAnsi="Book Antiqua" w:cs="Arial"/>
        </w:rPr>
        <w:t xml:space="preserve">The member(s) of the FtT chosen to consider the case are not to include Judge </w:t>
      </w:r>
      <w:r w:rsidR="002A569F" w:rsidRPr="008D689B">
        <w:rPr>
          <w:rFonts w:ascii="Book Antiqua" w:hAnsi="Book Antiqua" w:cs="Arial"/>
        </w:rPr>
        <w:t>Mozolowski</w:t>
      </w:r>
      <w:r w:rsidR="00321C6F" w:rsidRPr="008D689B">
        <w:rPr>
          <w:rFonts w:ascii="Book Antiqua" w:hAnsi="Book Antiqua" w:cs="Arial"/>
        </w:rPr>
        <w:t>.</w:t>
      </w:r>
    </w:p>
    <w:p w14:paraId="04DD116C" w14:textId="77777777" w:rsidR="00321C6F" w:rsidRPr="008D689B" w:rsidRDefault="00321C6F" w:rsidP="00321C6F">
      <w:pPr>
        <w:numPr>
          <w:ilvl w:val="0"/>
          <w:numId w:val="2"/>
        </w:numPr>
        <w:spacing w:before="240"/>
        <w:jc w:val="both"/>
        <w:rPr>
          <w:rFonts w:ascii="Book Antiqua" w:hAnsi="Book Antiqua" w:cs="Arial"/>
        </w:rPr>
      </w:pPr>
      <w:r w:rsidRPr="008D689B">
        <w:rPr>
          <w:rFonts w:ascii="Book Antiqua" w:hAnsi="Book Antiqua" w:cs="Arial"/>
        </w:rPr>
        <w:t>No</w:t>
      </w:r>
      <w:r w:rsidRPr="008D689B">
        <w:rPr>
          <w:rFonts w:ascii="Book Antiqua" w:hAnsi="Book Antiqua"/>
        </w:rPr>
        <w:t xml:space="preserve"> anonymity direction has been requested or made.  </w:t>
      </w:r>
    </w:p>
    <w:p w14:paraId="2FF21D46" w14:textId="77777777" w:rsidR="00321C6F" w:rsidRPr="008D689B" w:rsidRDefault="00321C6F" w:rsidP="00321C6F">
      <w:pPr>
        <w:jc w:val="both"/>
        <w:rPr>
          <w:rFonts w:ascii="Book Antiqua" w:hAnsi="Book Antiqua" w:cs="Arial"/>
        </w:rPr>
      </w:pPr>
    </w:p>
    <w:p w14:paraId="7659D361" w14:textId="77777777" w:rsidR="00321C6F" w:rsidRPr="008D689B" w:rsidRDefault="00321C6F" w:rsidP="00321C6F">
      <w:pPr>
        <w:jc w:val="both"/>
        <w:rPr>
          <w:rFonts w:ascii="Book Antiqua" w:hAnsi="Book Antiqua" w:cs="Arial"/>
        </w:rPr>
      </w:pPr>
    </w:p>
    <w:p w14:paraId="6F0F1EFB" w14:textId="77777777" w:rsidR="00321C6F" w:rsidRPr="008D689B" w:rsidRDefault="00321C6F" w:rsidP="00321C6F">
      <w:pPr>
        <w:jc w:val="both"/>
        <w:rPr>
          <w:rFonts w:ascii="Book Antiqua" w:hAnsi="Book Antiqua" w:cs="Arial"/>
        </w:rPr>
      </w:pPr>
      <w:r w:rsidRPr="008D689B">
        <w:rPr>
          <w:rFonts w:ascii="Book Antiqua" w:hAnsi="Book Antiqua"/>
        </w:rPr>
        <w:tab/>
      </w:r>
      <w:r w:rsidRPr="008D689B">
        <w:rPr>
          <w:rFonts w:ascii="Book Antiqua" w:hAnsi="Book Antiqua"/>
        </w:rPr>
        <w:tab/>
      </w:r>
      <w:r w:rsidR="00FE0046" w:rsidRPr="008D689B">
        <w:rPr>
          <w:rFonts w:ascii="Book Antiqua" w:hAnsi="Book Antiqua"/>
          <w:noProof/>
        </w:rPr>
        <w:drawing>
          <wp:inline distT="0" distB="0" distL="0" distR="0" wp14:anchorId="3FFA994B" wp14:editId="0BD79DDA">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14:paraId="32246F02" w14:textId="77777777" w:rsidR="00321C6F" w:rsidRPr="008D689B" w:rsidRDefault="00321C6F" w:rsidP="00321C6F">
      <w:pPr>
        <w:jc w:val="both"/>
        <w:rPr>
          <w:rFonts w:ascii="Book Antiqua" w:hAnsi="Book Antiqua" w:cs="Arial"/>
        </w:rPr>
      </w:pPr>
    </w:p>
    <w:p w14:paraId="3AC361E4" w14:textId="77777777" w:rsidR="00321C6F" w:rsidRPr="008D689B" w:rsidRDefault="00321C6F" w:rsidP="00321C6F">
      <w:pPr>
        <w:jc w:val="both"/>
        <w:rPr>
          <w:rFonts w:ascii="Book Antiqua" w:hAnsi="Book Antiqua" w:cs="Arial"/>
        </w:rPr>
      </w:pPr>
    </w:p>
    <w:p w14:paraId="748F2A36" w14:textId="77777777" w:rsidR="00321C6F" w:rsidRPr="008D689B" w:rsidRDefault="00321C6F" w:rsidP="00321C6F">
      <w:pPr>
        <w:jc w:val="both"/>
        <w:rPr>
          <w:rFonts w:ascii="Book Antiqua" w:hAnsi="Book Antiqua" w:cs="Arial"/>
        </w:rPr>
      </w:pPr>
      <w:r w:rsidRPr="008D689B">
        <w:rPr>
          <w:rFonts w:ascii="Book Antiqua" w:hAnsi="Book Antiqua" w:cs="Arial"/>
        </w:rPr>
        <w:tab/>
      </w:r>
      <w:r w:rsidRPr="008D689B">
        <w:rPr>
          <w:rFonts w:ascii="Book Antiqua" w:hAnsi="Book Antiqua" w:cs="Arial"/>
        </w:rPr>
        <w:tab/>
      </w:r>
      <w:r w:rsidR="00224E9B" w:rsidRPr="008D689B">
        <w:rPr>
          <w:rFonts w:ascii="Book Antiqua" w:hAnsi="Book Antiqua" w:cs="Arial"/>
        </w:rPr>
        <w:t xml:space="preserve">5 July </w:t>
      </w:r>
      <w:r w:rsidR="000B442A" w:rsidRPr="008D689B">
        <w:rPr>
          <w:rFonts w:ascii="Book Antiqua" w:hAnsi="Book Antiqua" w:cs="Arial"/>
        </w:rPr>
        <w:t>20</w:t>
      </w:r>
      <w:r w:rsidR="00A810D2" w:rsidRPr="008D689B">
        <w:rPr>
          <w:rFonts w:ascii="Book Antiqua" w:hAnsi="Book Antiqua" w:cs="Arial"/>
        </w:rPr>
        <w:t>1</w:t>
      </w:r>
      <w:r w:rsidR="00B170ED" w:rsidRPr="008D689B">
        <w:rPr>
          <w:rFonts w:ascii="Book Antiqua" w:hAnsi="Book Antiqua" w:cs="Arial"/>
        </w:rPr>
        <w:t>8</w:t>
      </w:r>
      <w:r w:rsidRPr="008D689B">
        <w:rPr>
          <w:rFonts w:ascii="Book Antiqua" w:hAnsi="Book Antiqua" w:cs="Arial"/>
        </w:rPr>
        <w:t xml:space="preserve"> </w:t>
      </w:r>
    </w:p>
    <w:p w14:paraId="33535746" w14:textId="77777777" w:rsidR="00321C6F" w:rsidRPr="008D689B" w:rsidRDefault="00321C6F" w:rsidP="00321C6F">
      <w:pPr>
        <w:jc w:val="both"/>
        <w:rPr>
          <w:rFonts w:ascii="Book Antiqua" w:hAnsi="Book Antiqua" w:cs="Arial"/>
        </w:rPr>
      </w:pPr>
      <w:r w:rsidRPr="008D689B">
        <w:rPr>
          <w:rFonts w:ascii="Book Antiqua" w:hAnsi="Book Antiqua" w:cs="Arial"/>
        </w:rPr>
        <w:tab/>
      </w:r>
      <w:r w:rsidRPr="008D689B">
        <w:rPr>
          <w:rFonts w:ascii="Book Antiqua" w:hAnsi="Book Antiqua" w:cs="Arial"/>
        </w:rPr>
        <w:tab/>
        <w:t>Upper Tribunal Judge Macleman</w:t>
      </w:r>
    </w:p>
    <w:p w14:paraId="1F47E36F" w14:textId="77777777" w:rsidR="00933B65" w:rsidRPr="008D689B" w:rsidRDefault="00933B65" w:rsidP="00933B65">
      <w:pPr>
        <w:tabs>
          <w:tab w:val="left" w:pos="2520"/>
        </w:tabs>
        <w:ind w:left="4508" w:hanging="539"/>
        <w:rPr>
          <w:rFonts w:ascii="Book Antiqua" w:hAnsi="Book Antiqua" w:cs="Arial"/>
          <w:color w:val="000000"/>
        </w:rPr>
      </w:pPr>
    </w:p>
    <w:p w14:paraId="23ECEC59" w14:textId="77777777" w:rsidR="00266FFE" w:rsidRPr="008D689B" w:rsidRDefault="00266FFE">
      <w:pPr>
        <w:rPr>
          <w:rFonts w:ascii="Book Antiqua" w:hAnsi="Book Antiqua"/>
        </w:rPr>
      </w:pPr>
    </w:p>
    <w:p w14:paraId="5333CFB3" w14:textId="77777777" w:rsidR="006D2D9A" w:rsidRPr="008D689B" w:rsidRDefault="006D2D9A">
      <w:pPr>
        <w:rPr>
          <w:rFonts w:ascii="Book Antiqua" w:hAnsi="Book Antiqua"/>
        </w:rPr>
      </w:pPr>
    </w:p>
    <w:sectPr w:rsidR="006D2D9A" w:rsidRPr="008D689B" w:rsidSect="00614E94">
      <w:headerReference w:type="default" r:id="rId12"/>
      <w:footerReference w:type="default" r:id="rId13"/>
      <w:footerReference w:type="first" r:id="rId1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BF59A" w14:textId="77777777" w:rsidR="005A47DF" w:rsidRDefault="005A47DF">
      <w:r>
        <w:separator/>
      </w:r>
    </w:p>
  </w:endnote>
  <w:endnote w:type="continuationSeparator" w:id="0">
    <w:p w14:paraId="475C89DE" w14:textId="77777777" w:rsidR="005A47DF" w:rsidRDefault="005A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08A89" w14:textId="77777777" w:rsidR="008D4782" w:rsidRPr="00593795" w:rsidRDefault="008D478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0F73DE">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90FD0" w14:textId="77777777" w:rsidR="008D4782" w:rsidRPr="00090CF9" w:rsidRDefault="008D478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w:t>
    </w:r>
    <w:r w:rsidR="007326FD">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EF8EB" w14:textId="77777777" w:rsidR="005A47DF" w:rsidRDefault="005A47DF">
      <w:r>
        <w:separator/>
      </w:r>
    </w:p>
  </w:footnote>
  <w:footnote w:type="continuationSeparator" w:id="0">
    <w:p w14:paraId="45E050E0" w14:textId="77777777" w:rsidR="005A47DF" w:rsidRDefault="005A4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B65F" w14:textId="77777777" w:rsidR="008D4782" w:rsidRPr="003C5CE5" w:rsidRDefault="008D4782" w:rsidP="00614E94">
    <w:pPr>
      <w:pStyle w:val="Header"/>
      <w:jc w:val="right"/>
      <w:rPr>
        <w:rFonts w:ascii="Arial" w:hAnsi="Arial" w:cs="Arial"/>
        <w:sz w:val="16"/>
        <w:szCs w:val="16"/>
      </w:rPr>
    </w:pPr>
    <w:r>
      <w:rPr>
        <w:rFonts w:ascii="Arial" w:hAnsi="Arial" w:cs="Arial"/>
        <w:sz w:val="16"/>
        <w:szCs w:val="16"/>
      </w:rPr>
      <w:t xml:space="preserve">Appeal Number: </w:t>
    </w:r>
    <w:r w:rsidR="007326FD" w:rsidRPr="007326FD">
      <w:rPr>
        <w:rFonts w:ascii="Arial" w:hAnsi="Arial" w:cs="Arial"/>
        <w:sz w:val="16"/>
        <w:szCs w:val="16"/>
      </w:rPr>
      <w:t>PA/11048/2016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F3FBD18-951F-4AFC-8C58-334685E74A38}"/>
    <w:docVar w:name="dgnword-eventsink" w:val="665875256"/>
  </w:docVars>
  <w:rsids>
    <w:rsidRoot w:val="00933B65"/>
    <w:rsid w:val="000009CF"/>
    <w:rsid w:val="00005159"/>
    <w:rsid w:val="00007BAC"/>
    <w:rsid w:val="000102A9"/>
    <w:rsid w:val="0002202C"/>
    <w:rsid w:val="000228C8"/>
    <w:rsid w:val="00031C32"/>
    <w:rsid w:val="00046BF3"/>
    <w:rsid w:val="00050F40"/>
    <w:rsid w:val="000777B7"/>
    <w:rsid w:val="00082514"/>
    <w:rsid w:val="00087C41"/>
    <w:rsid w:val="00091E64"/>
    <w:rsid w:val="00094441"/>
    <w:rsid w:val="000A5BA7"/>
    <w:rsid w:val="000B442A"/>
    <w:rsid w:val="000B7EDD"/>
    <w:rsid w:val="000D73E4"/>
    <w:rsid w:val="000F73DE"/>
    <w:rsid w:val="001103E2"/>
    <w:rsid w:val="0011254D"/>
    <w:rsid w:val="00117089"/>
    <w:rsid w:val="001604AD"/>
    <w:rsid w:val="00161172"/>
    <w:rsid w:val="00172233"/>
    <w:rsid w:val="00184269"/>
    <w:rsid w:val="00186DF6"/>
    <w:rsid w:val="001C47EE"/>
    <w:rsid w:val="001C51EE"/>
    <w:rsid w:val="001D1669"/>
    <w:rsid w:val="001D6343"/>
    <w:rsid w:val="001E0145"/>
    <w:rsid w:val="001E39B8"/>
    <w:rsid w:val="001F3A81"/>
    <w:rsid w:val="002065B8"/>
    <w:rsid w:val="002135A6"/>
    <w:rsid w:val="002154EF"/>
    <w:rsid w:val="00224440"/>
    <w:rsid w:val="00224E9B"/>
    <w:rsid w:val="00266FFE"/>
    <w:rsid w:val="00274F92"/>
    <w:rsid w:val="00283021"/>
    <w:rsid w:val="002A569F"/>
    <w:rsid w:val="002A7080"/>
    <w:rsid w:val="002B183D"/>
    <w:rsid w:val="002B4950"/>
    <w:rsid w:val="002C683E"/>
    <w:rsid w:val="002D36F1"/>
    <w:rsid w:val="002E76B4"/>
    <w:rsid w:val="002E7BA6"/>
    <w:rsid w:val="002F73CE"/>
    <w:rsid w:val="00321C6F"/>
    <w:rsid w:val="0033270E"/>
    <w:rsid w:val="003812EE"/>
    <w:rsid w:val="003A59C1"/>
    <w:rsid w:val="003B19CC"/>
    <w:rsid w:val="003C14DE"/>
    <w:rsid w:val="003C1934"/>
    <w:rsid w:val="003D0A35"/>
    <w:rsid w:val="003D7D3D"/>
    <w:rsid w:val="003D7F34"/>
    <w:rsid w:val="003E6445"/>
    <w:rsid w:val="004171D0"/>
    <w:rsid w:val="00441640"/>
    <w:rsid w:val="004458F7"/>
    <w:rsid w:val="004541E5"/>
    <w:rsid w:val="0046122D"/>
    <w:rsid w:val="00470675"/>
    <w:rsid w:val="00494A9D"/>
    <w:rsid w:val="004A012D"/>
    <w:rsid w:val="004C43A2"/>
    <w:rsid w:val="00513527"/>
    <w:rsid w:val="0052645D"/>
    <w:rsid w:val="0057020B"/>
    <w:rsid w:val="00590CEE"/>
    <w:rsid w:val="0059452E"/>
    <w:rsid w:val="00594CA2"/>
    <w:rsid w:val="00595C55"/>
    <w:rsid w:val="005A1712"/>
    <w:rsid w:val="005A1975"/>
    <w:rsid w:val="005A47DF"/>
    <w:rsid w:val="005B4AA6"/>
    <w:rsid w:val="005B5CFA"/>
    <w:rsid w:val="005B68F4"/>
    <w:rsid w:val="005B730D"/>
    <w:rsid w:val="005F6D40"/>
    <w:rsid w:val="00604BC4"/>
    <w:rsid w:val="00614020"/>
    <w:rsid w:val="00614E94"/>
    <w:rsid w:val="00622241"/>
    <w:rsid w:val="00626548"/>
    <w:rsid w:val="0063091E"/>
    <w:rsid w:val="0065091A"/>
    <w:rsid w:val="00657E4A"/>
    <w:rsid w:val="00674334"/>
    <w:rsid w:val="00697165"/>
    <w:rsid w:val="006A0208"/>
    <w:rsid w:val="006D2D9A"/>
    <w:rsid w:val="006D7C16"/>
    <w:rsid w:val="006E3DE1"/>
    <w:rsid w:val="006E4F1D"/>
    <w:rsid w:val="006E68EC"/>
    <w:rsid w:val="006F3C8F"/>
    <w:rsid w:val="00720212"/>
    <w:rsid w:val="007326FD"/>
    <w:rsid w:val="00734C8F"/>
    <w:rsid w:val="00734D2D"/>
    <w:rsid w:val="007412E0"/>
    <w:rsid w:val="00763C5F"/>
    <w:rsid w:val="00774C7C"/>
    <w:rsid w:val="007E4F00"/>
    <w:rsid w:val="007F7538"/>
    <w:rsid w:val="0080239D"/>
    <w:rsid w:val="0080371C"/>
    <w:rsid w:val="00810338"/>
    <w:rsid w:val="0084433E"/>
    <w:rsid w:val="00844C12"/>
    <w:rsid w:val="00851651"/>
    <w:rsid w:val="00861DE2"/>
    <w:rsid w:val="008832E8"/>
    <w:rsid w:val="008A64A7"/>
    <w:rsid w:val="008B56A3"/>
    <w:rsid w:val="008B5B9B"/>
    <w:rsid w:val="008C2761"/>
    <w:rsid w:val="008D4782"/>
    <w:rsid w:val="008D689B"/>
    <w:rsid w:val="008F2CE1"/>
    <w:rsid w:val="00923BA9"/>
    <w:rsid w:val="00926DE2"/>
    <w:rsid w:val="00933B65"/>
    <w:rsid w:val="009459DE"/>
    <w:rsid w:val="009701EB"/>
    <w:rsid w:val="00972FF8"/>
    <w:rsid w:val="009A23C5"/>
    <w:rsid w:val="009E3D21"/>
    <w:rsid w:val="009F361B"/>
    <w:rsid w:val="00A810D2"/>
    <w:rsid w:val="00A86A8D"/>
    <w:rsid w:val="00A87A00"/>
    <w:rsid w:val="00A93731"/>
    <w:rsid w:val="00AA199C"/>
    <w:rsid w:val="00AA25A1"/>
    <w:rsid w:val="00AA5502"/>
    <w:rsid w:val="00AC488C"/>
    <w:rsid w:val="00AD0215"/>
    <w:rsid w:val="00B0585A"/>
    <w:rsid w:val="00B170ED"/>
    <w:rsid w:val="00B224F9"/>
    <w:rsid w:val="00B43EAE"/>
    <w:rsid w:val="00B45384"/>
    <w:rsid w:val="00B52844"/>
    <w:rsid w:val="00B77F1C"/>
    <w:rsid w:val="00BA1CB6"/>
    <w:rsid w:val="00BB05F2"/>
    <w:rsid w:val="00BB21CA"/>
    <w:rsid w:val="00BB2B34"/>
    <w:rsid w:val="00BB470C"/>
    <w:rsid w:val="00BB69F4"/>
    <w:rsid w:val="00BC0611"/>
    <w:rsid w:val="00BC220A"/>
    <w:rsid w:val="00BE0C0D"/>
    <w:rsid w:val="00BE34CF"/>
    <w:rsid w:val="00BF3DBE"/>
    <w:rsid w:val="00C01F6A"/>
    <w:rsid w:val="00C15A7E"/>
    <w:rsid w:val="00C47492"/>
    <w:rsid w:val="00C51B29"/>
    <w:rsid w:val="00C628F1"/>
    <w:rsid w:val="00C666D0"/>
    <w:rsid w:val="00C85775"/>
    <w:rsid w:val="00CB48D4"/>
    <w:rsid w:val="00CD5301"/>
    <w:rsid w:val="00CD5AEE"/>
    <w:rsid w:val="00CF0FE6"/>
    <w:rsid w:val="00D0766E"/>
    <w:rsid w:val="00D31D54"/>
    <w:rsid w:val="00D44C2B"/>
    <w:rsid w:val="00D61C61"/>
    <w:rsid w:val="00DA3D04"/>
    <w:rsid w:val="00DA54A4"/>
    <w:rsid w:val="00DB0FAA"/>
    <w:rsid w:val="00DC699D"/>
    <w:rsid w:val="00E87527"/>
    <w:rsid w:val="00E9011E"/>
    <w:rsid w:val="00E92378"/>
    <w:rsid w:val="00E95668"/>
    <w:rsid w:val="00E968CC"/>
    <w:rsid w:val="00EA3D98"/>
    <w:rsid w:val="00EE6CE7"/>
    <w:rsid w:val="00F125AD"/>
    <w:rsid w:val="00F233A5"/>
    <w:rsid w:val="00F27746"/>
    <w:rsid w:val="00F40619"/>
    <w:rsid w:val="00F42DD4"/>
    <w:rsid w:val="00F47052"/>
    <w:rsid w:val="00F6483E"/>
    <w:rsid w:val="00F648C0"/>
    <w:rsid w:val="00F71B38"/>
    <w:rsid w:val="00F73C1C"/>
    <w:rsid w:val="00F85C8A"/>
    <w:rsid w:val="00FA0A2E"/>
    <w:rsid w:val="00FA2A43"/>
    <w:rsid w:val="00FA7FC0"/>
    <w:rsid w:val="00FB0516"/>
    <w:rsid w:val="00FD11E0"/>
    <w:rsid w:val="00FD199E"/>
    <w:rsid w:val="00FD2C42"/>
    <w:rsid w:val="00FE0046"/>
    <w:rsid w:val="00FE4E6C"/>
    <w:rsid w:val="00FF04D0"/>
    <w:rsid w:val="00FF15A9"/>
    <w:rsid w:val="00FF48BE"/>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DE4B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228C8"/>
    <w:rPr>
      <w:rFonts w:ascii="Segoe UI" w:hAnsi="Segoe UI" w:cs="Segoe UI"/>
      <w:sz w:val="18"/>
      <w:szCs w:val="18"/>
    </w:rPr>
  </w:style>
  <w:style w:type="character" w:customStyle="1" w:styleId="BalloonTextChar">
    <w:name w:val="Balloon Text Char"/>
    <w:basedOn w:val="DefaultParagraphFont"/>
    <w:link w:val="BalloonText"/>
    <w:semiHidden/>
    <w:rsid w:val="000228C8"/>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03T09:53:07.375"/>
    </inkml:context>
    <inkml:brush xml:id="br0">
      <inkml:brushProperty name="width" value="0.05" units="cm"/>
      <inkml:brushProperty name="height" value="0.05" units="cm"/>
    </inkml:brush>
  </inkml:definitions>
  <inkml:trace contextRef="#ctx0" brushRef="#br0">0 0 32767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EEEDB-398D-44E7-AB94-3C5266595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3070</Characters>
  <Application>Microsoft Office Word</Application>
  <DocSecurity>0</DocSecurity>
  <Lines>25</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2018-07-24T11:14:00Z</dcterms:created>
  <dcterms:modified xsi:type="dcterms:W3CDTF">2018-07-24T11:15:00Z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