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39CB6" w14:textId="77777777" w:rsidR="00C321B5" w:rsidRPr="0042402D" w:rsidRDefault="00CA02F3" w:rsidP="00C321B5">
      <w:pPr>
        <w:jc w:val="center"/>
        <w:rPr>
          <w:rFonts w:ascii="Book Antiqua" w:hAnsi="Book Antiqua" w:cs="Arial"/>
          <w:sz w:val="16"/>
          <w:szCs w:val="16"/>
        </w:rPr>
      </w:pPr>
      <w:r w:rsidRPr="0042402D">
        <w:rPr>
          <w:noProof/>
          <w:sz w:val="16"/>
          <w:szCs w:val="16"/>
        </w:rPr>
        <w:drawing>
          <wp:inline distT="0" distB="0" distL="0" distR="0" wp14:anchorId="57E44A28" wp14:editId="6BFDB2BA">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591FC01E" w14:textId="1C805199" w:rsidR="00D94AFC" w:rsidRPr="0042402D" w:rsidRDefault="00D94AFC">
      <w:pPr>
        <w:rPr>
          <w:rFonts w:ascii="Book Antiqua" w:hAnsi="Book Antiqua" w:cs="Arial"/>
          <w:sz w:val="16"/>
          <w:szCs w:val="16"/>
        </w:rPr>
      </w:pPr>
    </w:p>
    <w:p w14:paraId="2EB53684"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8F91F58"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CA02F3">
        <w:rPr>
          <w:rFonts w:ascii="Book Antiqua" w:hAnsi="Book Antiqua" w:cs="Arial"/>
          <w:caps/>
        </w:rPr>
        <w:t>PA/11098/2017</w:t>
      </w:r>
      <w:bookmarkEnd w:id="0"/>
    </w:p>
    <w:p w14:paraId="0834786B" w14:textId="77777777" w:rsidR="00C345E1" w:rsidRPr="00F5664C" w:rsidRDefault="00C345E1" w:rsidP="00C345E1">
      <w:pPr>
        <w:jc w:val="center"/>
        <w:rPr>
          <w:rFonts w:ascii="Book Antiqua" w:hAnsi="Book Antiqua" w:cs="Arial"/>
        </w:rPr>
      </w:pPr>
    </w:p>
    <w:p w14:paraId="5FFC67AD" w14:textId="77777777" w:rsidR="00C345E1" w:rsidRPr="00F5664C" w:rsidRDefault="00C345E1" w:rsidP="00C345E1">
      <w:pPr>
        <w:jc w:val="center"/>
        <w:rPr>
          <w:rFonts w:ascii="Book Antiqua" w:hAnsi="Book Antiqua" w:cs="Arial"/>
        </w:rPr>
      </w:pPr>
    </w:p>
    <w:p w14:paraId="71224AA3"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B96338B" w14:textId="77777777" w:rsidR="00C345E1" w:rsidRPr="00F5664C" w:rsidRDefault="00C345E1" w:rsidP="00C345E1">
      <w:pPr>
        <w:jc w:val="center"/>
        <w:rPr>
          <w:rFonts w:ascii="Book Antiqua" w:hAnsi="Book Antiqua" w:cs="Arial"/>
          <w:b/>
          <w:u w:val="single"/>
        </w:rPr>
      </w:pPr>
    </w:p>
    <w:p w14:paraId="5C443DBA"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5C728CFD" w14:textId="77777777" w:rsidTr="00F13D39">
        <w:tc>
          <w:tcPr>
            <w:tcW w:w="6048" w:type="dxa"/>
          </w:tcPr>
          <w:p w14:paraId="4100E76E"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CA02F3">
              <w:rPr>
                <w:rFonts w:ascii="Book Antiqua" w:hAnsi="Book Antiqua" w:cs="Arial"/>
                <w:b/>
              </w:rPr>
              <w:t>Manchester Civil Justice Centre</w:t>
            </w:r>
          </w:p>
        </w:tc>
        <w:tc>
          <w:tcPr>
            <w:tcW w:w="3960" w:type="dxa"/>
          </w:tcPr>
          <w:p w14:paraId="5ABB3F26"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30942EF2" w14:textId="77777777" w:rsidTr="00F13D39">
        <w:tc>
          <w:tcPr>
            <w:tcW w:w="6048" w:type="dxa"/>
          </w:tcPr>
          <w:p w14:paraId="3197AD3D"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CA02F3">
              <w:rPr>
                <w:rFonts w:ascii="Book Antiqua" w:hAnsi="Book Antiqua" w:cs="Arial"/>
                <w:b/>
              </w:rPr>
              <w:t>9</w:t>
            </w:r>
            <w:r w:rsidR="00CA02F3" w:rsidRPr="00CA02F3">
              <w:rPr>
                <w:rFonts w:ascii="Book Antiqua" w:hAnsi="Book Antiqua" w:cs="Arial"/>
                <w:b/>
                <w:vertAlign w:val="superscript"/>
              </w:rPr>
              <w:t>th</w:t>
            </w:r>
            <w:r w:rsidR="00CA02F3">
              <w:rPr>
                <w:rFonts w:ascii="Book Antiqua" w:hAnsi="Book Antiqua" w:cs="Arial"/>
                <w:b/>
              </w:rPr>
              <w:t xml:space="preserve"> July 2018</w:t>
            </w:r>
          </w:p>
        </w:tc>
        <w:tc>
          <w:tcPr>
            <w:tcW w:w="3960" w:type="dxa"/>
          </w:tcPr>
          <w:p w14:paraId="22DDC325" w14:textId="72B3B952" w:rsidR="00D22636" w:rsidRPr="00F5664C" w:rsidRDefault="007A57DD" w:rsidP="004A1848">
            <w:pPr>
              <w:jc w:val="both"/>
              <w:rPr>
                <w:rFonts w:ascii="Book Antiqua" w:hAnsi="Book Antiqua" w:cs="Arial"/>
                <w:b/>
              </w:rPr>
            </w:pPr>
            <w:r>
              <w:rPr>
                <w:rFonts w:ascii="Book Antiqua" w:hAnsi="Book Antiqua" w:cs="Arial"/>
                <w:b/>
              </w:rPr>
              <w:t>On 18</w:t>
            </w:r>
            <w:r w:rsidRPr="007A57DD">
              <w:rPr>
                <w:rFonts w:ascii="Book Antiqua" w:hAnsi="Book Antiqua" w:cs="Arial"/>
                <w:b/>
                <w:vertAlign w:val="superscript"/>
              </w:rPr>
              <w:t>th</w:t>
            </w:r>
            <w:r>
              <w:rPr>
                <w:rFonts w:ascii="Book Antiqua" w:hAnsi="Book Antiqua" w:cs="Arial"/>
                <w:b/>
              </w:rPr>
              <w:t xml:space="preserve"> July 2018</w:t>
            </w:r>
          </w:p>
        </w:tc>
      </w:tr>
      <w:tr w:rsidR="00D22636" w:rsidRPr="00F5664C" w14:paraId="5C72E4EA" w14:textId="77777777" w:rsidTr="00F13D39">
        <w:tc>
          <w:tcPr>
            <w:tcW w:w="6048" w:type="dxa"/>
          </w:tcPr>
          <w:p w14:paraId="3FD9BED9" w14:textId="77777777" w:rsidR="00D22636" w:rsidRPr="00F5664C" w:rsidRDefault="00D22636" w:rsidP="004A1848">
            <w:pPr>
              <w:jc w:val="both"/>
              <w:rPr>
                <w:rFonts w:ascii="Book Antiqua" w:hAnsi="Book Antiqua" w:cs="Arial"/>
                <w:b/>
              </w:rPr>
            </w:pPr>
          </w:p>
        </w:tc>
        <w:tc>
          <w:tcPr>
            <w:tcW w:w="3960" w:type="dxa"/>
          </w:tcPr>
          <w:p w14:paraId="1F7B68DF" w14:textId="1062CA33" w:rsidR="00D22636" w:rsidRPr="00F5664C" w:rsidRDefault="00D22636" w:rsidP="004A1848">
            <w:pPr>
              <w:jc w:val="both"/>
              <w:rPr>
                <w:rFonts w:ascii="Book Antiqua" w:hAnsi="Book Antiqua" w:cs="Arial"/>
                <w:b/>
              </w:rPr>
            </w:pPr>
          </w:p>
        </w:tc>
      </w:tr>
    </w:tbl>
    <w:p w14:paraId="3EC4BDCC" w14:textId="77777777" w:rsidR="00A15234" w:rsidRPr="00F5664C" w:rsidRDefault="00A15234" w:rsidP="00A15234">
      <w:pPr>
        <w:jc w:val="center"/>
        <w:rPr>
          <w:rFonts w:ascii="Book Antiqua" w:hAnsi="Book Antiqua" w:cs="Arial"/>
        </w:rPr>
      </w:pPr>
    </w:p>
    <w:p w14:paraId="1CB21E51"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7841CFC8" w14:textId="77777777" w:rsidR="00A15234" w:rsidRPr="00F5664C" w:rsidRDefault="00A15234" w:rsidP="00A15234">
      <w:pPr>
        <w:jc w:val="center"/>
        <w:rPr>
          <w:rFonts w:ascii="Book Antiqua" w:hAnsi="Book Antiqua" w:cs="Arial"/>
          <w:b/>
        </w:rPr>
      </w:pPr>
    </w:p>
    <w:p w14:paraId="0FCD1B01"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4A91A5D7" w14:textId="77777777" w:rsidR="001A1E2C" w:rsidRPr="00F5664C" w:rsidRDefault="001A1E2C" w:rsidP="00A15234">
      <w:pPr>
        <w:jc w:val="center"/>
        <w:rPr>
          <w:rFonts w:ascii="Book Antiqua" w:hAnsi="Book Antiqua" w:cs="Arial"/>
          <w:b/>
        </w:rPr>
      </w:pPr>
    </w:p>
    <w:p w14:paraId="509416F3" w14:textId="77777777" w:rsidR="00B16F58" w:rsidRPr="00F5664C" w:rsidRDefault="00B16F58" w:rsidP="00A15234">
      <w:pPr>
        <w:jc w:val="center"/>
        <w:rPr>
          <w:rFonts w:ascii="Book Antiqua" w:hAnsi="Book Antiqua" w:cs="Arial"/>
          <w:b/>
        </w:rPr>
      </w:pPr>
    </w:p>
    <w:p w14:paraId="5C414D0E"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035F7B0" w14:textId="77777777" w:rsidR="00A845DC" w:rsidRPr="00F5664C" w:rsidRDefault="00A845DC" w:rsidP="00A15234">
      <w:pPr>
        <w:jc w:val="center"/>
        <w:rPr>
          <w:rFonts w:ascii="Book Antiqua" w:hAnsi="Book Antiqua" w:cs="Arial"/>
          <w:b/>
        </w:rPr>
      </w:pPr>
    </w:p>
    <w:p w14:paraId="416C0077" w14:textId="77777777" w:rsidR="00742A8D" w:rsidRDefault="00CA02F3" w:rsidP="00742A8D">
      <w:pPr>
        <w:jc w:val="center"/>
        <w:rPr>
          <w:rFonts w:ascii="Book Antiqua" w:hAnsi="Book Antiqua" w:cs="Arial"/>
          <w:b/>
          <w:caps/>
        </w:rPr>
      </w:pPr>
      <w:r>
        <w:rPr>
          <w:rFonts w:ascii="Book Antiqua" w:hAnsi="Book Antiqua" w:cs="Arial"/>
          <w:b/>
          <w:caps/>
        </w:rPr>
        <w:t>PP</w:t>
      </w:r>
    </w:p>
    <w:p w14:paraId="675AB3CA" w14:textId="77777777"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CA02F3">
        <w:rPr>
          <w:rFonts w:ascii="Book Antiqua" w:hAnsi="Book Antiqua" w:cs="Arial"/>
          <w:b/>
          <w:caps/>
        </w:rPr>
        <w:t>made</w:t>
      </w:r>
      <w:r w:rsidRPr="00F13D39">
        <w:rPr>
          <w:rFonts w:ascii="Book Antiqua" w:hAnsi="Book Antiqua" w:cs="Arial"/>
          <w:b/>
          <w:caps/>
        </w:rPr>
        <w:t>)</w:t>
      </w:r>
    </w:p>
    <w:p w14:paraId="1DB02F11"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275673BA"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AA27AA4" w14:textId="77777777" w:rsidR="00DD5071" w:rsidRPr="00F5664C" w:rsidRDefault="00DD5071" w:rsidP="00704B61">
      <w:pPr>
        <w:jc w:val="center"/>
        <w:rPr>
          <w:rFonts w:ascii="Book Antiqua" w:hAnsi="Book Antiqua" w:cs="Arial"/>
          <w:b/>
        </w:rPr>
      </w:pPr>
    </w:p>
    <w:p w14:paraId="0647B7C7"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3442A60A"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7BE89C01" w14:textId="77777777" w:rsidR="00DD5071" w:rsidRPr="00F5664C" w:rsidRDefault="00DD5071" w:rsidP="00DD5071">
      <w:pPr>
        <w:rPr>
          <w:rFonts w:ascii="Book Antiqua" w:hAnsi="Book Antiqua" w:cs="Arial"/>
          <w:u w:val="single"/>
        </w:rPr>
      </w:pPr>
    </w:p>
    <w:p w14:paraId="25B5D26B" w14:textId="77777777" w:rsidR="00DD5071" w:rsidRPr="00F5664C" w:rsidRDefault="00DD5071" w:rsidP="00DD5071">
      <w:pPr>
        <w:rPr>
          <w:rFonts w:ascii="Book Antiqua" w:hAnsi="Book Antiqua" w:cs="Arial"/>
          <w:u w:val="single"/>
        </w:rPr>
      </w:pPr>
    </w:p>
    <w:p w14:paraId="4B5616AE"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606C69E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A02F3">
        <w:rPr>
          <w:rFonts w:ascii="Book Antiqua" w:hAnsi="Book Antiqua" w:cs="Arial"/>
        </w:rPr>
        <w:t>Mr A Ceesay of Immigration Advice Service</w:t>
      </w:r>
    </w:p>
    <w:p w14:paraId="3A282F8B"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A02F3">
        <w:rPr>
          <w:rFonts w:ascii="Book Antiqua" w:hAnsi="Book Antiqua" w:cs="Arial"/>
        </w:rPr>
        <w:t xml:space="preserve">Mr C Bates, Senior Home Office Presenting Officer </w:t>
      </w:r>
    </w:p>
    <w:p w14:paraId="32B4B2CD" w14:textId="77777777" w:rsidR="00DE7DB7" w:rsidRPr="00F5664C" w:rsidRDefault="00DE7DB7" w:rsidP="00402B9E">
      <w:pPr>
        <w:tabs>
          <w:tab w:val="left" w:pos="2520"/>
        </w:tabs>
        <w:jc w:val="center"/>
        <w:rPr>
          <w:rFonts w:ascii="Book Antiqua" w:hAnsi="Book Antiqua" w:cs="Arial"/>
        </w:rPr>
      </w:pPr>
    </w:p>
    <w:p w14:paraId="593C2B01" w14:textId="77777777" w:rsidR="00DE7DB7" w:rsidRPr="00F5664C" w:rsidRDefault="00DE7DB7" w:rsidP="00402B9E">
      <w:pPr>
        <w:tabs>
          <w:tab w:val="left" w:pos="2520"/>
        </w:tabs>
        <w:jc w:val="center"/>
        <w:rPr>
          <w:rFonts w:ascii="Book Antiqua" w:hAnsi="Book Antiqua" w:cs="Arial"/>
        </w:rPr>
      </w:pPr>
    </w:p>
    <w:p w14:paraId="744A989B"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1F8C8A7A" w14:textId="77777777" w:rsidR="00CA02F3" w:rsidRPr="00CA02F3" w:rsidRDefault="00CA02F3" w:rsidP="0042402D">
      <w:pPr>
        <w:tabs>
          <w:tab w:val="left" w:pos="2520"/>
        </w:tabs>
        <w:spacing w:before="160"/>
        <w:jc w:val="both"/>
        <w:rPr>
          <w:rFonts w:ascii="Book Antiqua" w:hAnsi="Book Antiqua" w:cs="Arial"/>
          <w:b/>
        </w:rPr>
      </w:pPr>
      <w:r>
        <w:rPr>
          <w:rFonts w:ascii="Book Antiqua" w:hAnsi="Book Antiqua" w:cs="Arial"/>
          <w:b/>
        </w:rPr>
        <w:t xml:space="preserve">Introduction and Background </w:t>
      </w:r>
    </w:p>
    <w:p w14:paraId="6DA92596" w14:textId="77777777" w:rsidR="005E5DFF" w:rsidRDefault="00CA02F3" w:rsidP="0042402D">
      <w:pPr>
        <w:numPr>
          <w:ilvl w:val="0"/>
          <w:numId w:val="3"/>
        </w:numPr>
        <w:spacing w:before="160"/>
        <w:jc w:val="both"/>
        <w:rPr>
          <w:rFonts w:ascii="Book Antiqua" w:hAnsi="Book Antiqua" w:cs="Arial"/>
        </w:rPr>
      </w:pPr>
      <w:r>
        <w:rPr>
          <w:rFonts w:ascii="Book Antiqua" w:hAnsi="Book Antiqua" w:cs="Arial"/>
        </w:rPr>
        <w:t>The Appellant appeals against a decision of Judge Malik (the judge) of the First-tier Tribunal (the FtT) promulgated on 18</w:t>
      </w:r>
      <w:r w:rsidRPr="00CA02F3">
        <w:rPr>
          <w:rFonts w:ascii="Book Antiqua" w:hAnsi="Book Antiqua" w:cs="Arial"/>
          <w:vertAlign w:val="superscript"/>
        </w:rPr>
        <w:t>th</w:t>
      </w:r>
      <w:r>
        <w:rPr>
          <w:rFonts w:ascii="Book Antiqua" w:hAnsi="Book Antiqua" w:cs="Arial"/>
        </w:rPr>
        <w:t xml:space="preserve"> December 2017.</w:t>
      </w:r>
    </w:p>
    <w:p w14:paraId="0D13DF56" w14:textId="1A746BAA" w:rsidR="00CA02F3" w:rsidRDefault="00CA02F3" w:rsidP="0042402D">
      <w:pPr>
        <w:numPr>
          <w:ilvl w:val="0"/>
          <w:numId w:val="3"/>
        </w:numPr>
        <w:spacing w:before="160"/>
        <w:jc w:val="both"/>
        <w:rPr>
          <w:rFonts w:ascii="Book Antiqua" w:hAnsi="Book Antiqua" w:cs="Arial"/>
        </w:rPr>
      </w:pPr>
      <w:r>
        <w:rPr>
          <w:rFonts w:ascii="Book Antiqua" w:hAnsi="Book Antiqua" w:cs="Arial"/>
        </w:rPr>
        <w:t>The Appellant is a</w:t>
      </w:r>
      <w:r w:rsidR="00A856EB">
        <w:rPr>
          <w:rFonts w:ascii="Book Antiqua" w:hAnsi="Book Antiqua" w:cs="Arial"/>
        </w:rPr>
        <w:t>n</w:t>
      </w:r>
      <w:r>
        <w:rPr>
          <w:rFonts w:ascii="Book Antiqua" w:hAnsi="Book Antiqua" w:cs="Arial"/>
        </w:rPr>
        <w:t xml:space="preserve"> Iranian citizen born in 1997.  He applied for asylum on 11</w:t>
      </w:r>
      <w:r w:rsidRPr="00CA02F3">
        <w:rPr>
          <w:rFonts w:ascii="Book Antiqua" w:hAnsi="Book Antiqua" w:cs="Arial"/>
          <w:vertAlign w:val="superscript"/>
        </w:rPr>
        <w:t>th</w:t>
      </w:r>
      <w:r>
        <w:rPr>
          <w:rFonts w:ascii="Book Antiqua" w:hAnsi="Book Antiqua" w:cs="Arial"/>
        </w:rPr>
        <w:t xml:space="preserve"> July 2017 on the basis of his political opinion, that being his support for the KDPI in Iran.  </w:t>
      </w:r>
    </w:p>
    <w:p w14:paraId="4E6B92D3" w14:textId="38E84119" w:rsidR="00CA02F3" w:rsidRDefault="00CA02F3" w:rsidP="0042402D">
      <w:pPr>
        <w:numPr>
          <w:ilvl w:val="0"/>
          <w:numId w:val="3"/>
        </w:numPr>
        <w:spacing w:before="160"/>
        <w:jc w:val="both"/>
        <w:rPr>
          <w:rFonts w:ascii="Book Antiqua" w:hAnsi="Book Antiqua" w:cs="Arial"/>
        </w:rPr>
      </w:pPr>
      <w:r>
        <w:rPr>
          <w:rFonts w:ascii="Book Antiqua" w:hAnsi="Book Antiqua" w:cs="Arial"/>
        </w:rPr>
        <w:lastRenderedPageBreak/>
        <w:t>The Respondent refused the application on 16</w:t>
      </w:r>
      <w:r w:rsidRPr="00CA02F3">
        <w:rPr>
          <w:rFonts w:ascii="Book Antiqua" w:hAnsi="Book Antiqua" w:cs="Arial"/>
          <w:vertAlign w:val="superscript"/>
        </w:rPr>
        <w:t>th</w:t>
      </w:r>
      <w:r>
        <w:rPr>
          <w:rFonts w:ascii="Book Antiqua" w:hAnsi="Book Antiqua" w:cs="Arial"/>
        </w:rPr>
        <w:t xml:space="preserve"> October 2017 and the </w:t>
      </w:r>
      <w:r w:rsidR="009B7E3D">
        <w:rPr>
          <w:rFonts w:ascii="Book Antiqua" w:hAnsi="Book Antiqua" w:cs="Arial"/>
        </w:rPr>
        <w:t xml:space="preserve">Appellant </w:t>
      </w:r>
      <w:r>
        <w:rPr>
          <w:rFonts w:ascii="Book Antiqua" w:hAnsi="Book Antiqua" w:cs="Arial"/>
        </w:rPr>
        <w:t>appealed to the FtT.</w:t>
      </w:r>
    </w:p>
    <w:p w14:paraId="0FEC856B" w14:textId="77777777" w:rsidR="00CA02F3" w:rsidRDefault="00CA02F3" w:rsidP="0042402D">
      <w:pPr>
        <w:numPr>
          <w:ilvl w:val="0"/>
          <w:numId w:val="3"/>
        </w:numPr>
        <w:spacing w:before="160"/>
        <w:jc w:val="both"/>
        <w:rPr>
          <w:rFonts w:ascii="Book Antiqua" w:hAnsi="Book Antiqua" w:cs="Arial"/>
        </w:rPr>
      </w:pPr>
      <w:r>
        <w:rPr>
          <w:rFonts w:ascii="Book Antiqua" w:hAnsi="Book Antiqua" w:cs="Arial"/>
        </w:rPr>
        <w:t>The judge heard evidence from the Appellant and found him to be an incredible witness.  The judge did not believe the Appellant’s account and did not believe that he would be at risk if returned to Iran.  The appeal was dismissed on all grounds.</w:t>
      </w:r>
    </w:p>
    <w:p w14:paraId="7FC70866" w14:textId="09EED725" w:rsidR="00CA02F3" w:rsidRDefault="00CA02F3" w:rsidP="0042402D">
      <w:pPr>
        <w:numPr>
          <w:ilvl w:val="0"/>
          <w:numId w:val="3"/>
        </w:numPr>
        <w:spacing w:before="160"/>
        <w:jc w:val="both"/>
        <w:rPr>
          <w:rFonts w:ascii="Book Antiqua" w:hAnsi="Book Antiqua" w:cs="Arial"/>
        </w:rPr>
      </w:pPr>
      <w:r>
        <w:rPr>
          <w:rFonts w:ascii="Book Antiqua" w:hAnsi="Book Antiqua" w:cs="Arial"/>
        </w:rPr>
        <w:t xml:space="preserve">The Appellant applied for permission to appeal to the Upper Tribunal.  In summary, it was contended that the judge had erred in making adverse credibility findings.  Reliance was placed </w:t>
      </w:r>
      <w:r w:rsidR="00650B64">
        <w:rPr>
          <w:rFonts w:ascii="Book Antiqua" w:hAnsi="Book Antiqua" w:cs="Arial"/>
        </w:rPr>
        <w:t>up</w:t>
      </w:r>
      <w:r>
        <w:rPr>
          <w:rFonts w:ascii="Book Antiqua" w:hAnsi="Book Antiqua" w:cs="Arial"/>
        </w:rPr>
        <w:t xml:space="preserve">on </w:t>
      </w:r>
      <w:r w:rsidRPr="00CA02F3">
        <w:rPr>
          <w:rFonts w:ascii="Book Antiqua" w:hAnsi="Book Antiqua" w:cs="Arial"/>
          <w:u w:val="single"/>
        </w:rPr>
        <w:t>KB and AH</w:t>
      </w:r>
      <w:r>
        <w:rPr>
          <w:rFonts w:ascii="Book Antiqua" w:hAnsi="Book Antiqua" w:cs="Arial"/>
        </w:rPr>
        <w:t xml:space="preserve"> (credibility – structured approach) Pakistan [2017] UKUT 00491 (IAC) and </w:t>
      </w:r>
      <w:r w:rsidRPr="00CA02F3">
        <w:rPr>
          <w:rFonts w:ascii="Book Antiqua" w:hAnsi="Book Antiqua" w:cs="Arial"/>
          <w:u w:val="single"/>
        </w:rPr>
        <w:t>HK</w:t>
      </w:r>
      <w:r>
        <w:rPr>
          <w:rFonts w:ascii="Book Antiqua" w:hAnsi="Book Antiqua" w:cs="Arial"/>
        </w:rPr>
        <w:t xml:space="preserve"> [2006] EWCA Civ 1037.  The judge was criticised for concluding at paragraph 32 that the Appellant “has fabricated the core of his claim to form what I find to be a false asylum claim, for the reasons given below”.  It was contended that the judge had speculated in making findings, had failed to provide adequate reasons, and had ignored material evidence.  </w:t>
      </w:r>
    </w:p>
    <w:p w14:paraId="119A298B" w14:textId="228715C7" w:rsidR="00CA02F3" w:rsidRDefault="00A12F19" w:rsidP="0042402D">
      <w:pPr>
        <w:numPr>
          <w:ilvl w:val="0"/>
          <w:numId w:val="3"/>
        </w:numPr>
        <w:spacing w:before="160"/>
        <w:jc w:val="both"/>
        <w:rPr>
          <w:rFonts w:ascii="Book Antiqua" w:hAnsi="Book Antiqua" w:cs="Arial"/>
        </w:rPr>
      </w:pPr>
      <w:r>
        <w:rPr>
          <w:rFonts w:ascii="Book Antiqua" w:hAnsi="Book Antiqua" w:cs="Arial"/>
        </w:rPr>
        <w:t xml:space="preserve">Permission to appeal was initially refused by Judge Saffer of the FtT who found that the grounds amounted to a disagreement with findings made by the judge but did not disclose </w:t>
      </w:r>
      <w:r w:rsidR="00650B64">
        <w:rPr>
          <w:rFonts w:ascii="Book Antiqua" w:hAnsi="Book Antiqua" w:cs="Arial"/>
        </w:rPr>
        <w:t xml:space="preserve">a </w:t>
      </w:r>
      <w:r>
        <w:rPr>
          <w:rFonts w:ascii="Book Antiqua" w:hAnsi="Book Antiqua" w:cs="Arial"/>
        </w:rPr>
        <w:t>material error of law.  The application for permission was renewed, and Upper Tribunal Judge Kebede granted permission to appeal in the following terms;</w:t>
      </w:r>
    </w:p>
    <w:p w14:paraId="62386FF8" w14:textId="5F8C0A04" w:rsidR="00A12F19" w:rsidRPr="001A5F0D" w:rsidRDefault="00A12F19" w:rsidP="0042402D">
      <w:pPr>
        <w:spacing w:before="120"/>
        <w:ind w:left="1134" w:right="567"/>
        <w:jc w:val="both"/>
        <w:rPr>
          <w:rFonts w:ascii="Book Antiqua" w:hAnsi="Book Antiqua" w:cs="Arial"/>
          <w:sz w:val="22"/>
          <w:szCs w:val="22"/>
        </w:rPr>
      </w:pPr>
      <w:r w:rsidRPr="001A5F0D">
        <w:rPr>
          <w:rFonts w:ascii="Book Antiqua" w:hAnsi="Book Antiqua" w:cs="Arial"/>
          <w:sz w:val="22"/>
          <w:szCs w:val="22"/>
        </w:rPr>
        <w:t xml:space="preserve">“Arguably the judge failed to make any clear finding as to whether or not she accepted the Appellant’s claim to have been detained in 2016 and there is, accordingly, some arguable merit in the assertion in the grounds at [25] that that impacted upon her assessment of risk on return.  There is also arguable merit in the assertion in the grounds that the judge’s adverse findings were based solely </w:t>
      </w:r>
      <w:r w:rsidR="00650B64">
        <w:rPr>
          <w:rFonts w:ascii="Book Antiqua" w:hAnsi="Book Antiqua" w:cs="Arial"/>
          <w:sz w:val="22"/>
          <w:szCs w:val="22"/>
        </w:rPr>
        <w:t>up</w:t>
      </w:r>
      <w:r w:rsidRPr="001A5F0D">
        <w:rPr>
          <w:rFonts w:ascii="Book Antiqua" w:hAnsi="Book Antiqua" w:cs="Arial"/>
          <w:sz w:val="22"/>
          <w:szCs w:val="22"/>
        </w:rPr>
        <w:t>on her view of what was plausible.  All grounds are arguable”.</w:t>
      </w:r>
    </w:p>
    <w:p w14:paraId="2A2C58F5" w14:textId="77777777" w:rsidR="001A5F0D" w:rsidRDefault="001A5F0D" w:rsidP="0042402D">
      <w:pPr>
        <w:numPr>
          <w:ilvl w:val="0"/>
          <w:numId w:val="3"/>
        </w:numPr>
        <w:spacing w:before="160"/>
        <w:jc w:val="both"/>
        <w:rPr>
          <w:rFonts w:ascii="Book Antiqua" w:hAnsi="Book Antiqua" w:cs="Arial"/>
        </w:rPr>
      </w:pPr>
      <w:r>
        <w:rPr>
          <w:rFonts w:ascii="Book Antiqua" w:hAnsi="Book Antiqua" w:cs="Arial"/>
        </w:rPr>
        <w:t>Following the grant of permission the Respondent lodged a response pursuant to rule 24 of the Tribunal Procedure (Upper Tribunal) Rules 2008.  It was contended that the judge directed herself appropriately and provided a detailed and thorough determination, and gave full and sustainable reasons for not accepting the Appellant’s account.</w:t>
      </w:r>
    </w:p>
    <w:p w14:paraId="025D7D02" w14:textId="77777777" w:rsidR="001A5F0D" w:rsidRDefault="001A5F0D" w:rsidP="0042402D">
      <w:pPr>
        <w:numPr>
          <w:ilvl w:val="0"/>
          <w:numId w:val="3"/>
        </w:numPr>
        <w:spacing w:before="160"/>
        <w:jc w:val="both"/>
        <w:rPr>
          <w:rFonts w:ascii="Book Antiqua" w:hAnsi="Book Antiqua" w:cs="Arial"/>
        </w:rPr>
      </w:pPr>
      <w:r>
        <w:rPr>
          <w:rFonts w:ascii="Book Antiqua" w:hAnsi="Book Antiqua" w:cs="Arial"/>
        </w:rPr>
        <w:t>Directions were issued that there should be a hearing before the Upper Tribunal to ascertain whether the FtT had erred in law such that the decision must be set aside.</w:t>
      </w:r>
    </w:p>
    <w:p w14:paraId="57916C93" w14:textId="77777777" w:rsidR="001A5F0D" w:rsidRPr="001A5F0D" w:rsidRDefault="001A5F0D" w:rsidP="0042402D">
      <w:pPr>
        <w:spacing w:before="160"/>
        <w:jc w:val="both"/>
        <w:rPr>
          <w:rFonts w:ascii="Book Antiqua" w:hAnsi="Book Antiqua" w:cs="Arial"/>
          <w:b/>
        </w:rPr>
      </w:pPr>
      <w:r>
        <w:rPr>
          <w:rFonts w:ascii="Book Antiqua" w:hAnsi="Book Antiqua" w:cs="Arial"/>
          <w:b/>
        </w:rPr>
        <w:t>The Upper Tribunal Hearing</w:t>
      </w:r>
    </w:p>
    <w:p w14:paraId="00FF1BC0" w14:textId="77777777" w:rsidR="001A5F0D" w:rsidRDefault="001A5F0D" w:rsidP="0042402D">
      <w:pPr>
        <w:numPr>
          <w:ilvl w:val="0"/>
          <w:numId w:val="3"/>
        </w:numPr>
        <w:spacing w:before="160"/>
        <w:jc w:val="both"/>
        <w:rPr>
          <w:rFonts w:ascii="Book Antiqua" w:hAnsi="Book Antiqua" w:cs="Arial"/>
        </w:rPr>
      </w:pPr>
      <w:r>
        <w:rPr>
          <w:rFonts w:ascii="Book Antiqua" w:hAnsi="Book Antiqua" w:cs="Arial"/>
        </w:rPr>
        <w:t xml:space="preserve">Mr Ceesay relied upon the grounds contained within the application for permission to appeal.  </w:t>
      </w:r>
    </w:p>
    <w:p w14:paraId="55D83EC9" w14:textId="77777777" w:rsidR="00A12F19" w:rsidRDefault="001A5F0D" w:rsidP="0042402D">
      <w:pPr>
        <w:numPr>
          <w:ilvl w:val="0"/>
          <w:numId w:val="3"/>
        </w:numPr>
        <w:spacing w:before="160"/>
        <w:jc w:val="both"/>
        <w:rPr>
          <w:rFonts w:ascii="Book Antiqua" w:hAnsi="Book Antiqua" w:cs="Arial"/>
        </w:rPr>
      </w:pPr>
      <w:r>
        <w:rPr>
          <w:rFonts w:ascii="Book Antiqua" w:hAnsi="Book Antiqua" w:cs="Arial"/>
        </w:rPr>
        <w:t>Mr Bates relied upon the rule 24 response.  It was submitted that the judge had taken into account all material evidence and provided reasons for findings.  The judge had considered the appropriate case law.  It was submitted that the judge had considered the Appellant’s case at its highest and had not erred in law.</w:t>
      </w:r>
    </w:p>
    <w:p w14:paraId="63ED7B09" w14:textId="77777777" w:rsidR="001A5F0D" w:rsidRDefault="001A5F0D" w:rsidP="0042402D">
      <w:pPr>
        <w:numPr>
          <w:ilvl w:val="0"/>
          <w:numId w:val="3"/>
        </w:numPr>
        <w:spacing w:before="160"/>
        <w:jc w:val="both"/>
        <w:rPr>
          <w:rFonts w:ascii="Book Antiqua" w:hAnsi="Book Antiqua" w:cs="Arial"/>
        </w:rPr>
      </w:pPr>
      <w:r>
        <w:rPr>
          <w:rFonts w:ascii="Book Antiqua" w:hAnsi="Book Antiqua" w:cs="Arial"/>
        </w:rPr>
        <w:t xml:space="preserve">In response, Mr Ceesay pointed out that the Appellant had made Facebook postings, and even if those postings were made in bad faith, which was not accepted, that was irrelevant because the postings would come to the attention of the Iranian authorities which would put the Appellant at risk.  Mr Ceesay submitted that the Appellant had </w:t>
      </w:r>
      <w:r>
        <w:rPr>
          <w:rFonts w:ascii="Book Antiqua" w:hAnsi="Book Antiqua" w:cs="Arial"/>
        </w:rPr>
        <w:lastRenderedPageBreak/>
        <w:t xml:space="preserve">a profile in Iran which would bring him to the adverse attention of the authorities if he returned, as he had previously been detained.  </w:t>
      </w:r>
    </w:p>
    <w:p w14:paraId="289601A8" w14:textId="77777777" w:rsidR="001A5F0D" w:rsidRPr="001A5F0D" w:rsidRDefault="001A5F0D" w:rsidP="0042402D">
      <w:pPr>
        <w:spacing w:before="160"/>
        <w:jc w:val="both"/>
        <w:rPr>
          <w:rFonts w:ascii="Book Antiqua" w:hAnsi="Book Antiqua" w:cs="Arial"/>
          <w:b/>
        </w:rPr>
      </w:pPr>
      <w:r>
        <w:rPr>
          <w:rFonts w:ascii="Book Antiqua" w:hAnsi="Book Antiqua" w:cs="Arial"/>
          <w:b/>
        </w:rPr>
        <w:t>My Conclusions and Reasons</w:t>
      </w:r>
    </w:p>
    <w:p w14:paraId="1DCA4766" w14:textId="77777777" w:rsidR="001A5F0D" w:rsidRDefault="00EA0680" w:rsidP="0042402D">
      <w:pPr>
        <w:numPr>
          <w:ilvl w:val="0"/>
          <w:numId w:val="3"/>
        </w:numPr>
        <w:spacing w:before="160"/>
        <w:jc w:val="both"/>
        <w:rPr>
          <w:rFonts w:ascii="Book Antiqua" w:hAnsi="Book Antiqua" w:cs="Arial"/>
        </w:rPr>
      </w:pPr>
      <w:r>
        <w:rPr>
          <w:rFonts w:ascii="Book Antiqua" w:hAnsi="Book Antiqua" w:cs="Arial"/>
        </w:rPr>
        <w:t xml:space="preserve">In considering an appeal, an FtT Judge must make findings and provide reasons for those findings, so that the party to the appeal who has lost, can understand why the appeal was lost.  In my view the judge in this case has fulfilled that obligation.  </w:t>
      </w:r>
    </w:p>
    <w:p w14:paraId="7421E4D3" w14:textId="77777777" w:rsidR="00EA0680" w:rsidRDefault="00EA0680" w:rsidP="0042402D">
      <w:pPr>
        <w:numPr>
          <w:ilvl w:val="0"/>
          <w:numId w:val="3"/>
        </w:numPr>
        <w:spacing w:before="160"/>
        <w:jc w:val="both"/>
        <w:rPr>
          <w:rFonts w:ascii="Book Antiqua" w:hAnsi="Book Antiqua" w:cs="Arial"/>
        </w:rPr>
      </w:pPr>
      <w:r>
        <w:rPr>
          <w:rFonts w:ascii="Book Antiqua" w:hAnsi="Book Antiqua" w:cs="Arial"/>
        </w:rPr>
        <w:t xml:space="preserve">What is clear from reading the FtT decision is that the judge did not believe the Appellant.  The nature of the challenge is that the judge has not provided reasons for findings made, and has not taken into account all the evidence, and has speculated rather than making findings based on evidence.  </w:t>
      </w:r>
    </w:p>
    <w:p w14:paraId="53546B83" w14:textId="77777777" w:rsidR="00EA0680" w:rsidRDefault="00EA0680" w:rsidP="0042402D">
      <w:pPr>
        <w:numPr>
          <w:ilvl w:val="0"/>
          <w:numId w:val="3"/>
        </w:numPr>
        <w:spacing w:before="160"/>
        <w:jc w:val="both"/>
        <w:rPr>
          <w:rFonts w:ascii="Book Antiqua" w:hAnsi="Book Antiqua" w:cs="Arial"/>
        </w:rPr>
      </w:pPr>
      <w:r>
        <w:rPr>
          <w:rFonts w:ascii="Book Antiqua" w:hAnsi="Book Antiqua" w:cs="Arial"/>
        </w:rPr>
        <w:t>I do not find that the judge has materially erred in law for the following reasons.</w:t>
      </w:r>
    </w:p>
    <w:p w14:paraId="68AD59FA" w14:textId="77777777" w:rsidR="00EA0680" w:rsidRDefault="00EA0680" w:rsidP="0042402D">
      <w:pPr>
        <w:numPr>
          <w:ilvl w:val="0"/>
          <w:numId w:val="3"/>
        </w:numPr>
        <w:spacing w:before="160"/>
        <w:jc w:val="both"/>
        <w:rPr>
          <w:rFonts w:ascii="Book Antiqua" w:hAnsi="Book Antiqua" w:cs="Arial"/>
        </w:rPr>
      </w:pPr>
      <w:r>
        <w:rPr>
          <w:rFonts w:ascii="Book Antiqua" w:hAnsi="Book Antiqua" w:cs="Arial"/>
        </w:rPr>
        <w:t xml:space="preserve">It is not suggested that </w:t>
      </w:r>
      <w:r w:rsidRPr="00931312">
        <w:rPr>
          <w:rFonts w:ascii="Book Antiqua" w:hAnsi="Book Antiqua" w:cs="Arial"/>
          <w:u w:val="single"/>
        </w:rPr>
        <w:t>HK</w:t>
      </w:r>
      <w:r>
        <w:rPr>
          <w:rFonts w:ascii="Book Antiqua" w:hAnsi="Book Antiqua" w:cs="Arial"/>
        </w:rPr>
        <w:t xml:space="preserve"> is authority for suggesting that a judge must believe everything which is asserted by an Appellant.  That decision does not state that a judge cannot consider credibility and plausibility.  The decision does give guidance to confirm that decision makers must not consider risk based on their own perceptions of reasonability.  If a story seems inherently unlikely this does not mean that it is untrue, and the ingredients of the story and the story as a whole have to be considered against available country evidence, and expert evidence if there is any, and other factors such as consistency, and other factual evidence where there is any.</w:t>
      </w:r>
    </w:p>
    <w:p w14:paraId="5D61C068" w14:textId="75BDEB87" w:rsidR="00EA0680" w:rsidRDefault="00EA0680" w:rsidP="0042402D">
      <w:pPr>
        <w:numPr>
          <w:ilvl w:val="0"/>
          <w:numId w:val="3"/>
        </w:numPr>
        <w:spacing w:before="160"/>
        <w:jc w:val="both"/>
        <w:rPr>
          <w:rFonts w:ascii="Book Antiqua" w:hAnsi="Book Antiqua" w:cs="Arial"/>
        </w:rPr>
      </w:pPr>
      <w:r>
        <w:rPr>
          <w:rFonts w:ascii="Book Antiqua" w:hAnsi="Book Antiqua" w:cs="Arial"/>
        </w:rPr>
        <w:t>The findings made by the judge commence at paragraph 30 in which the judge confirms having looked at the evidence in the round, and at paragraph 31 the judge finds that the Appellant is an Iranian national, which was accepted by the Respondent.  At paragraph 32 the judge records that the account lacks credibility and finds that the Appellant would not be at risk and thereafter gives reasons.</w:t>
      </w:r>
    </w:p>
    <w:p w14:paraId="0A1F47E7" w14:textId="1D6DE331" w:rsidR="00EA0680" w:rsidRDefault="00EA0680" w:rsidP="0042402D">
      <w:pPr>
        <w:numPr>
          <w:ilvl w:val="0"/>
          <w:numId w:val="3"/>
        </w:numPr>
        <w:spacing w:before="160"/>
        <w:jc w:val="both"/>
        <w:rPr>
          <w:rFonts w:ascii="Book Antiqua" w:hAnsi="Book Antiqua" w:cs="Arial"/>
        </w:rPr>
      </w:pPr>
      <w:r>
        <w:rPr>
          <w:rFonts w:ascii="Book Antiqua" w:hAnsi="Book Antiqua" w:cs="Arial"/>
        </w:rPr>
        <w:t>At paragraph 33 the judge deals with the core of the Appellant’s account, which is that his uncle asked the Appellant and the Appellant’s cousin (the uncle’s son) to smuggle t</w:t>
      </w:r>
      <w:r w:rsidR="00931312">
        <w:rPr>
          <w:rFonts w:ascii="Book Antiqua" w:hAnsi="Book Antiqua" w:cs="Arial"/>
        </w:rPr>
        <w:t>w</w:t>
      </w:r>
      <w:r>
        <w:rPr>
          <w:rFonts w:ascii="Book Antiqua" w:hAnsi="Book Antiqua" w:cs="Arial"/>
        </w:rPr>
        <w:t xml:space="preserve">o KDPI members across the border.  The judge finds this to be lacking in credibility on the basis that the uncle would have known that the men were KDPI members, and the uncle was therefore requesting his own son and the Appellant to undertake an act, which would have placed them at risk of detention and possibly death if apprehended by the authorities.  The Appellant’s case was that his uncle did not tell him that the men were KDPI.  The judge found that there was no reasonable explanation as to why the Appellant’s uncle would have placed the Appellant at such risk, and also placed his son at such risk. </w:t>
      </w:r>
    </w:p>
    <w:p w14:paraId="6D160E88" w14:textId="2DA5BAB6" w:rsidR="00EA0680" w:rsidRDefault="00EA0680" w:rsidP="0042402D">
      <w:pPr>
        <w:numPr>
          <w:ilvl w:val="0"/>
          <w:numId w:val="3"/>
        </w:numPr>
        <w:spacing w:before="160"/>
        <w:jc w:val="both"/>
        <w:rPr>
          <w:rFonts w:ascii="Book Antiqua" w:hAnsi="Book Antiqua" w:cs="Arial"/>
        </w:rPr>
      </w:pPr>
      <w:r>
        <w:rPr>
          <w:rFonts w:ascii="Book Antiqua" w:hAnsi="Book Antiqua" w:cs="Arial"/>
        </w:rPr>
        <w:t xml:space="preserve">I find no error of law in the judge’s conclusion that this was not credible.  I do not find that this is a case of </w:t>
      </w:r>
      <w:r w:rsidR="0047736E">
        <w:rPr>
          <w:rFonts w:ascii="Book Antiqua" w:hAnsi="Book Antiqua" w:cs="Arial"/>
        </w:rPr>
        <w:t>a</w:t>
      </w:r>
      <w:r>
        <w:rPr>
          <w:rFonts w:ascii="Book Antiqua" w:hAnsi="Book Antiqua" w:cs="Arial"/>
        </w:rPr>
        <w:t xml:space="preserve"> UK judge re-characterising the nature of the risk based on her</w:t>
      </w:r>
      <w:r w:rsidR="00931312">
        <w:rPr>
          <w:rFonts w:ascii="Book Antiqua" w:hAnsi="Book Antiqua" w:cs="Arial"/>
        </w:rPr>
        <w:t xml:space="preserve"> own</w:t>
      </w:r>
      <w:r>
        <w:rPr>
          <w:rFonts w:ascii="Book Antiqua" w:hAnsi="Book Antiqua" w:cs="Arial"/>
        </w:rPr>
        <w:t xml:space="preserve"> perceptions of reasonability.  This is a case where the judge is entitled to conclude that no reasonable explanation has been given for the uncle putting his own son and the Appellant at such risk.  The finding of incredibility was open to the judge to make on that evidence.  </w:t>
      </w:r>
    </w:p>
    <w:p w14:paraId="0238584B" w14:textId="7D87927A" w:rsidR="00EA0680" w:rsidRDefault="00EA0680" w:rsidP="0042402D">
      <w:pPr>
        <w:numPr>
          <w:ilvl w:val="0"/>
          <w:numId w:val="3"/>
        </w:numPr>
        <w:spacing w:before="160"/>
        <w:jc w:val="both"/>
        <w:rPr>
          <w:rFonts w:ascii="Book Antiqua" w:hAnsi="Book Antiqua" w:cs="Arial"/>
        </w:rPr>
      </w:pPr>
      <w:r>
        <w:rPr>
          <w:rFonts w:ascii="Book Antiqua" w:hAnsi="Book Antiqua" w:cs="Arial"/>
        </w:rPr>
        <w:t xml:space="preserve">At paragraph 34, which is also the subject of challenge from the Appellant, the judge makes findings on the claim that there was an ambush and the two KDPI men were </w:t>
      </w:r>
      <w:r>
        <w:rPr>
          <w:rFonts w:ascii="Book Antiqua" w:hAnsi="Book Antiqua" w:cs="Arial"/>
        </w:rPr>
        <w:lastRenderedPageBreak/>
        <w:t xml:space="preserve">involved in a gunfight with six armed </w:t>
      </w:r>
      <w:r w:rsidR="00F54EFE">
        <w:rPr>
          <w:rFonts w:ascii="Book Antiqua" w:hAnsi="Book Antiqua" w:cs="Arial"/>
        </w:rPr>
        <w:t>P</w:t>
      </w:r>
      <w:r>
        <w:rPr>
          <w:rFonts w:ascii="Book Antiqua" w:hAnsi="Book Antiqua" w:cs="Arial"/>
        </w:rPr>
        <w:t>as</w:t>
      </w:r>
      <w:r w:rsidR="00F54EFE">
        <w:rPr>
          <w:rFonts w:ascii="Book Antiqua" w:hAnsi="Book Antiqua" w:cs="Arial"/>
        </w:rPr>
        <w:t>d</w:t>
      </w:r>
      <w:r>
        <w:rPr>
          <w:rFonts w:ascii="Book Antiqua" w:hAnsi="Book Antiqua" w:cs="Arial"/>
        </w:rPr>
        <w:t xml:space="preserve">aran.  The judge finds it incredible that the Appellant was able to escape to a neighbouring village, and finds it incredible that the Appellant was able to stay in a neighbouring village without the </w:t>
      </w:r>
      <w:r w:rsidR="00F54EFE">
        <w:rPr>
          <w:rFonts w:ascii="Book Antiqua" w:hAnsi="Book Antiqua" w:cs="Arial"/>
        </w:rPr>
        <w:t>P</w:t>
      </w:r>
      <w:r>
        <w:rPr>
          <w:rFonts w:ascii="Book Antiqua" w:hAnsi="Book Antiqua" w:cs="Arial"/>
        </w:rPr>
        <w:t>as</w:t>
      </w:r>
      <w:r w:rsidR="00F54EFE">
        <w:rPr>
          <w:rFonts w:ascii="Book Antiqua" w:hAnsi="Book Antiqua" w:cs="Arial"/>
        </w:rPr>
        <w:t>d</w:t>
      </w:r>
      <w:r>
        <w:rPr>
          <w:rFonts w:ascii="Book Antiqua" w:hAnsi="Book Antiqua" w:cs="Arial"/>
        </w:rPr>
        <w:t>aran searching for him.  The point is that the judge did not accept that the Appellant was in fact escorting two KDPI men,</w:t>
      </w:r>
      <w:r w:rsidR="00F54EFE">
        <w:rPr>
          <w:rFonts w:ascii="Book Antiqua" w:hAnsi="Book Antiqua" w:cs="Arial"/>
        </w:rPr>
        <w:t xml:space="preserve"> and therefore the</w:t>
      </w:r>
      <w:r>
        <w:rPr>
          <w:rFonts w:ascii="Book Antiqua" w:hAnsi="Book Antiqua" w:cs="Arial"/>
        </w:rPr>
        <w:t xml:space="preserve"> gunfight did not take place.</w:t>
      </w:r>
    </w:p>
    <w:p w14:paraId="746A143A" w14:textId="4BB33230" w:rsidR="00A60BBA" w:rsidRDefault="00EA0680" w:rsidP="0042402D">
      <w:pPr>
        <w:numPr>
          <w:ilvl w:val="0"/>
          <w:numId w:val="3"/>
        </w:numPr>
        <w:spacing w:before="160"/>
        <w:jc w:val="both"/>
        <w:rPr>
          <w:rFonts w:ascii="Book Antiqua" w:hAnsi="Book Antiqua" w:cs="Arial"/>
        </w:rPr>
      </w:pPr>
      <w:r>
        <w:rPr>
          <w:rFonts w:ascii="Book Antiqua" w:hAnsi="Book Antiqua" w:cs="Arial"/>
        </w:rPr>
        <w:t xml:space="preserve">Paragraph 35 is also challenged in which the judge does not accept that days after the incident, the Appellant was able to speak freely to his uncle, although the uncle had told the Appellant that his cousin had been detained and there was a risk that the cousin would give the Appellant’s name and blame him for everything.  The judge found it reasonable </w:t>
      </w:r>
      <w:r w:rsidR="00A60BBA">
        <w:rPr>
          <w:rFonts w:ascii="Book Antiqua" w:hAnsi="Book Antiqua" w:cs="Arial"/>
        </w:rPr>
        <w:t>to conclude that if the authorities had detained the cousin, the uncle w</w:t>
      </w:r>
      <w:r w:rsidR="00A92AAE">
        <w:rPr>
          <w:rFonts w:ascii="Book Antiqua" w:hAnsi="Book Antiqua" w:cs="Arial"/>
        </w:rPr>
        <w:t>ould</w:t>
      </w:r>
      <w:r w:rsidR="00A60BBA">
        <w:rPr>
          <w:rFonts w:ascii="Book Antiqua" w:hAnsi="Book Antiqua" w:cs="Arial"/>
        </w:rPr>
        <w:t xml:space="preserve"> also have been implicated in the incident and apprehended.  That in my view is a finding open to the judge to make.  I do not find that this is speculation.  The judge must make findings upon evidence that is contested.  If the cousin had been detained, then it is reasonable to find that his father, the Appellant’s uncle, would be questioned and possibly implicated in helping the KDPI.  It was the uncle who had allegedly arranged for the KDPI men to cross the border.  The judge was entitled to question why it would be safe for the uncle to remain in Iran but necessary for arrangements to be made for the Appellant to leave.</w:t>
      </w:r>
    </w:p>
    <w:p w14:paraId="0A6B2E9E" w14:textId="77777777" w:rsidR="00A60BBA" w:rsidRDefault="00A60BBA" w:rsidP="0042402D">
      <w:pPr>
        <w:numPr>
          <w:ilvl w:val="0"/>
          <w:numId w:val="3"/>
        </w:numPr>
        <w:spacing w:before="160"/>
        <w:jc w:val="both"/>
        <w:rPr>
          <w:rFonts w:ascii="Book Antiqua" w:hAnsi="Book Antiqua" w:cs="Arial"/>
        </w:rPr>
      </w:pPr>
      <w:r>
        <w:rPr>
          <w:rFonts w:ascii="Book Antiqua" w:hAnsi="Book Antiqua" w:cs="Arial"/>
        </w:rPr>
        <w:t xml:space="preserve">I do not accept that the judge has erred in assessing credibility.  Findings have been made and sustainable reasons have been given for those findings.  The judge has not failed to consider material evidence.  </w:t>
      </w:r>
    </w:p>
    <w:p w14:paraId="5113E716" w14:textId="19CA11E2" w:rsidR="00A60BBA" w:rsidRDefault="00A60BBA" w:rsidP="0042402D">
      <w:pPr>
        <w:numPr>
          <w:ilvl w:val="0"/>
          <w:numId w:val="3"/>
        </w:numPr>
        <w:spacing w:before="160"/>
        <w:jc w:val="both"/>
        <w:rPr>
          <w:rFonts w:ascii="Book Antiqua" w:hAnsi="Book Antiqua" w:cs="Arial"/>
        </w:rPr>
      </w:pPr>
      <w:r>
        <w:rPr>
          <w:rFonts w:ascii="Book Antiqua" w:hAnsi="Book Antiqua" w:cs="Arial"/>
        </w:rPr>
        <w:t xml:space="preserve">Paragraph 36 contains the conclusion by the judge in relation to </w:t>
      </w:r>
      <w:r w:rsidR="00E750D8">
        <w:rPr>
          <w:rFonts w:ascii="Book Antiqua" w:hAnsi="Book Antiqua" w:cs="Arial"/>
        </w:rPr>
        <w:t xml:space="preserve">section </w:t>
      </w:r>
      <w:r>
        <w:rPr>
          <w:rFonts w:ascii="Book Antiqua" w:hAnsi="Book Antiqua" w:cs="Arial"/>
        </w:rPr>
        <w:t xml:space="preserve">8 of the Asylum and Immigration (Treatment of Claimants, etc.) Act 2004.  The judge finds the Appellant had ample opportunity to seek protection in Italy </w:t>
      </w:r>
      <w:r w:rsidR="00725E45">
        <w:rPr>
          <w:rFonts w:ascii="Book Antiqua" w:hAnsi="Book Antiqua" w:cs="Arial"/>
        </w:rPr>
        <w:t>and</w:t>
      </w:r>
      <w:r>
        <w:rPr>
          <w:rFonts w:ascii="Book Antiqua" w:hAnsi="Book Antiqua" w:cs="Arial"/>
        </w:rPr>
        <w:t xml:space="preserve"> France.  The judge takes into account the Appellant’s claim that he did not do so because he was under the control of an agent.  The judge rejects that explanation, finding it reasonably likely that agents would be willing to take less risk and have less expense by depositing the Appellant in one of those safe countries, rather than travelling further to the UK.  That is a finding open to the judge to make.  It was open to the judge to conclude that the Appellant did not claim asylum in a safe country, because he had no fear of return to Iran, but wished to travel to the UK for reasons other than safety.  </w:t>
      </w:r>
    </w:p>
    <w:p w14:paraId="469FE37A" w14:textId="05BB8D09" w:rsidR="00EA0680" w:rsidRDefault="00A60BBA" w:rsidP="0042402D">
      <w:pPr>
        <w:numPr>
          <w:ilvl w:val="0"/>
          <w:numId w:val="3"/>
        </w:numPr>
        <w:spacing w:before="160"/>
        <w:jc w:val="both"/>
        <w:rPr>
          <w:rFonts w:ascii="Book Antiqua" w:hAnsi="Book Antiqua" w:cs="Arial"/>
        </w:rPr>
      </w:pPr>
      <w:r>
        <w:rPr>
          <w:rFonts w:ascii="Book Antiqua" w:hAnsi="Book Antiqua" w:cs="Arial"/>
        </w:rPr>
        <w:t xml:space="preserve">At paragraphs 37–38, the judge considers the Appellant’s claim to be at risk because of Facebook posts that he has made since arriving in the UK.  The judge notes that the Appellant has throughout his claim, contended that he is illiterate and that his Kurdish friends in the UK have made the posts on his behalf.  The judge was entitled to note that there was no evidence from the friends to support this claim and it was open to the judge to find that the Appellant would not be able to use Facebook without the ability to read. </w:t>
      </w:r>
    </w:p>
    <w:p w14:paraId="543D3727" w14:textId="2B74E8B0" w:rsidR="00A60BBA" w:rsidRDefault="00A60BBA" w:rsidP="0042402D">
      <w:pPr>
        <w:numPr>
          <w:ilvl w:val="0"/>
          <w:numId w:val="3"/>
        </w:numPr>
        <w:spacing w:before="160"/>
        <w:jc w:val="both"/>
        <w:rPr>
          <w:rFonts w:ascii="Book Antiqua" w:hAnsi="Book Antiqua" w:cs="Arial"/>
        </w:rPr>
      </w:pPr>
      <w:r>
        <w:rPr>
          <w:rFonts w:ascii="Book Antiqua" w:hAnsi="Book Antiqua" w:cs="Arial"/>
        </w:rPr>
        <w:t xml:space="preserve">It was also open to the judge to note that the Appellant was not aware if his Facebook account was private or public, as this is relevant as if his intention was to express his freedom of speech and support for the KDPI, he should have known, by discussing it with </w:t>
      </w:r>
      <w:r w:rsidR="00E750D8">
        <w:rPr>
          <w:rFonts w:ascii="Book Antiqua" w:hAnsi="Book Antiqua" w:cs="Arial"/>
        </w:rPr>
        <w:t xml:space="preserve">his </w:t>
      </w:r>
      <w:r>
        <w:rPr>
          <w:rFonts w:ascii="Book Antiqua" w:hAnsi="Book Antiqua" w:cs="Arial"/>
        </w:rPr>
        <w:t xml:space="preserve">friends, </w:t>
      </w:r>
      <w:r w:rsidR="000339B3">
        <w:rPr>
          <w:rFonts w:ascii="Book Antiqua" w:hAnsi="Book Antiqua" w:cs="Arial"/>
        </w:rPr>
        <w:t>whether</w:t>
      </w:r>
      <w:r>
        <w:rPr>
          <w:rFonts w:ascii="Book Antiqua" w:hAnsi="Book Antiqua" w:cs="Arial"/>
        </w:rPr>
        <w:t xml:space="preserve"> the account was public or private.  </w:t>
      </w:r>
    </w:p>
    <w:p w14:paraId="36AEBFAE" w14:textId="77777777" w:rsidR="00A60BBA" w:rsidRDefault="00A60BBA" w:rsidP="0042402D">
      <w:pPr>
        <w:numPr>
          <w:ilvl w:val="0"/>
          <w:numId w:val="3"/>
        </w:numPr>
        <w:spacing w:before="160"/>
        <w:jc w:val="both"/>
        <w:rPr>
          <w:rFonts w:ascii="Book Antiqua" w:hAnsi="Book Antiqua" w:cs="Arial"/>
        </w:rPr>
      </w:pPr>
      <w:r>
        <w:rPr>
          <w:rFonts w:ascii="Book Antiqua" w:hAnsi="Book Antiqua" w:cs="Arial"/>
        </w:rPr>
        <w:lastRenderedPageBreak/>
        <w:t>It is pertinent that the judge finds at paragraph 38 that evidence was not submitted to show, to the lower standard of proof, what had been posted had come to the attention of the Iranian regime or was likely to do so.  Again, my view is that this is a relevant finding, and one open to the judge to make.</w:t>
      </w:r>
    </w:p>
    <w:p w14:paraId="0D90E8A2" w14:textId="4CA3C111" w:rsidR="009101D6" w:rsidRDefault="00A60BBA" w:rsidP="0042402D">
      <w:pPr>
        <w:numPr>
          <w:ilvl w:val="0"/>
          <w:numId w:val="3"/>
        </w:numPr>
        <w:spacing w:before="160"/>
        <w:jc w:val="both"/>
        <w:rPr>
          <w:rFonts w:ascii="Book Antiqua" w:hAnsi="Book Antiqua" w:cs="Arial"/>
        </w:rPr>
      </w:pPr>
      <w:r>
        <w:rPr>
          <w:rFonts w:ascii="Book Antiqua" w:hAnsi="Book Antiqua" w:cs="Arial"/>
        </w:rPr>
        <w:t xml:space="preserve">With reference to detention, my view is that the judge accepts the Appellant was detained because at paragraph 39, the judge makes reference to the Appellant being released, which indicates that he was of no interest to the authorities.  The judge was entitled to note that the Appellant had in fact given different accounts as to why he was detained.  In answer to question 5.4 of his screening interview he explained that he had been arrested the previous year because he had illegal goods and that he was detained for one week.  </w:t>
      </w:r>
      <w:r w:rsidR="009101D6">
        <w:rPr>
          <w:rFonts w:ascii="Book Antiqua" w:hAnsi="Book Antiqua" w:cs="Arial"/>
        </w:rPr>
        <w:t>However, in his witness</w:t>
      </w:r>
      <w:r w:rsidR="00276B10">
        <w:rPr>
          <w:rFonts w:ascii="Book Antiqua" w:hAnsi="Book Antiqua" w:cs="Arial"/>
        </w:rPr>
        <w:t xml:space="preserve"> statement</w:t>
      </w:r>
      <w:r w:rsidR="009101D6">
        <w:rPr>
          <w:rFonts w:ascii="Book Antiqua" w:hAnsi="Book Antiqua" w:cs="Arial"/>
        </w:rPr>
        <w:t xml:space="preserve"> which was prepared in November 2017 (the screening interview was in July 2017), the Appellant claims that he was detained because he was accused of being in the KDPI.</w:t>
      </w:r>
    </w:p>
    <w:p w14:paraId="7642D780" w14:textId="77777777" w:rsidR="009101D6" w:rsidRDefault="009101D6" w:rsidP="0042402D">
      <w:pPr>
        <w:numPr>
          <w:ilvl w:val="0"/>
          <w:numId w:val="3"/>
        </w:numPr>
        <w:spacing w:before="160"/>
        <w:jc w:val="both"/>
        <w:rPr>
          <w:rFonts w:ascii="Book Antiqua" w:hAnsi="Book Antiqua" w:cs="Arial"/>
        </w:rPr>
      </w:pPr>
      <w:r>
        <w:rPr>
          <w:rFonts w:ascii="Book Antiqua" w:hAnsi="Book Antiqua" w:cs="Arial"/>
        </w:rPr>
        <w:t>I therefore conclude that the judge did accept that the Appellant had been detained by the authorities, but not because he was suspected of being involved with the KDPI, and that he was released from that detention without any criminal charge, or any further action from the authorities.</w:t>
      </w:r>
    </w:p>
    <w:p w14:paraId="3CED124F" w14:textId="3ABBACE9" w:rsidR="00E87477" w:rsidRDefault="009101D6" w:rsidP="0042402D">
      <w:pPr>
        <w:numPr>
          <w:ilvl w:val="0"/>
          <w:numId w:val="3"/>
        </w:numPr>
        <w:spacing w:before="160"/>
        <w:jc w:val="both"/>
        <w:rPr>
          <w:rFonts w:ascii="Book Antiqua" w:hAnsi="Book Antiqua" w:cs="Arial"/>
        </w:rPr>
      </w:pPr>
      <w:r>
        <w:rPr>
          <w:rFonts w:ascii="Book Antiqua" w:hAnsi="Book Antiqua" w:cs="Arial"/>
        </w:rPr>
        <w:t xml:space="preserve">The judge was therefore entitled when considering risk on return, and in considering </w:t>
      </w:r>
      <w:r w:rsidRPr="009101D6">
        <w:rPr>
          <w:rFonts w:ascii="Book Antiqua" w:hAnsi="Book Antiqua" w:cs="Arial"/>
          <w:u w:val="single"/>
        </w:rPr>
        <w:t>SSH and HR</w:t>
      </w:r>
      <w:r>
        <w:rPr>
          <w:rFonts w:ascii="Book Antiqua" w:hAnsi="Book Antiqua" w:cs="Arial"/>
        </w:rPr>
        <w:t xml:space="preserve"> Iran CG [2016] UKUT 00308 (IAC) to conclude that the Iranian authorities had no adverse interest in the Appellant, and that he would not be at risk on return because he had left Iran illegally, </w:t>
      </w:r>
      <w:r w:rsidR="00E87477">
        <w:rPr>
          <w:rFonts w:ascii="Book Antiqua" w:hAnsi="Book Antiqua" w:cs="Arial"/>
        </w:rPr>
        <w:t>and was a failed asylum seeker.</w:t>
      </w:r>
    </w:p>
    <w:p w14:paraId="071E32CB" w14:textId="77736A01" w:rsidR="00A60BBA" w:rsidRPr="00F5664C" w:rsidRDefault="00E87477" w:rsidP="0042402D">
      <w:pPr>
        <w:numPr>
          <w:ilvl w:val="0"/>
          <w:numId w:val="3"/>
        </w:numPr>
        <w:spacing w:before="160"/>
        <w:jc w:val="both"/>
        <w:rPr>
          <w:rFonts w:ascii="Book Antiqua" w:hAnsi="Book Antiqua" w:cs="Arial"/>
        </w:rPr>
      </w:pPr>
      <w:r>
        <w:rPr>
          <w:rFonts w:ascii="Book Antiqua" w:hAnsi="Book Antiqua" w:cs="Arial"/>
        </w:rPr>
        <w:t xml:space="preserve">In conclusion, I find that the grounds upon which permission to appeal was granted, disclose a disagreement with the findings made by the judge, but do not disclose a material error of law.  </w:t>
      </w:r>
      <w:r w:rsidR="00A60BBA">
        <w:rPr>
          <w:rFonts w:ascii="Book Antiqua" w:hAnsi="Book Antiqua" w:cs="Arial"/>
        </w:rPr>
        <w:t xml:space="preserve"> </w:t>
      </w:r>
    </w:p>
    <w:p w14:paraId="7EE69BEE" w14:textId="77777777" w:rsidR="00F13D39" w:rsidRPr="00F13D39" w:rsidRDefault="00F13D39" w:rsidP="0042402D">
      <w:pPr>
        <w:spacing w:before="160"/>
        <w:jc w:val="both"/>
        <w:rPr>
          <w:rFonts w:ascii="Book Antiqua" w:hAnsi="Book Antiqua" w:cs="Arial"/>
          <w:b/>
        </w:rPr>
      </w:pPr>
      <w:r w:rsidRPr="00F13D39">
        <w:rPr>
          <w:rFonts w:ascii="Book Antiqua" w:hAnsi="Book Antiqua" w:cs="Arial"/>
          <w:b/>
        </w:rPr>
        <w:t>Notice of Decision</w:t>
      </w:r>
    </w:p>
    <w:p w14:paraId="3E2CD978" w14:textId="228B7182" w:rsidR="00F13D39" w:rsidRDefault="00F13D39" w:rsidP="0042402D">
      <w:pPr>
        <w:spacing w:before="160"/>
        <w:jc w:val="both"/>
        <w:rPr>
          <w:rFonts w:ascii="Book Antiqua" w:hAnsi="Book Antiqua" w:cs="Arial"/>
        </w:rPr>
      </w:pPr>
      <w:r w:rsidRPr="00F13D39">
        <w:rPr>
          <w:rFonts w:ascii="Book Antiqua" w:hAnsi="Book Antiqua" w:cs="Arial"/>
        </w:rPr>
        <w:t>The</w:t>
      </w:r>
      <w:r w:rsidR="00E87477">
        <w:rPr>
          <w:rFonts w:ascii="Book Antiqua" w:hAnsi="Book Antiqua" w:cs="Arial"/>
        </w:rPr>
        <w:t xml:space="preserve"> decision of the FtT does not disclose a material error of law.  I do not set aside the decision.  The</w:t>
      </w:r>
      <w:r w:rsidRPr="00F13D39">
        <w:rPr>
          <w:rFonts w:ascii="Book Antiqua" w:hAnsi="Book Antiqua" w:cs="Arial"/>
        </w:rPr>
        <w:t xml:space="preserve"> appeal is </w:t>
      </w:r>
      <w:r w:rsidR="00E87477">
        <w:rPr>
          <w:rFonts w:ascii="Book Antiqua" w:hAnsi="Book Antiqua" w:cs="Arial"/>
        </w:rPr>
        <w:t>dismissed.</w:t>
      </w:r>
    </w:p>
    <w:p w14:paraId="222C09A5" w14:textId="6F4E79A0" w:rsidR="00E87477" w:rsidRPr="00E87477" w:rsidRDefault="00E87477" w:rsidP="0042402D">
      <w:pPr>
        <w:spacing w:before="160"/>
        <w:jc w:val="both"/>
        <w:rPr>
          <w:rFonts w:ascii="Book Antiqua" w:hAnsi="Book Antiqua" w:cs="Arial"/>
          <w:b/>
        </w:rPr>
      </w:pPr>
      <w:r>
        <w:rPr>
          <w:rFonts w:ascii="Book Antiqua" w:hAnsi="Book Antiqua" w:cs="Arial"/>
          <w:b/>
        </w:rPr>
        <w:t>Anonymity</w:t>
      </w:r>
    </w:p>
    <w:p w14:paraId="32BD935A" w14:textId="2B72A4D6" w:rsidR="00F13D39" w:rsidRPr="00E87477" w:rsidRDefault="00E87477" w:rsidP="0042402D">
      <w:pPr>
        <w:spacing w:before="160"/>
        <w:jc w:val="both"/>
        <w:rPr>
          <w:rFonts w:ascii="Book Antiqua" w:hAnsi="Book Antiqua"/>
        </w:rPr>
      </w:pPr>
      <w:r>
        <w:rPr>
          <w:rFonts w:ascii="Book Antiqua" w:hAnsi="Book Antiqua" w:cs="Arial"/>
        </w:rPr>
        <w:t xml:space="preserve">The </w:t>
      </w:r>
      <w:proofErr w:type="spellStart"/>
      <w:r>
        <w:rPr>
          <w:rFonts w:ascii="Book Antiqua" w:hAnsi="Book Antiqua" w:cs="Arial"/>
        </w:rPr>
        <w:t>FtT</w:t>
      </w:r>
      <w:proofErr w:type="spellEnd"/>
      <w:r>
        <w:rPr>
          <w:rFonts w:ascii="Book Antiqua" w:hAnsi="Book Antiqua" w:cs="Arial"/>
        </w:rPr>
        <w:t xml:space="preserve"> made an </w:t>
      </w:r>
      <w:r w:rsidR="00F13D39" w:rsidRPr="00F13D39">
        <w:rPr>
          <w:rFonts w:ascii="Book Antiqua" w:hAnsi="Book Antiqua" w:cs="Arial"/>
        </w:rPr>
        <w:t xml:space="preserve">anonymity direction </w:t>
      </w:r>
      <w:r>
        <w:rPr>
          <w:rFonts w:ascii="Book Antiqua" w:hAnsi="Book Antiqua" w:cs="Arial"/>
        </w:rPr>
        <w:t>because the Appellant had made a claim for international protection.  Unless and until</w:t>
      </w:r>
      <w:r>
        <w:rPr>
          <w:rFonts w:ascii="Book Antiqua" w:hAnsi="Book Antiqua"/>
        </w:rPr>
        <w:t xml:space="preserve"> </w:t>
      </w:r>
      <w:r w:rsidR="00F13D39" w:rsidRPr="00F13D39">
        <w:rPr>
          <w:rFonts w:ascii="Book Antiqua" w:hAnsi="Book Antiqua"/>
        </w:rPr>
        <w:t xml:space="preserve">a Tribunal or court directs otherwise, the Appellant is granted anonymity.  No report of these proceedings shall directly or indirectly identify </w:t>
      </w:r>
      <w:r>
        <w:rPr>
          <w:rFonts w:ascii="Book Antiqua" w:hAnsi="Book Antiqua"/>
        </w:rPr>
        <w:t xml:space="preserve">the Appellant </w:t>
      </w:r>
      <w:r w:rsidR="00F13D39" w:rsidRPr="00F13D39">
        <w:rPr>
          <w:rFonts w:ascii="Book Antiqua" w:hAnsi="Book Antiqua"/>
        </w:rPr>
        <w:t xml:space="preserve">or any member of </w:t>
      </w:r>
      <w:r>
        <w:rPr>
          <w:rFonts w:ascii="Book Antiqua" w:hAnsi="Book Antiqua"/>
        </w:rPr>
        <w:t>his</w:t>
      </w:r>
      <w:r w:rsidR="00F13D39" w:rsidRPr="00F13D39">
        <w:rPr>
          <w:rFonts w:ascii="Book Antiqua" w:hAnsi="Book Antiqua"/>
        </w:rPr>
        <w:t xml:space="preserve"> family.  This direction applies both to the Appellant and to the Respondent.  Failure to comply with this direction could lead to contempt of court proceedings.</w:t>
      </w:r>
      <w:r>
        <w:rPr>
          <w:rFonts w:ascii="Book Antiqua" w:hAnsi="Book Antiqua"/>
        </w:rPr>
        <w:t xml:space="preserve">  This direction is made pursuant to rule 14 of the Tribunal Procedure (Upper Tribunal) Rules 2008.</w:t>
      </w:r>
    </w:p>
    <w:p w14:paraId="6588D051" w14:textId="77777777" w:rsidR="00F13D39" w:rsidRDefault="00F13D39" w:rsidP="000369F5">
      <w:pPr>
        <w:tabs>
          <w:tab w:val="left" w:pos="2520"/>
        </w:tabs>
        <w:jc w:val="both"/>
        <w:rPr>
          <w:rFonts w:ascii="Book Antiqua" w:hAnsi="Book Antiqua" w:cs="Arial"/>
        </w:rPr>
      </w:pPr>
    </w:p>
    <w:p w14:paraId="4CACA0AC" w14:textId="77777777" w:rsidR="00F13D39" w:rsidRPr="00F5664C" w:rsidRDefault="00F13D39" w:rsidP="000369F5">
      <w:pPr>
        <w:tabs>
          <w:tab w:val="left" w:pos="2520"/>
        </w:tabs>
        <w:jc w:val="both"/>
        <w:rPr>
          <w:rFonts w:ascii="Book Antiqua" w:hAnsi="Book Antiqua" w:cs="Arial"/>
        </w:rPr>
      </w:pPr>
    </w:p>
    <w:p w14:paraId="159CB9E2" w14:textId="49AB30A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E87477">
        <w:rPr>
          <w:rFonts w:ascii="Book Antiqua" w:hAnsi="Book Antiqua" w:cs="Arial"/>
        </w:rPr>
        <w:tab/>
      </w:r>
      <w:r w:rsidR="00E87477">
        <w:rPr>
          <w:rFonts w:ascii="Book Antiqua" w:hAnsi="Book Antiqua" w:cs="Arial"/>
        </w:rPr>
        <w:tab/>
        <w:t>9</w:t>
      </w:r>
      <w:r w:rsidR="00E87477" w:rsidRPr="00E87477">
        <w:rPr>
          <w:rFonts w:ascii="Book Antiqua" w:hAnsi="Book Antiqua" w:cs="Arial"/>
          <w:vertAlign w:val="superscript"/>
        </w:rPr>
        <w:t>th</w:t>
      </w:r>
      <w:r w:rsidR="00E87477">
        <w:rPr>
          <w:rFonts w:ascii="Book Antiqua" w:hAnsi="Book Antiqua" w:cs="Arial"/>
        </w:rPr>
        <w:t xml:space="preserve"> July 2018</w:t>
      </w:r>
    </w:p>
    <w:p w14:paraId="3893CCF2" w14:textId="77777777" w:rsidR="001F2716" w:rsidRPr="00F5664C" w:rsidRDefault="001F2716" w:rsidP="000369F5">
      <w:pPr>
        <w:tabs>
          <w:tab w:val="left" w:pos="2520"/>
        </w:tabs>
        <w:jc w:val="both"/>
        <w:rPr>
          <w:rFonts w:ascii="Book Antiqua" w:hAnsi="Book Antiqua" w:cs="Arial"/>
        </w:rPr>
      </w:pPr>
    </w:p>
    <w:p w14:paraId="0543E3CA"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18865DBB" w14:textId="77777777" w:rsidR="00F13D39" w:rsidRDefault="00F13D39" w:rsidP="000369F5">
      <w:pPr>
        <w:tabs>
          <w:tab w:val="left" w:pos="2520"/>
        </w:tabs>
        <w:jc w:val="both"/>
        <w:rPr>
          <w:rFonts w:ascii="Book Antiqua" w:hAnsi="Book Antiqua" w:cs="Arial"/>
        </w:rPr>
      </w:pPr>
    </w:p>
    <w:p w14:paraId="75C67BE3" w14:textId="37845A30" w:rsidR="00F13D39" w:rsidRDefault="00F13D39" w:rsidP="000369F5">
      <w:pPr>
        <w:tabs>
          <w:tab w:val="left" w:pos="2520"/>
        </w:tabs>
        <w:jc w:val="both"/>
        <w:rPr>
          <w:rFonts w:ascii="Book Antiqua" w:hAnsi="Book Antiqua" w:cs="Arial"/>
        </w:rPr>
      </w:pPr>
    </w:p>
    <w:p w14:paraId="6B84AE97" w14:textId="3267C869" w:rsidR="0042402D" w:rsidRDefault="0042402D" w:rsidP="000369F5">
      <w:pPr>
        <w:tabs>
          <w:tab w:val="left" w:pos="2520"/>
        </w:tabs>
        <w:jc w:val="both"/>
        <w:rPr>
          <w:rFonts w:ascii="Book Antiqua" w:hAnsi="Book Antiqua" w:cs="Arial"/>
        </w:rPr>
      </w:pPr>
    </w:p>
    <w:p w14:paraId="528044F3" w14:textId="77777777" w:rsidR="0042402D" w:rsidRDefault="0042402D" w:rsidP="000369F5">
      <w:pPr>
        <w:tabs>
          <w:tab w:val="left" w:pos="2520"/>
        </w:tabs>
        <w:jc w:val="both"/>
        <w:rPr>
          <w:rFonts w:ascii="Book Antiqua" w:hAnsi="Book Antiqua" w:cs="Arial"/>
        </w:rPr>
      </w:pPr>
    </w:p>
    <w:p w14:paraId="5A8BB311"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3C6179E7"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101C73D9" w14:textId="619D424B" w:rsidR="00F13D39" w:rsidRDefault="00E87477" w:rsidP="0042402D">
      <w:pPr>
        <w:spacing w:before="160"/>
        <w:jc w:val="both"/>
        <w:rPr>
          <w:rFonts w:ascii="Book Antiqua" w:hAnsi="Book Antiqua" w:cs="Arial"/>
        </w:rPr>
      </w:pPr>
      <w:r>
        <w:rPr>
          <w:rFonts w:ascii="Book Antiqua" w:hAnsi="Book Antiqua" w:cs="Arial"/>
        </w:rPr>
        <w:t xml:space="preserve">The appeal is dismissed.  There is no fee award.  </w:t>
      </w:r>
    </w:p>
    <w:p w14:paraId="2E94F319" w14:textId="77777777" w:rsidR="00F13D39" w:rsidRDefault="00F13D39" w:rsidP="00F13D39">
      <w:pPr>
        <w:jc w:val="both"/>
        <w:rPr>
          <w:rFonts w:ascii="Book Antiqua" w:hAnsi="Book Antiqua" w:cs="Arial"/>
        </w:rPr>
      </w:pPr>
    </w:p>
    <w:p w14:paraId="665FBB64" w14:textId="77777777" w:rsidR="00F13D39" w:rsidRDefault="00F13D39" w:rsidP="00F13D39">
      <w:pPr>
        <w:jc w:val="both"/>
        <w:rPr>
          <w:rFonts w:ascii="Book Antiqua" w:hAnsi="Book Antiqua" w:cs="Arial"/>
        </w:rPr>
      </w:pPr>
    </w:p>
    <w:p w14:paraId="01A4CDCA" w14:textId="149D46D0"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E87477">
        <w:rPr>
          <w:rFonts w:ascii="Book Antiqua" w:hAnsi="Book Antiqua" w:cs="Arial"/>
        </w:rPr>
        <w:tab/>
      </w:r>
      <w:r w:rsidR="00E87477">
        <w:rPr>
          <w:rFonts w:ascii="Book Antiqua" w:hAnsi="Book Antiqua" w:cs="Arial"/>
        </w:rPr>
        <w:tab/>
        <w:t>9</w:t>
      </w:r>
      <w:r w:rsidR="00E87477" w:rsidRPr="00E87477">
        <w:rPr>
          <w:rFonts w:ascii="Book Antiqua" w:hAnsi="Book Antiqua" w:cs="Arial"/>
          <w:vertAlign w:val="superscript"/>
        </w:rPr>
        <w:t>th</w:t>
      </w:r>
      <w:r w:rsidR="00E87477">
        <w:rPr>
          <w:rFonts w:ascii="Book Antiqua" w:hAnsi="Book Antiqua" w:cs="Arial"/>
        </w:rPr>
        <w:t xml:space="preserve"> July 2018</w:t>
      </w:r>
    </w:p>
    <w:p w14:paraId="2A77656C" w14:textId="77777777" w:rsidR="00F13D39" w:rsidRPr="00F5664C" w:rsidRDefault="00F13D39" w:rsidP="00F13D39">
      <w:pPr>
        <w:tabs>
          <w:tab w:val="left" w:pos="2520"/>
        </w:tabs>
        <w:jc w:val="both"/>
        <w:rPr>
          <w:rFonts w:ascii="Book Antiqua" w:hAnsi="Book Antiqua" w:cs="Arial"/>
        </w:rPr>
      </w:pPr>
    </w:p>
    <w:p w14:paraId="1A27C043" w14:textId="77777777" w:rsidR="00C321B5" w:rsidRPr="00F5664C" w:rsidRDefault="00F13D39"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C321B5" w:rsidRPr="00F5664C"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7005A" w14:textId="77777777" w:rsidR="00DA1017" w:rsidRDefault="00DA1017">
      <w:r>
        <w:separator/>
      </w:r>
    </w:p>
  </w:endnote>
  <w:endnote w:type="continuationSeparator" w:id="0">
    <w:p w14:paraId="32F0AF5A" w14:textId="77777777" w:rsidR="00DA1017" w:rsidRDefault="00DA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528F2" w14:textId="0167EF4E"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A2122">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AE87"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90B4C" w14:textId="77777777" w:rsidR="00DA1017" w:rsidRDefault="00DA1017">
      <w:r>
        <w:separator/>
      </w:r>
    </w:p>
  </w:footnote>
  <w:footnote w:type="continuationSeparator" w:id="0">
    <w:p w14:paraId="53A172F7" w14:textId="77777777" w:rsidR="00DA1017" w:rsidRDefault="00DA1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54787" w14:textId="1A4F6004"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CA02F3">
      <w:rPr>
        <w:rFonts w:ascii="Book Antiqua" w:hAnsi="Book Antiqua" w:cs="Arial"/>
        <w:sz w:val="16"/>
        <w:szCs w:val="16"/>
      </w:rPr>
      <w:t xml:space="preserve"> PA/11098/2017</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BA2A" w14:textId="49CC9D1C"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F3"/>
    <w:rsid w:val="00000621"/>
    <w:rsid w:val="000036C2"/>
    <w:rsid w:val="00030C00"/>
    <w:rsid w:val="000339B3"/>
    <w:rsid w:val="00033D3D"/>
    <w:rsid w:val="000369F5"/>
    <w:rsid w:val="00047F27"/>
    <w:rsid w:val="00071A7E"/>
    <w:rsid w:val="000746C0"/>
    <w:rsid w:val="00074D1D"/>
    <w:rsid w:val="00092580"/>
    <w:rsid w:val="000D01C9"/>
    <w:rsid w:val="000D5D94"/>
    <w:rsid w:val="000E0CD7"/>
    <w:rsid w:val="00114F8B"/>
    <w:rsid w:val="001165A7"/>
    <w:rsid w:val="00151BB7"/>
    <w:rsid w:val="00167D3A"/>
    <w:rsid w:val="001A1E2C"/>
    <w:rsid w:val="001A5F0D"/>
    <w:rsid w:val="001B1FDF"/>
    <w:rsid w:val="001F2716"/>
    <w:rsid w:val="0020133A"/>
    <w:rsid w:val="00207617"/>
    <w:rsid w:val="00244BC9"/>
    <w:rsid w:val="00246DDE"/>
    <w:rsid w:val="00255071"/>
    <w:rsid w:val="00272DC4"/>
    <w:rsid w:val="00276B10"/>
    <w:rsid w:val="00283659"/>
    <w:rsid w:val="002C4E73"/>
    <w:rsid w:val="002D68BF"/>
    <w:rsid w:val="00330130"/>
    <w:rsid w:val="00336CBF"/>
    <w:rsid w:val="003475EB"/>
    <w:rsid w:val="003546C8"/>
    <w:rsid w:val="003A7CF2"/>
    <w:rsid w:val="003C49CE"/>
    <w:rsid w:val="003C5CE5"/>
    <w:rsid w:val="003D6A4C"/>
    <w:rsid w:val="003E267B"/>
    <w:rsid w:val="003E7CD1"/>
    <w:rsid w:val="00402B9E"/>
    <w:rsid w:val="00423932"/>
    <w:rsid w:val="0042402D"/>
    <w:rsid w:val="004249CB"/>
    <w:rsid w:val="0044127D"/>
    <w:rsid w:val="004448DB"/>
    <w:rsid w:val="00446C9A"/>
    <w:rsid w:val="00465F8E"/>
    <w:rsid w:val="00477193"/>
    <w:rsid w:val="0047736E"/>
    <w:rsid w:val="004A1848"/>
    <w:rsid w:val="00507FEC"/>
    <w:rsid w:val="00510F0E"/>
    <w:rsid w:val="00533616"/>
    <w:rsid w:val="005479E1"/>
    <w:rsid w:val="005570FD"/>
    <w:rsid w:val="005575EA"/>
    <w:rsid w:val="0057790C"/>
    <w:rsid w:val="00593795"/>
    <w:rsid w:val="005A75FF"/>
    <w:rsid w:val="005B7789"/>
    <w:rsid w:val="005E5DFF"/>
    <w:rsid w:val="005F7DB4"/>
    <w:rsid w:val="00650B64"/>
    <w:rsid w:val="0065791C"/>
    <w:rsid w:val="00690B8A"/>
    <w:rsid w:val="006D1DFA"/>
    <w:rsid w:val="006D506B"/>
    <w:rsid w:val="006E3C90"/>
    <w:rsid w:val="00704B61"/>
    <w:rsid w:val="00707DB1"/>
    <w:rsid w:val="00725E45"/>
    <w:rsid w:val="007353BB"/>
    <w:rsid w:val="00742A8D"/>
    <w:rsid w:val="00752359"/>
    <w:rsid w:val="007552A9"/>
    <w:rsid w:val="00761858"/>
    <w:rsid w:val="00767D59"/>
    <w:rsid w:val="00776E97"/>
    <w:rsid w:val="00780FD7"/>
    <w:rsid w:val="007912AD"/>
    <w:rsid w:val="007A1F28"/>
    <w:rsid w:val="007A57DD"/>
    <w:rsid w:val="007B0824"/>
    <w:rsid w:val="007C0CD9"/>
    <w:rsid w:val="008303B8"/>
    <w:rsid w:val="00833DCE"/>
    <w:rsid w:val="00842418"/>
    <w:rsid w:val="008634DB"/>
    <w:rsid w:val="00871D34"/>
    <w:rsid w:val="00887842"/>
    <w:rsid w:val="008901DD"/>
    <w:rsid w:val="008B270C"/>
    <w:rsid w:val="008C2ED5"/>
    <w:rsid w:val="008C3D3D"/>
    <w:rsid w:val="008D4131"/>
    <w:rsid w:val="008D5128"/>
    <w:rsid w:val="008F1932"/>
    <w:rsid w:val="008F294D"/>
    <w:rsid w:val="009101D6"/>
    <w:rsid w:val="00921062"/>
    <w:rsid w:val="0092618D"/>
    <w:rsid w:val="0093083E"/>
    <w:rsid w:val="00931312"/>
    <w:rsid w:val="00966ECF"/>
    <w:rsid w:val="009727A3"/>
    <w:rsid w:val="00987774"/>
    <w:rsid w:val="009A11E8"/>
    <w:rsid w:val="009B7E3D"/>
    <w:rsid w:val="009D0C2C"/>
    <w:rsid w:val="009E4E62"/>
    <w:rsid w:val="009F5220"/>
    <w:rsid w:val="009F7C4D"/>
    <w:rsid w:val="00A123EF"/>
    <w:rsid w:val="00A12F19"/>
    <w:rsid w:val="00A15234"/>
    <w:rsid w:val="00A201AB"/>
    <w:rsid w:val="00A31C8B"/>
    <w:rsid w:val="00A60BBA"/>
    <w:rsid w:val="00A75965"/>
    <w:rsid w:val="00A845DC"/>
    <w:rsid w:val="00A856EB"/>
    <w:rsid w:val="00A90C98"/>
    <w:rsid w:val="00A92AAE"/>
    <w:rsid w:val="00A97AEE"/>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96FA0"/>
    <w:rsid w:val="00BD4196"/>
    <w:rsid w:val="00BE31CE"/>
    <w:rsid w:val="00BF22CA"/>
    <w:rsid w:val="00C26032"/>
    <w:rsid w:val="00C265B0"/>
    <w:rsid w:val="00C321B5"/>
    <w:rsid w:val="00C345E1"/>
    <w:rsid w:val="00C977BA"/>
    <w:rsid w:val="00CA02F3"/>
    <w:rsid w:val="00CB6E35"/>
    <w:rsid w:val="00CE1A46"/>
    <w:rsid w:val="00CE26B2"/>
    <w:rsid w:val="00CF253F"/>
    <w:rsid w:val="00CF56B4"/>
    <w:rsid w:val="00D20F09"/>
    <w:rsid w:val="00D22636"/>
    <w:rsid w:val="00D40FD9"/>
    <w:rsid w:val="00D45764"/>
    <w:rsid w:val="00D45A31"/>
    <w:rsid w:val="00D53769"/>
    <w:rsid w:val="00D65912"/>
    <w:rsid w:val="00D85C13"/>
    <w:rsid w:val="00D91BE3"/>
    <w:rsid w:val="00D94AFC"/>
    <w:rsid w:val="00DA1017"/>
    <w:rsid w:val="00DB70AE"/>
    <w:rsid w:val="00DB7231"/>
    <w:rsid w:val="00DC1C00"/>
    <w:rsid w:val="00DD5071"/>
    <w:rsid w:val="00DD5C39"/>
    <w:rsid w:val="00DE26AF"/>
    <w:rsid w:val="00DE7DB7"/>
    <w:rsid w:val="00E00A0A"/>
    <w:rsid w:val="00E07F57"/>
    <w:rsid w:val="00E1040E"/>
    <w:rsid w:val="00E50BCE"/>
    <w:rsid w:val="00E61292"/>
    <w:rsid w:val="00E750D8"/>
    <w:rsid w:val="00E76309"/>
    <w:rsid w:val="00E77888"/>
    <w:rsid w:val="00E77C4D"/>
    <w:rsid w:val="00E81D01"/>
    <w:rsid w:val="00E855DA"/>
    <w:rsid w:val="00E87477"/>
    <w:rsid w:val="00EA0680"/>
    <w:rsid w:val="00EC3DB1"/>
    <w:rsid w:val="00EE45D8"/>
    <w:rsid w:val="00F004CD"/>
    <w:rsid w:val="00F13D39"/>
    <w:rsid w:val="00F22A22"/>
    <w:rsid w:val="00F22EDA"/>
    <w:rsid w:val="00F3224D"/>
    <w:rsid w:val="00F33E0E"/>
    <w:rsid w:val="00F54EFE"/>
    <w:rsid w:val="00F5664C"/>
    <w:rsid w:val="00FA2122"/>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B1C1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65B2C-7911-4906-A730-17AC3C13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2334</Words>
  <Characters>11099</Characters>
  <Application>Microsoft Office Word</Application>
  <DocSecurity>0</DocSecurity>
  <Lines>92</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2018-08-02T14:55:00Z</dcterms:created>
  <dcterms:modified xsi:type="dcterms:W3CDTF">2018-08-02T14:55:00Z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