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F7A4B" w:rsidP="00C321B5">
      <w:pPr>
        <w:jc w:val="center"/>
        <w:rPr>
          <w:rFonts w:ascii="Book Antiqua" w:hAnsi="Book Antiqua" w:cs="Arial"/>
          <w:sz w:val="16"/>
          <w:szCs w:val="16"/>
        </w:rPr>
      </w:pPr>
      <w:r w:rsidRPr="00A07FE7">
        <w:rPr>
          <w:noProof/>
          <w:lang w:val="en-US" w:eastAsia="en-US"/>
        </w:rPr>
        <w:drawing>
          <wp:inline distT="0" distB="0" distL="0" distR="0">
            <wp:extent cx="10414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90805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CE04D9">
        <w:rPr>
          <w:rFonts w:ascii="Book Antiqua" w:hAnsi="Book Antiqua" w:cs="Arial"/>
          <w:caps/>
        </w:rPr>
        <w:t>pa/11133</w:t>
      </w:r>
      <w:r w:rsidR="00405FE1">
        <w:rPr>
          <w:rFonts w:ascii="Book Antiqua" w:hAnsi="Book Antiqua" w:cs="Arial"/>
          <w:caps/>
        </w:rPr>
        <w:t>/2017</w:t>
      </w:r>
      <w:bookmarkEnd w:id="0"/>
    </w:p>
    <w:p w:rsidR="00C345E1" w:rsidRDefault="00C345E1" w:rsidP="00C345E1">
      <w:pPr>
        <w:jc w:val="center"/>
        <w:rPr>
          <w:rFonts w:ascii="Book Antiqua" w:hAnsi="Book Antiqua" w:cs="Arial"/>
        </w:rPr>
      </w:pPr>
    </w:p>
    <w:p w:rsidR="00B3031B" w:rsidRPr="00F5664C" w:rsidRDefault="00B3031B"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637"/>
        <w:gridCol w:w="411"/>
        <w:gridCol w:w="3960"/>
      </w:tblGrid>
      <w:tr w:rsidR="00D22636" w:rsidRPr="00F53574" w:rsidTr="00CB3C69">
        <w:tc>
          <w:tcPr>
            <w:tcW w:w="5637"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405FE1">
              <w:rPr>
                <w:rFonts w:ascii="Book Antiqua" w:hAnsi="Book Antiqua" w:cs="Arial"/>
                <w:b/>
              </w:rPr>
              <w:t>Centre City Tower, Birmingham</w:t>
            </w:r>
          </w:p>
        </w:tc>
        <w:tc>
          <w:tcPr>
            <w:tcW w:w="4371" w:type="dxa"/>
            <w:gridSpan w:val="2"/>
            <w:shd w:val="clear" w:color="auto" w:fill="auto"/>
          </w:tcPr>
          <w:p w:rsidR="00D22636" w:rsidRPr="00F53574" w:rsidRDefault="009F518E" w:rsidP="00F53574">
            <w:pPr>
              <w:jc w:val="both"/>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CB3C69">
        <w:tc>
          <w:tcPr>
            <w:tcW w:w="5637"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405FE1">
              <w:rPr>
                <w:rFonts w:ascii="Book Antiqua" w:hAnsi="Book Antiqua" w:cs="Arial"/>
                <w:b/>
              </w:rPr>
              <w:t>15</w:t>
            </w:r>
            <w:r w:rsidR="00405FE1" w:rsidRPr="00405FE1">
              <w:rPr>
                <w:rFonts w:ascii="Book Antiqua" w:hAnsi="Book Antiqua" w:cs="Arial"/>
                <w:b/>
                <w:vertAlign w:val="superscript"/>
              </w:rPr>
              <w:t>th</w:t>
            </w:r>
            <w:r w:rsidR="00405FE1">
              <w:rPr>
                <w:rFonts w:ascii="Book Antiqua" w:hAnsi="Book Antiqua" w:cs="Arial"/>
                <w:b/>
              </w:rPr>
              <w:t xml:space="preserve"> August 2018</w:t>
            </w:r>
          </w:p>
        </w:tc>
        <w:tc>
          <w:tcPr>
            <w:tcW w:w="4371" w:type="dxa"/>
            <w:gridSpan w:val="2"/>
            <w:shd w:val="clear" w:color="auto" w:fill="auto"/>
          </w:tcPr>
          <w:p w:rsidR="00D22636" w:rsidRPr="00F53574" w:rsidRDefault="00CB3C69" w:rsidP="00F53574">
            <w:pPr>
              <w:jc w:val="both"/>
              <w:rPr>
                <w:rFonts w:ascii="Book Antiqua" w:hAnsi="Book Antiqua" w:cs="Arial"/>
                <w:b/>
              </w:rPr>
            </w:pPr>
            <w:r>
              <w:rPr>
                <w:rFonts w:ascii="Book Antiqua" w:hAnsi="Book Antiqua" w:cs="Arial"/>
                <w:b/>
              </w:rPr>
              <w:t>On 13</w:t>
            </w:r>
            <w:r w:rsidRPr="00CB3C69">
              <w:rPr>
                <w:rFonts w:ascii="Book Antiqua" w:hAnsi="Book Antiqua" w:cs="Arial"/>
                <w:b/>
                <w:vertAlign w:val="superscript"/>
              </w:rPr>
              <w:t>th</w:t>
            </w:r>
            <w:r>
              <w:rPr>
                <w:rFonts w:ascii="Book Antiqua" w:hAnsi="Book Antiqua" w:cs="Arial"/>
                <w:b/>
              </w:rPr>
              <w:t xml:space="preserve"> September 2018 </w:t>
            </w:r>
          </w:p>
        </w:tc>
      </w:tr>
      <w:tr w:rsidR="00CB3C69" w:rsidRPr="00F53574" w:rsidTr="00F53574">
        <w:trPr>
          <w:gridAfter w:val="1"/>
          <w:wAfter w:w="3960" w:type="dxa"/>
        </w:trPr>
        <w:tc>
          <w:tcPr>
            <w:tcW w:w="6048" w:type="dxa"/>
            <w:gridSpan w:val="2"/>
            <w:shd w:val="clear" w:color="auto" w:fill="auto"/>
          </w:tcPr>
          <w:p w:rsidR="00CB3C69" w:rsidRPr="00F53574" w:rsidRDefault="00CB3C69"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Default="00A15234" w:rsidP="00A15234">
      <w:pPr>
        <w:jc w:val="center"/>
        <w:rPr>
          <w:rFonts w:ascii="Book Antiqua" w:hAnsi="Book Antiqua" w:cs="Arial"/>
          <w:b/>
        </w:rPr>
      </w:pPr>
    </w:p>
    <w:p w:rsidR="001A1E2C" w:rsidRPr="00F5664C" w:rsidRDefault="00255071" w:rsidP="00405FE1">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5E670F" w:rsidRDefault="005E670F"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263476" w:rsidRDefault="00CB3C69" w:rsidP="00742A8D">
      <w:pPr>
        <w:jc w:val="center"/>
        <w:rPr>
          <w:rFonts w:ascii="Book Antiqua" w:hAnsi="Book Antiqua" w:cs="Arial"/>
          <w:b/>
          <w:caps/>
          <w:sz w:val="32"/>
        </w:rPr>
      </w:pPr>
      <w:r>
        <w:rPr>
          <w:rFonts w:ascii="Book Antiqua" w:hAnsi="Book Antiqua" w:cs="Arial"/>
          <w:b/>
          <w:szCs w:val="22"/>
        </w:rPr>
        <w:t>M</w:t>
      </w:r>
      <w:r w:rsidR="00405FE1" w:rsidRPr="00263476">
        <w:rPr>
          <w:rFonts w:ascii="Book Antiqua" w:hAnsi="Book Antiqua" w:cs="Arial"/>
          <w:b/>
          <w:szCs w:val="22"/>
        </w:rPr>
        <w:t xml:space="preserve"> A S A</w:t>
      </w:r>
    </w:p>
    <w:p w:rsidR="009F518E" w:rsidRDefault="009F518E" w:rsidP="009F518E">
      <w:pPr>
        <w:jc w:val="center"/>
        <w:rPr>
          <w:rFonts w:ascii="Book Antiqua" w:hAnsi="Book Antiqua" w:cs="Arial"/>
          <w:b/>
          <w:caps/>
        </w:rPr>
      </w:pPr>
      <w:r w:rsidRPr="009F518E">
        <w:rPr>
          <w:rFonts w:ascii="Book Antiqua" w:hAnsi="Book Antiqua" w:cs="Arial"/>
          <w:b/>
          <w:caps/>
        </w:rPr>
        <w:t xml:space="preserve">(ANONYMITY </w:t>
      </w:r>
      <w:r w:rsidR="00016A4C">
        <w:rPr>
          <w:rFonts w:ascii="Book Antiqua" w:hAnsi="Book Antiqua" w:cs="Arial"/>
          <w:b/>
          <w:caps/>
        </w:rPr>
        <w:t>direction</w:t>
      </w:r>
      <w:r w:rsidRPr="009F518E">
        <w:rPr>
          <w:rFonts w:ascii="Book Antiqua" w:hAnsi="Book Antiqua" w:cs="Arial"/>
          <w:b/>
          <w:caps/>
        </w:rPr>
        <w:t xml:space="preserve"> </w:t>
      </w:r>
      <w:r w:rsidR="00263476">
        <w:rPr>
          <w:rFonts w:ascii="Book Antiqua" w:hAnsi="Book Antiqua" w:cs="Arial"/>
          <w:b/>
          <w:caps/>
        </w:rPr>
        <w:t>MADE</w:t>
      </w:r>
      <w:r w:rsidRPr="009F518E">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5E670F" w:rsidRDefault="005E670F" w:rsidP="00DD5071">
      <w:pPr>
        <w:rPr>
          <w:rFonts w:ascii="Book Antiqua" w:hAnsi="Book Antiqua" w:cs="Arial"/>
          <w:b/>
          <w:u w:val="single"/>
        </w:rPr>
      </w:pPr>
    </w:p>
    <w:p w:rsidR="005E670F" w:rsidRDefault="005E670F"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63476">
        <w:rPr>
          <w:rFonts w:ascii="Book Antiqua" w:hAnsi="Book Antiqua" w:cs="Arial"/>
        </w:rPr>
        <w:t>Mr A Khan (LR)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63476">
        <w:rPr>
          <w:rFonts w:ascii="Book Antiqua" w:hAnsi="Book Antiqua" w:cs="Arial"/>
        </w:rPr>
        <w:t xml:space="preserve">Mrs H </w:t>
      </w:r>
      <w:proofErr w:type="spellStart"/>
      <w:r w:rsidR="00263476">
        <w:rPr>
          <w:rFonts w:ascii="Book Antiqua" w:hAnsi="Book Antiqua" w:cs="Arial"/>
        </w:rPr>
        <w:t>Aboni</w:t>
      </w:r>
      <w:proofErr w:type="spellEnd"/>
      <w:r w:rsidR="00263476">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52A42" w:rsidRDefault="00263476" w:rsidP="00B52A42">
      <w:pPr>
        <w:numPr>
          <w:ilvl w:val="0"/>
          <w:numId w:val="3"/>
        </w:numPr>
        <w:spacing w:before="240"/>
        <w:jc w:val="both"/>
        <w:rPr>
          <w:rFonts w:ascii="Book Antiqua" w:hAnsi="Book Antiqua" w:cs="Arial"/>
        </w:rPr>
      </w:pPr>
      <w:r>
        <w:rPr>
          <w:rFonts w:ascii="Book Antiqua" w:hAnsi="Book Antiqua" w:cs="Arial"/>
        </w:rPr>
        <w:t xml:space="preserve">This is an appeal against the determination of First-tier Tribunal Judge </w:t>
      </w:r>
      <w:proofErr w:type="spellStart"/>
      <w:r>
        <w:rPr>
          <w:rFonts w:ascii="Book Antiqua" w:hAnsi="Book Antiqua" w:cs="Arial"/>
        </w:rPr>
        <w:t>Fowell</w:t>
      </w:r>
      <w:proofErr w:type="spellEnd"/>
      <w:r>
        <w:rPr>
          <w:rFonts w:ascii="Book Antiqua" w:hAnsi="Book Antiqua" w:cs="Arial"/>
        </w:rPr>
        <w:t>, promulgated on 5</w:t>
      </w:r>
      <w:r w:rsidRPr="00263476">
        <w:rPr>
          <w:rFonts w:ascii="Book Antiqua" w:hAnsi="Book Antiqua" w:cs="Arial"/>
          <w:vertAlign w:val="superscript"/>
        </w:rPr>
        <w:t>th</w:t>
      </w:r>
      <w:r>
        <w:rPr>
          <w:rFonts w:ascii="Book Antiqua" w:hAnsi="Book Antiqua" w:cs="Arial"/>
        </w:rPr>
        <w:t xml:space="preserve"> December 2017, following a hearing at Birmingham Sheldon Court on 29</w:t>
      </w:r>
      <w:r w:rsidRPr="00263476">
        <w:rPr>
          <w:rFonts w:ascii="Book Antiqua" w:hAnsi="Book Antiqua" w:cs="Arial"/>
          <w:vertAlign w:val="superscript"/>
        </w:rPr>
        <w:t>th</w:t>
      </w:r>
      <w:r>
        <w:rPr>
          <w:rFonts w:ascii="Book Antiqua" w:hAnsi="Book Antiqua" w:cs="Arial"/>
        </w:rPr>
        <w:t xml:space="preserve"> November 2017.  In the determination, the Judge allowed the appeal of the Appellant, whereupon the Respondent Secretary of State, subsequently applied for, and was granted, permission to appeal to the Tribunal and thus the matter comes before me.</w:t>
      </w:r>
    </w:p>
    <w:p w:rsidR="00263476" w:rsidRPr="00263476" w:rsidRDefault="00263476" w:rsidP="00BF1658">
      <w:pPr>
        <w:keepNext/>
        <w:spacing w:before="240"/>
        <w:jc w:val="both"/>
        <w:rPr>
          <w:rFonts w:ascii="Book Antiqua" w:hAnsi="Book Antiqua" w:cs="Arial"/>
          <w:b/>
          <w:u w:val="single"/>
        </w:rPr>
      </w:pPr>
      <w:r w:rsidRPr="00263476">
        <w:rPr>
          <w:rFonts w:ascii="Book Antiqua" w:hAnsi="Book Antiqua" w:cs="Arial"/>
          <w:b/>
          <w:u w:val="single"/>
        </w:rPr>
        <w:lastRenderedPageBreak/>
        <w:t>The Appellant</w:t>
      </w:r>
    </w:p>
    <w:p w:rsidR="00C0322E" w:rsidRPr="00C0322E" w:rsidRDefault="00263476" w:rsidP="00BF1658">
      <w:pPr>
        <w:keepNext/>
        <w:numPr>
          <w:ilvl w:val="0"/>
          <w:numId w:val="3"/>
        </w:numPr>
        <w:spacing w:before="240"/>
        <w:jc w:val="both"/>
        <w:rPr>
          <w:rFonts w:ascii="Book Antiqua" w:hAnsi="Book Antiqua"/>
          <w:color w:val="000000"/>
        </w:rPr>
      </w:pPr>
      <w:r w:rsidRPr="00AB6EE3">
        <w:rPr>
          <w:rFonts w:ascii="Book Antiqua" w:hAnsi="Book Antiqua" w:cs="Arial"/>
        </w:rPr>
        <w:t xml:space="preserve">The Appellant is a citizen of Sudan.  He claims to fear persecution, as a non-Arab Darfuri tribe, namely the </w:t>
      </w:r>
      <w:proofErr w:type="spellStart"/>
      <w:r w:rsidRPr="00AB6EE3">
        <w:rPr>
          <w:rFonts w:ascii="Book Antiqua" w:hAnsi="Book Antiqua" w:cs="Arial"/>
        </w:rPr>
        <w:t>Berti</w:t>
      </w:r>
      <w:proofErr w:type="spellEnd"/>
      <w:r w:rsidRPr="00AB6EE3">
        <w:rPr>
          <w:rFonts w:ascii="Book Antiqua" w:hAnsi="Book Antiqua" w:cs="Arial"/>
        </w:rPr>
        <w:t xml:space="preserve">, and also because of his political activities.  The Respondent Secretary of State accepted the Appellant’s claim that he was a </w:t>
      </w:r>
      <w:proofErr w:type="spellStart"/>
      <w:r w:rsidRPr="00AB6EE3">
        <w:rPr>
          <w:rFonts w:ascii="Book Antiqua" w:hAnsi="Book Antiqua" w:cs="Arial"/>
        </w:rPr>
        <w:t>Berti</w:t>
      </w:r>
      <w:proofErr w:type="spellEnd"/>
      <w:r w:rsidRPr="00AB6EE3">
        <w:rPr>
          <w:rFonts w:ascii="Book Antiqua" w:hAnsi="Book Antiqua" w:cs="Arial"/>
        </w:rPr>
        <w:t>, but rejected the contention that he was politically involved.</w:t>
      </w:r>
      <w:r w:rsidR="00AB6EE3">
        <w:rPr>
          <w:rFonts w:ascii="Book Antiqua" w:hAnsi="Book Antiqua" w:cs="Arial"/>
        </w:rPr>
        <w:t xml:space="preserve">  </w:t>
      </w:r>
    </w:p>
    <w:p w:rsidR="00A07FE7" w:rsidRPr="00A07FE7" w:rsidRDefault="00263476" w:rsidP="00BF1658">
      <w:pPr>
        <w:keepNext/>
        <w:numPr>
          <w:ilvl w:val="0"/>
          <w:numId w:val="3"/>
        </w:numPr>
        <w:spacing w:before="240"/>
        <w:jc w:val="both"/>
        <w:rPr>
          <w:rFonts w:ascii="Book Antiqua" w:hAnsi="Book Antiqua"/>
          <w:color w:val="000000"/>
        </w:rPr>
      </w:pPr>
      <w:r w:rsidRPr="00AB6EE3">
        <w:rPr>
          <w:rFonts w:ascii="Book Antiqua" w:hAnsi="Book Antiqua" w:cs="Arial"/>
        </w:rPr>
        <w:t xml:space="preserve">Judge </w:t>
      </w:r>
      <w:proofErr w:type="spellStart"/>
      <w:r w:rsidRPr="00AB6EE3">
        <w:rPr>
          <w:rFonts w:ascii="Book Antiqua" w:hAnsi="Book Antiqua" w:cs="Arial"/>
        </w:rPr>
        <w:t>Fowell</w:t>
      </w:r>
      <w:proofErr w:type="spellEnd"/>
      <w:r w:rsidRPr="00AB6EE3">
        <w:rPr>
          <w:rFonts w:ascii="Book Antiqua" w:hAnsi="Book Antiqua" w:cs="Arial"/>
        </w:rPr>
        <w:t xml:space="preserve"> rejected the Appellant’s claim that he had undertaken political activities.  In fact, the Appellant “denied having any particular political views” (paragraph 13).  Judge </w:t>
      </w:r>
      <w:proofErr w:type="spellStart"/>
      <w:r w:rsidRPr="00AB6EE3">
        <w:rPr>
          <w:rFonts w:ascii="Book Antiqua" w:hAnsi="Book Antiqua" w:cs="Arial"/>
        </w:rPr>
        <w:t>Fowell</w:t>
      </w:r>
      <w:proofErr w:type="spellEnd"/>
      <w:r w:rsidRPr="00AB6EE3">
        <w:rPr>
          <w:rFonts w:ascii="Book Antiqua" w:hAnsi="Book Antiqua" w:cs="Arial"/>
        </w:rPr>
        <w:t xml:space="preserve"> did, however, find that the Appellant was at risk of persecution as a member of a non-Arab Darfuri tribe.  In so concluding, the judge had regard to the following pieces of evidence.  </w:t>
      </w:r>
    </w:p>
    <w:p w:rsidR="00A07FE7" w:rsidRDefault="00263476" w:rsidP="00BF1658">
      <w:pPr>
        <w:keepNext/>
        <w:numPr>
          <w:ilvl w:val="0"/>
          <w:numId w:val="3"/>
        </w:numPr>
        <w:spacing w:before="240"/>
        <w:jc w:val="both"/>
        <w:rPr>
          <w:rFonts w:ascii="Book Antiqua" w:hAnsi="Book Antiqua"/>
          <w:color w:val="000000"/>
        </w:rPr>
      </w:pPr>
      <w:r w:rsidRPr="00AB6EE3">
        <w:rPr>
          <w:rFonts w:ascii="Book Antiqua" w:hAnsi="Book Antiqua" w:cs="Arial"/>
        </w:rPr>
        <w:t xml:space="preserve">First, there was the country guidance case itself of </w:t>
      </w:r>
      <w:r w:rsidRPr="00AB6EE3">
        <w:rPr>
          <w:rFonts w:ascii="Book Antiqua" w:hAnsi="Book Antiqua" w:cs="Arial"/>
          <w:b/>
          <w:u w:val="single"/>
        </w:rPr>
        <w:t>AA</w:t>
      </w:r>
      <w:r w:rsidRPr="00AB6EE3">
        <w:rPr>
          <w:rFonts w:ascii="Book Antiqua" w:hAnsi="Book Antiqua" w:cs="Arial"/>
          <w:b/>
        </w:rPr>
        <w:t xml:space="preserve"> (non-Arab Darfuris – relocation) Sudan CG [2009] UKAIT 00056</w:t>
      </w:r>
      <w:r w:rsidRPr="00AB6EE3">
        <w:rPr>
          <w:rFonts w:ascii="Book Antiqua" w:hAnsi="Book Antiqua" w:cs="Arial"/>
        </w:rPr>
        <w:t xml:space="preserve">, where the Tribunal had held that all non-Arab Darfuris are at risk of persecution in Darfur and cannot reasonably be expected to </w:t>
      </w:r>
      <w:proofErr w:type="gramStart"/>
      <w:r w:rsidRPr="00AB6EE3">
        <w:rPr>
          <w:rFonts w:ascii="Book Antiqua" w:hAnsi="Book Antiqua" w:cs="Arial"/>
        </w:rPr>
        <w:t>relocated</w:t>
      </w:r>
      <w:proofErr w:type="gramEnd"/>
      <w:r w:rsidRPr="00AB6EE3">
        <w:rPr>
          <w:rFonts w:ascii="Book Antiqua" w:hAnsi="Book Antiqua" w:cs="Arial"/>
        </w:rPr>
        <w:t xml:space="preserve"> elsewhere in Sudan.  Furthermore, there was the more recent decision of </w:t>
      </w:r>
      <w:r w:rsidRPr="00AB6EE3">
        <w:rPr>
          <w:rFonts w:ascii="Book Antiqua" w:hAnsi="Book Antiqua" w:cs="Arial"/>
          <w:b/>
          <w:u w:val="single"/>
        </w:rPr>
        <w:t>MM</w:t>
      </w:r>
      <w:r w:rsidRPr="00AB6EE3">
        <w:rPr>
          <w:rFonts w:ascii="Book Antiqua" w:hAnsi="Book Antiqua" w:cs="Arial"/>
          <w:b/>
        </w:rPr>
        <w:t xml:space="preserve"> (Darfuris) Sudan CG [2015] UKUT 10 (IAC)</w:t>
      </w:r>
      <w:r w:rsidRPr="00AB6EE3">
        <w:rPr>
          <w:rFonts w:ascii="Book Antiqua" w:hAnsi="Book Antiqua" w:cs="Arial"/>
        </w:rPr>
        <w:t xml:space="preserve">, where it was held that </w:t>
      </w:r>
      <w:r w:rsidR="007422B2" w:rsidRPr="00AB6EE3">
        <w:rPr>
          <w:rFonts w:ascii="Book Antiqua" w:hAnsi="Book Antiqua" w:cs="Arial"/>
        </w:rPr>
        <w:t>“Darfuri” is</w:t>
      </w:r>
      <w:r w:rsidR="007422B2" w:rsidRPr="00AB6EE3">
        <w:rPr>
          <w:rFonts w:ascii="Book Antiqua" w:hAnsi="Book Antiqua"/>
          <w:iCs/>
        </w:rPr>
        <w:t xml:space="preserve"> an ethnic term relating to origins, not as a geographical term. </w:t>
      </w:r>
      <w:proofErr w:type="gramStart"/>
      <w:r w:rsidR="007422B2" w:rsidRPr="00AB6EE3">
        <w:rPr>
          <w:rFonts w:ascii="Book Antiqua" w:hAnsi="Book Antiqua"/>
          <w:iCs/>
        </w:rPr>
        <w:t>So</w:t>
      </w:r>
      <w:proofErr w:type="gramEnd"/>
      <w:r w:rsidR="007422B2" w:rsidRPr="00AB6EE3">
        <w:rPr>
          <w:rFonts w:ascii="Book Antiqua" w:hAnsi="Book Antiqua"/>
          <w:iCs/>
        </w:rPr>
        <w:t xml:space="preserve"> it covers even Darfuris who were not born in Darfur.  Third, there was evidence that cast some doubt on this basic proposition.  There was the Home Office Country Policy and Information Note for Sudan, dated August 2017, “</w:t>
      </w:r>
      <w:r w:rsidR="007422B2" w:rsidRPr="00AB6EE3">
        <w:rPr>
          <w:rFonts w:ascii="Book Antiqua" w:hAnsi="Book Antiqua"/>
          <w:i/>
          <w:iCs/>
        </w:rPr>
        <w:t>Sudan</w:t>
      </w:r>
      <w:r w:rsidR="002E7C58" w:rsidRPr="00AB6EE3">
        <w:rPr>
          <w:rFonts w:ascii="Book Antiqua" w:hAnsi="Book Antiqua"/>
          <w:i/>
          <w:iCs/>
        </w:rPr>
        <w:t>: Opposition to the Government, including sur place activity</w:t>
      </w:r>
      <w:r w:rsidR="00D50242" w:rsidRPr="00AB6EE3">
        <w:rPr>
          <w:rFonts w:ascii="Book Antiqua" w:hAnsi="Book Antiqua"/>
          <w:iCs/>
        </w:rPr>
        <w:t xml:space="preserve">”.  This had made it clear that although most human rights organisations report that non-Darfuris suffer discrimination, they “do not indicate that there is widespread, systematic targeting of these groups in Khartoum on grounds of ethnicity alone” (see paragraph 63 of this report).  Fourth, Judge </w:t>
      </w:r>
      <w:proofErr w:type="spellStart"/>
      <w:r w:rsidR="00D50242" w:rsidRPr="00AB6EE3">
        <w:rPr>
          <w:rFonts w:ascii="Book Antiqua" w:hAnsi="Book Antiqua"/>
          <w:iCs/>
        </w:rPr>
        <w:t>Fowell</w:t>
      </w:r>
      <w:proofErr w:type="spellEnd"/>
      <w:r w:rsidR="00D50242" w:rsidRPr="00AB6EE3">
        <w:rPr>
          <w:rFonts w:ascii="Book Antiqua" w:hAnsi="Book Antiqua"/>
          <w:iCs/>
        </w:rPr>
        <w:t xml:space="preserve"> noted how the CPIN was revised following the recent country guidance given in </w:t>
      </w:r>
      <w:r w:rsidR="00D50242" w:rsidRPr="00AB6EE3">
        <w:rPr>
          <w:rFonts w:ascii="Book Antiqua" w:hAnsi="Book Antiqua"/>
          <w:b/>
          <w:color w:val="000000"/>
          <w:u w:val="single"/>
        </w:rPr>
        <w:t>IM and AI</w:t>
      </w:r>
      <w:r w:rsidR="00D50242" w:rsidRPr="00AB6EE3">
        <w:rPr>
          <w:rFonts w:ascii="Book Antiqua" w:hAnsi="Book Antiqua"/>
          <w:b/>
          <w:color w:val="000000"/>
        </w:rPr>
        <w:t xml:space="preserve"> (Risks - membership of Beja Tribe, Beja Congress and JEM) Sudan CG [2016] UKUT 00188</w:t>
      </w:r>
      <w:r w:rsidR="00D50242" w:rsidRPr="00AB6EE3">
        <w:rPr>
          <w:rFonts w:ascii="Book Antiqua" w:hAnsi="Book Antiqua"/>
          <w:color w:val="000000"/>
        </w:rPr>
        <w:t xml:space="preserve">, in which the Upper Tribunal set out comprehensive guidance on the risk on return to Sudan, although the main risk that the Tribunal was concerned with was on political grounds (see paragraph 4 of the determination).  </w:t>
      </w:r>
    </w:p>
    <w:p w:rsidR="00AB6EE3" w:rsidRPr="00AB6EE3" w:rsidRDefault="00D50242" w:rsidP="00BF1658">
      <w:pPr>
        <w:keepNext/>
        <w:numPr>
          <w:ilvl w:val="0"/>
          <w:numId w:val="3"/>
        </w:numPr>
        <w:spacing w:before="240"/>
        <w:jc w:val="both"/>
        <w:rPr>
          <w:rFonts w:ascii="Book Antiqua" w:hAnsi="Book Antiqua"/>
          <w:color w:val="000000"/>
        </w:rPr>
      </w:pPr>
      <w:r w:rsidRPr="00AB6EE3">
        <w:rPr>
          <w:rFonts w:ascii="Book Antiqua" w:hAnsi="Book Antiqua"/>
          <w:color w:val="000000"/>
        </w:rPr>
        <w:t xml:space="preserve">The judge, in fact, set out relevant parts of the decision in </w:t>
      </w:r>
      <w:r w:rsidRPr="00AB6EE3">
        <w:rPr>
          <w:rFonts w:ascii="Book Antiqua" w:hAnsi="Book Antiqua"/>
          <w:b/>
          <w:color w:val="000000"/>
          <w:u w:val="single"/>
        </w:rPr>
        <w:t>IM and AM</w:t>
      </w:r>
      <w:r w:rsidRPr="00AB6EE3">
        <w:rPr>
          <w:rFonts w:ascii="Book Antiqua" w:hAnsi="Book Antiqua"/>
          <w:b/>
          <w:color w:val="000000"/>
        </w:rPr>
        <w:t xml:space="preserve"> </w:t>
      </w:r>
      <w:r w:rsidRPr="00AB6EE3">
        <w:rPr>
          <w:rFonts w:ascii="Book Antiqua" w:hAnsi="Book Antiqua"/>
          <w:color w:val="000000"/>
        </w:rPr>
        <w:t xml:space="preserve">(see paragraph 28), observing that this was a case where the Appellant did not claim to be a Darfuri, but claimed to be member of the </w:t>
      </w:r>
      <w:proofErr w:type="spellStart"/>
      <w:r w:rsidRPr="00AB6EE3">
        <w:rPr>
          <w:rFonts w:ascii="Book Antiqua" w:hAnsi="Book Antiqua"/>
          <w:color w:val="000000"/>
        </w:rPr>
        <w:t>Berti</w:t>
      </w:r>
      <w:proofErr w:type="spellEnd"/>
      <w:r w:rsidRPr="00AB6EE3">
        <w:rPr>
          <w:rFonts w:ascii="Book Antiqua" w:hAnsi="Book Antiqua"/>
          <w:color w:val="000000"/>
        </w:rPr>
        <w:t xml:space="preserve"> tribe from the Darfur region of Sudan, but this claim was then decisively rejected.  </w:t>
      </w:r>
      <w:r w:rsidR="00AB6EE3" w:rsidRPr="00AB6EE3">
        <w:rPr>
          <w:rFonts w:ascii="Book Antiqua" w:hAnsi="Book Antiqua"/>
          <w:color w:val="000000"/>
        </w:rPr>
        <w:t xml:space="preserve">What the Tribunal made explicitly clear in </w:t>
      </w:r>
      <w:r w:rsidR="00AB6EE3" w:rsidRPr="00AB6EE3">
        <w:rPr>
          <w:rFonts w:ascii="Book Antiqua" w:hAnsi="Book Antiqua"/>
          <w:b/>
          <w:color w:val="000000"/>
          <w:u w:val="single"/>
        </w:rPr>
        <w:t>IM and AM</w:t>
      </w:r>
      <w:r w:rsidR="00AB6EE3" w:rsidRPr="00AB6EE3">
        <w:rPr>
          <w:rFonts w:ascii="Book Antiqua" w:hAnsi="Book Antiqua"/>
          <w:color w:val="000000"/>
        </w:rPr>
        <w:t xml:space="preserve"> was that, </w:t>
      </w:r>
    </w:p>
    <w:p w:rsidR="00AB6EE3" w:rsidRDefault="00AB6EE3" w:rsidP="00AB6EE3">
      <w:pPr>
        <w:spacing w:before="240"/>
        <w:ind w:left="1134"/>
        <w:jc w:val="both"/>
        <w:rPr>
          <w:rFonts w:ascii="Book Antiqua" w:hAnsi="Book Antiqua"/>
        </w:rPr>
      </w:pPr>
      <w:r w:rsidRPr="00AB6EE3">
        <w:rPr>
          <w:rFonts w:ascii="Book Antiqua" w:hAnsi="Book Antiqua"/>
          <w:color w:val="000000"/>
        </w:rPr>
        <w:t xml:space="preserve">“in these circumstances, there is no </w:t>
      </w:r>
      <w:r w:rsidRPr="00AB6EE3">
        <w:rPr>
          <w:rFonts w:ascii="Book Antiqua" w:hAnsi="Book Antiqua"/>
        </w:rPr>
        <w:t xml:space="preserve">legitimate basis upon which we can depart from the Tribunal's assessment summarised in the preceding paragraph as to the risks faced by </w:t>
      </w:r>
      <w:proofErr w:type="spellStart"/>
      <w:r w:rsidRPr="00AB6EE3">
        <w:rPr>
          <w:rFonts w:ascii="Book Antiqua" w:hAnsi="Book Antiqua"/>
        </w:rPr>
        <w:t>Dafuris</w:t>
      </w:r>
      <w:proofErr w:type="spellEnd"/>
      <w:r w:rsidRPr="00AB6EE3">
        <w:rPr>
          <w:rFonts w:ascii="Book Antiqua" w:hAnsi="Book Antiqua"/>
        </w:rPr>
        <w:t>. Our conclusions, therefore, leave this discreet area of the earlier Country Guidance intact and our own conclusions speak of more general risks.”  (Paragraph 28).</w:t>
      </w:r>
    </w:p>
    <w:p w:rsidR="00A07FE7" w:rsidRDefault="00AB6EE3" w:rsidP="00A07FE7">
      <w:pPr>
        <w:pStyle w:val="ColorfulList-Accent11"/>
        <w:numPr>
          <w:ilvl w:val="0"/>
          <w:numId w:val="3"/>
        </w:numPr>
        <w:spacing w:before="240"/>
        <w:jc w:val="both"/>
        <w:rPr>
          <w:rFonts w:ascii="Book Antiqua" w:hAnsi="Book Antiqua"/>
        </w:rPr>
      </w:pPr>
      <w:r w:rsidRPr="00A07FE7">
        <w:rPr>
          <w:rFonts w:ascii="Book Antiqua" w:hAnsi="Book Antiqua"/>
        </w:rPr>
        <w:t xml:space="preserve">What Judge </w:t>
      </w:r>
      <w:proofErr w:type="spellStart"/>
      <w:r w:rsidRPr="00A07FE7">
        <w:rPr>
          <w:rFonts w:ascii="Book Antiqua" w:hAnsi="Book Antiqua"/>
        </w:rPr>
        <w:t>Fowell</w:t>
      </w:r>
      <w:proofErr w:type="spellEnd"/>
      <w:r w:rsidRPr="00A07FE7">
        <w:rPr>
          <w:rFonts w:ascii="Book Antiqua" w:hAnsi="Book Antiqua"/>
        </w:rPr>
        <w:t xml:space="preserve"> drew from this was that “this earlier country guidance therefore remains applicable unless displaced by cogent evidence to the contrary” (paragraph 29).  For good measure, however, Judge </w:t>
      </w:r>
      <w:proofErr w:type="spellStart"/>
      <w:r w:rsidRPr="00A07FE7">
        <w:rPr>
          <w:rFonts w:ascii="Book Antiqua" w:hAnsi="Book Antiqua"/>
        </w:rPr>
        <w:t>Fowell</w:t>
      </w:r>
      <w:proofErr w:type="spellEnd"/>
      <w:r w:rsidRPr="00A07FE7">
        <w:rPr>
          <w:rFonts w:ascii="Book Antiqua" w:hAnsi="Book Antiqua"/>
        </w:rPr>
        <w:t xml:space="preserve"> also went on to consider Section 5.2 on </w:t>
      </w:r>
      <w:r w:rsidRPr="00A07FE7">
        <w:rPr>
          <w:rFonts w:ascii="Book Antiqua" w:hAnsi="Book Antiqua"/>
        </w:rPr>
        <w:lastRenderedPageBreak/>
        <w:t xml:space="preserve">treatment of non-Arab Darfuris, in the two internal hyperlinks, and proceeded to set this out extensively over some four pages (see pages 9 – 12 of the determination). </w:t>
      </w:r>
    </w:p>
    <w:p w:rsidR="00A07FE7" w:rsidRPr="00A07FE7" w:rsidRDefault="00A07FE7" w:rsidP="00A07FE7">
      <w:pPr>
        <w:pStyle w:val="ColorfulList-Accent11"/>
        <w:spacing w:before="240"/>
        <w:ind w:left="567"/>
        <w:jc w:val="both"/>
        <w:rPr>
          <w:rFonts w:ascii="Book Antiqua" w:hAnsi="Book Antiqua"/>
        </w:rPr>
      </w:pPr>
    </w:p>
    <w:p w:rsidR="00387C38" w:rsidRPr="00A07FE7" w:rsidRDefault="00AB6EE3" w:rsidP="00A07FE7">
      <w:pPr>
        <w:pStyle w:val="ColorfulList-Accent11"/>
        <w:numPr>
          <w:ilvl w:val="0"/>
          <w:numId w:val="3"/>
        </w:numPr>
        <w:spacing w:before="240"/>
        <w:jc w:val="both"/>
        <w:rPr>
          <w:rFonts w:ascii="Book Antiqua" w:hAnsi="Book Antiqua"/>
        </w:rPr>
      </w:pPr>
      <w:r w:rsidRPr="00A07FE7">
        <w:rPr>
          <w:rFonts w:ascii="Book Antiqua" w:hAnsi="Book Antiqua"/>
        </w:rPr>
        <w:t xml:space="preserve"> On this</w:t>
      </w:r>
      <w:r w:rsidR="00A07FE7">
        <w:rPr>
          <w:rFonts w:ascii="Book Antiqua" w:hAnsi="Book Antiqua"/>
        </w:rPr>
        <w:t xml:space="preserve"> basis</w:t>
      </w:r>
      <w:r w:rsidRPr="00A07FE7">
        <w:rPr>
          <w:rFonts w:ascii="Book Antiqua" w:hAnsi="Book Antiqua"/>
        </w:rPr>
        <w:t xml:space="preserve">, Judge </w:t>
      </w:r>
      <w:proofErr w:type="spellStart"/>
      <w:r w:rsidRPr="00A07FE7">
        <w:rPr>
          <w:rFonts w:ascii="Book Antiqua" w:hAnsi="Book Antiqua"/>
        </w:rPr>
        <w:t>Fowell</w:t>
      </w:r>
      <w:proofErr w:type="spellEnd"/>
      <w:r w:rsidRPr="00A07FE7">
        <w:rPr>
          <w:rFonts w:ascii="Book Antiqua" w:hAnsi="Book Antiqua"/>
        </w:rPr>
        <w:t xml:space="preserve"> concluded that what this showed was “my no means an</w:t>
      </w:r>
      <w:r w:rsidR="00BF1658" w:rsidRPr="00A07FE7">
        <w:rPr>
          <w:rFonts w:ascii="Book Antiqua" w:hAnsi="Book Antiqua"/>
        </w:rPr>
        <w:t xml:space="preserve"> overwhelming</w:t>
      </w:r>
      <w:r w:rsidRPr="00A07FE7">
        <w:rPr>
          <w:rFonts w:ascii="Book Antiqua" w:hAnsi="Book Antiqua"/>
        </w:rPr>
        <w:t xml:space="preserve"> endorsement of the Respondent’s case” because the position as described was such that </w:t>
      </w:r>
    </w:p>
    <w:p w:rsidR="00387C38" w:rsidRDefault="00AB6EE3" w:rsidP="00387C38">
      <w:pPr>
        <w:spacing w:before="240"/>
        <w:ind w:left="1134"/>
        <w:jc w:val="both"/>
        <w:rPr>
          <w:rFonts w:ascii="Book Antiqua" w:hAnsi="Book Antiqua"/>
        </w:rPr>
      </w:pPr>
      <w:r>
        <w:rPr>
          <w:rFonts w:ascii="Book Antiqua" w:hAnsi="Book Antiqua"/>
        </w:rPr>
        <w:t>“many groups from outside the capital have managed to settle there in relative safety without any particular animosity between the population groups; the risks of ill-treatment in each case comes from the government authorities; the NISS does resort to arbitrary arrests and detention in its efforts to stamp out the rebel movements”</w:t>
      </w:r>
    </w:p>
    <w:p w:rsidR="00AB6EE3" w:rsidRPr="00AB6EE3" w:rsidRDefault="00AB6EE3" w:rsidP="00AB6EE3">
      <w:pPr>
        <w:spacing w:before="240"/>
        <w:ind w:left="567"/>
        <w:jc w:val="both"/>
        <w:rPr>
          <w:rFonts w:ascii="Book Antiqua" w:hAnsi="Book Antiqua"/>
        </w:rPr>
      </w:pPr>
      <w:r>
        <w:rPr>
          <w:rFonts w:ascii="Book Antiqua" w:hAnsi="Book Antiqua"/>
        </w:rPr>
        <w:t>and then proceeding to point out that “Darfuris are particularly vulnerable; according</w:t>
      </w:r>
      <w:r w:rsidR="00387C38">
        <w:rPr>
          <w:rFonts w:ascii="Book Antiqua" w:hAnsi="Book Antiqua"/>
        </w:rPr>
        <w:t xml:space="preserve"> to the DFAT report (at 5.2.9),” in that “there is a moderate risk of discrimination and violence on this basis </w:t>
      </w:r>
      <w:r w:rsidR="00604E11">
        <w:rPr>
          <w:rFonts w:ascii="Book Antiqua" w:hAnsi="Book Antiqua"/>
        </w:rPr>
        <w:t xml:space="preserve">however some groups (not </w:t>
      </w:r>
      <w:proofErr w:type="spellStart"/>
      <w:r w:rsidR="00604E11">
        <w:rPr>
          <w:rFonts w:ascii="Book Antiqua" w:hAnsi="Book Antiqua"/>
        </w:rPr>
        <w:t>Berti</w:t>
      </w:r>
      <w:proofErr w:type="spellEnd"/>
      <w:r w:rsidR="00604E11">
        <w:rPr>
          <w:rFonts w:ascii="Book Antiqua" w:hAnsi="Book Antiqua"/>
        </w:rPr>
        <w:t>/</w:t>
      </w:r>
      <w:proofErr w:type="spellStart"/>
      <w:r w:rsidR="00604E11">
        <w:rPr>
          <w:rFonts w:ascii="Book Antiqua" w:hAnsi="Book Antiqua"/>
        </w:rPr>
        <w:t>T</w:t>
      </w:r>
      <w:r w:rsidR="00387C38">
        <w:rPr>
          <w:rFonts w:ascii="Book Antiqua" w:hAnsi="Book Antiqua"/>
        </w:rPr>
        <w:t>unjour</w:t>
      </w:r>
      <w:proofErr w:type="spellEnd"/>
      <w:r w:rsidR="00387C38">
        <w:rPr>
          <w:rFonts w:ascii="Book Antiqua" w:hAnsi="Book Antiqua"/>
        </w:rPr>
        <w:t>) could safely relocate there”.  It is significant that the “</w:t>
      </w:r>
      <w:proofErr w:type="spellStart"/>
      <w:r w:rsidR="00387C38">
        <w:rPr>
          <w:rFonts w:ascii="Book Antiqua" w:hAnsi="Book Antiqua"/>
        </w:rPr>
        <w:t>Berti</w:t>
      </w:r>
      <w:proofErr w:type="spellEnd"/>
      <w:r w:rsidR="00387C38">
        <w:rPr>
          <w:rFonts w:ascii="Book Antiqua" w:hAnsi="Book Antiqua"/>
        </w:rPr>
        <w:t>” tribe is singled out as one that is not able to safely relocate there.</w:t>
      </w:r>
    </w:p>
    <w:p w:rsidR="00AB6EE3" w:rsidRDefault="00387C38" w:rsidP="004129BE">
      <w:pPr>
        <w:numPr>
          <w:ilvl w:val="0"/>
          <w:numId w:val="3"/>
        </w:numPr>
        <w:spacing w:before="240"/>
        <w:jc w:val="both"/>
        <w:rPr>
          <w:rFonts w:ascii="Book Antiqua" w:hAnsi="Book Antiqua"/>
          <w:color w:val="000000"/>
        </w:rPr>
      </w:pPr>
      <w:r>
        <w:rPr>
          <w:rFonts w:ascii="Book Antiqua" w:hAnsi="Book Antiqua"/>
          <w:color w:val="000000"/>
        </w:rPr>
        <w:t>On this basis, the appeal is allowed.</w:t>
      </w:r>
    </w:p>
    <w:p w:rsidR="00387C38" w:rsidRPr="00387C38" w:rsidRDefault="00387C38" w:rsidP="00387C38">
      <w:pPr>
        <w:spacing w:before="240"/>
        <w:jc w:val="both"/>
        <w:rPr>
          <w:rFonts w:ascii="Book Antiqua" w:hAnsi="Book Antiqua"/>
          <w:b/>
          <w:color w:val="000000"/>
          <w:u w:val="single"/>
        </w:rPr>
      </w:pPr>
      <w:r>
        <w:rPr>
          <w:rFonts w:ascii="Book Antiqua" w:hAnsi="Book Antiqua"/>
          <w:b/>
          <w:color w:val="000000"/>
          <w:u w:val="single"/>
        </w:rPr>
        <w:t>Grounds of Application</w:t>
      </w:r>
    </w:p>
    <w:p w:rsidR="00387C38" w:rsidRDefault="00387C38" w:rsidP="004129BE">
      <w:pPr>
        <w:numPr>
          <w:ilvl w:val="0"/>
          <w:numId w:val="3"/>
        </w:numPr>
        <w:spacing w:before="240"/>
        <w:jc w:val="both"/>
        <w:rPr>
          <w:rFonts w:ascii="Book Antiqua" w:hAnsi="Book Antiqua"/>
          <w:color w:val="000000"/>
        </w:rPr>
      </w:pPr>
      <w:r>
        <w:rPr>
          <w:rFonts w:ascii="Book Antiqua" w:hAnsi="Book Antiqua"/>
          <w:color w:val="000000"/>
        </w:rPr>
        <w:t>The grounds of application state that the judge failed to take into account the joint Danish/British FFM to Sudan, and new OGN of August 2017, preferring instead to follow the existing country guidance, having identified that it was common ground that the Appellant was a non-Arab Darfuri Sudanese.</w:t>
      </w:r>
    </w:p>
    <w:p w:rsidR="00387C38" w:rsidRDefault="00387C38" w:rsidP="004129BE">
      <w:pPr>
        <w:numPr>
          <w:ilvl w:val="0"/>
          <w:numId w:val="3"/>
        </w:numPr>
        <w:spacing w:before="240"/>
        <w:jc w:val="both"/>
        <w:rPr>
          <w:rFonts w:ascii="Book Antiqua" w:hAnsi="Book Antiqua"/>
          <w:color w:val="000000"/>
        </w:rPr>
      </w:pPr>
      <w:r>
        <w:rPr>
          <w:rFonts w:ascii="Book Antiqua" w:hAnsi="Book Antiqua"/>
          <w:color w:val="000000"/>
        </w:rPr>
        <w:t>On 28</w:t>
      </w:r>
      <w:r w:rsidR="00604E11" w:rsidRPr="00604E11">
        <w:rPr>
          <w:rFonts w:ascii="Book Antiqua" w:hAnsi="Book Antiqua"/>
          <w:color w:val="000000"/>
          <w:vertAlign w:val="superscript"/>
        </w:rPr>
        <w:t>th</w:t>
      </w:r>
      <w:r w:rsidR="00604E11">
        <w:rPr>
          <w:rFonts w:ascii="Book Antiqua" w:hAnsi="Book Antiqua"/>
          <w:color w:val="000000"/>
        </w:rPr>
        <w:t xml:space="preserve"> </w:t>
      </w:r>
      <w:r>
        <w:rPr>
          <w:rFonts w:ascii="Book Antiqua" w:hAnsi="Book Antiqua"/>
          <w:color w:val="000000"/>
        </w:rPr>
        <w:t>December 2017 permission to appeal was granted on the basis that the Judge arguably failed to analyse the relevance of that country guidance in the light of the more recent evidence (and particularly the FFM report) adequately.</w:t>
      </w:r>
    </w:p>
    <w:p w:rsidR="00387C38" w:rsidRPr="00387C38" w:rsidRDefault="00387C38" w:rsidP="00387C38">
      <w:pPr>
        <w:spacing w:before="240"/>
        <w:jc w:val="both"/>
        <w:rPr>
          <w:rFonts w:ascii="Book Antiqua" w:hAnsi="Book Antiqua"/>
          <w:b/>
          <w:color w:val="000000"/>
          <w:u w:val="single"/>
        </w:rPr>
      </w:pPr>
      <w:r>
        <w:rPr>
          <w:rFonts w:ascii="Book Antiqua" w:hAnsi="Book Antiqua"/>
          <w:b/>
          <w:color w:val="000000"/>
          <w:u w:val="single"/>
        </w:rPr>
        <w:t>Submissions</w:t>
      </w:r>
    </w:p>
    <w:p w:rsidR="00387C38" w:rsidRDefault="00604E11" w:rsidP="004129BE">
      <w:pPr>
        <w:numPr>
          <w:ilvl w:val="0"/>
          <w:numId w:val="3"/>
        </w:numPr>
        <w:spacing w:before="240"/>
        <w:jc w:val="both"/>
        <w:rPr>
          <w:rFonts w:ascii="Book Antiqua" w:hAnsi="Book Antiqua"/>
          <w:color w:val="000000"/>
        </w:rPr>
      </w:pPr>
      <w:r>
        <w:rPr>
          <w:rFonts w:ascii="Book Antiqua" w:hAnsi="Book Antiqua"/>
          <w:color w:val="000000"/>
        </w:rPr>
        <w:t>At the hearing before me on 15</w:t>
      </w:r>
      <w:r w:rsidRPr="00604E11">
        <w:rPr>
          <w:rFonts w:ascii="Book Antiqua" w:hAnsi="Book Antiqua"/>
          <w:color w:val="000000"/>
          <w:vertAlign w:val="superscript"/>
        </w:rPr>
        <w:t>th</w:t>
      </w:r>
      <w:r>
        <w:rPr>
          <w:rFonts w:ascii="Book Antiqua" w:hAnsi="Book Antiqua"/>
          <w:color w:val="000000"/>
        </w:rPr>
        <w:t xml:space="preserve"> </w:t>
      </w:r>
      <w:r w:rsidR="00387C38">
        <w:rPr>
          <w:rFonts w:ascii="Book Antiqua" w:hAnsi="Book Antiqua"/>
          <w:color w:val="000000"/>
        </w:rPr>
        <w:t xml:space="preserve">August 2018, Mrs </w:t>
      </w:r>
      <w:proofErr w:type="spellStart"/>
      <w:r w:rsidR="00387C38">
        <w:rPr>
          <w:rFonts w:ascii="Book Antiqua" w:hAnsi="Book Antiqua"/>
          <w:color w:val="000000"/>
        </w:rPr>
        <w:t>Aboni</w:t>
      </w:r>
      <w:proofErr w:type="spellEnd"/>
      <w:r w:rsidR="00387C38">
        <w:rPr>
          <w:rFonts w:ascii="Book Antiqua" w:hAnsi="Book Antiqua"/>
          <w:color w:val="000000"/>
        </w:rPr>
        <w:t xml:space="preserve"> relied upon the grounds of application.  She submitted that the position of the Secretary of State </w:t>
      </w:r>
      <w:proofErr w:type="gramStart"/>
      <w:r w:rsidR="00387C38">
        <w:rPr>
          <w:rFonts w:ascii="Book Antiqua" w:hAnsi="Book Antiqua"/>
          <w:color w:val="000000"/>
        </w:rPr>
        <w:t>in regards to</w:t>
      </w:r>
      <w:proofErr w:type="gramEnd"/>
      <w:r w:rsidR="00387C38">
        <w:rPr>
          <w:rFonts w:ascii="Book Antiqua" w:hAnsi="Book Antiqua"/>
          <w:color w:val="000000"/>
        </w:rPr>
        <w:t xml:space="preserve"> general risk which is based purely on ethnicity has been reviewed in the light of the country policy and information note (CPIN), published in August 2017.  The Secretary of State now asserts that given cogent new evidence demonstrating that the situation for non-Arab Darfuris has improved, there was no longer a risk of anything more than societal discrimination on the basis of non-Arab Darfuri ethnicity alone, unless it could also additionally be shown that the person in question had a political profile.  Second, in this case, the judge wrongly did not accept that the evidence relied upon by the Secretary of State was sufficient for him to depart from the country guidance cases.</w:t>
      </w:r>
    </w:p>
    <w:p w:rsidR="00A07FE7" w:rsidRDefault="00387C38" w:rsidP="004129BE">
      <w:pPr>
        <w:numPr>
          <w:ilvl w:val="0"/>
          <w:numId w:val="3"/>
        </w:numPr>
        <w:spacing w:before="240"/>
        <w:jc w:val="both"/>
        <w:rPr>
          <w:rFonts w:ascii="Book Antiqua" w:hAnsi="Book Antiqua"/>
          <w:color w:val="000000"/>
        </w:rPr>
      </w:pPr>
      <w:r>
        <w:rPr>
          <w:rFonts w:ascii="Book Antiqua" w:hAnsi="Book Antiqua"/>
          <w:color w:val="000000"/>
        </w:rPr>
        <w:t xml:space="preserve">For his part, Mr Khan submitted that any departure from a country guidance case must be supported by cogent grounds and for very strong reasons.  This was well-established.  The evidence that the Secretary of State submitted was not </w:t>
      </w:r>
      <w:r w:rsidR="00595079">
        <w:rPr>
          <w:rFonts w:ascii="Book Antiqua" w:hAnsi="Book Antiqua"/>
          <w:color w:val="000000"/>
        </w:rPr>
        <w:t xml:space="preserve">as </w:t>
      </w:r>
      <w:r>
        <w:rPr>
          <w:rFonts w:ascii="Book Antiqua" w:hAnsi="Book Antiqua"/>
          <w:color w:val="000000"/>
        </w:rPr>
        <w:t>su</w:t>
      </w:r>
      <w:r w:rsidR="00595079">
        <w:rPr>
          <w:rFonts w:ascii="Book Antiqua" w:hAnsi="Book Antiqua"/>
          <w:color w:val="000000"/>
        </w:rPr>
        <w:t xml:space="preserve">ch.  </w:t>
      </w:r>
    </w:p>
    <w:p w:rsidR="00A07FE7" w:rsidRDefault="00595079" w:rsidP="004129BE">
      <w:pPr>
        <w:numPr>
          <w:ilvl w:val="0"/>
          <w:numId w:val="3"/>
        </w:numPr>
        <w:spacing w:before="240"/>
        <w:jc w:val="both"/>
        <w:rPr>
          <w:rFonts w:ascii="Book Antiqua" w:hAnsi="Book Antiqua"/>
          <w:color w:val="000000"/>
        </w:rPr>
      </w:pPr>
      <w:r>
        <w:rPr>
          <w:rFonts w:ascii="Book Antiqua" w:hAnsi="Book Antiqua"/>
          <w:color w:val="000000"/>
        </w:rPr>
        <w:lastRenderedPageBreak/>
        <w:t xml:space="preserve">Second, and in any event, the judge had entered into a qualitative assessment of the Appellant’s situation, applying the relevant case law, and then coming to the conclusion that, on the basis of the background evidence laid up at paragraphs 30 to 32, the Appellant was entitled to asylum on the basis of being a member of the </w:t>
      </w:r>
      <w:proofErr w:type="spellStart"/>
      <w:r>
        <w:rPr>
          <w:rFonts w:ascii="Book Antiqua" w:hAnsi="Book Antiqua"/>
          <w:color w:val="000000"/>
        </w:rPr>
        <w:t>Berti</w:t>
      </w:r>
      <w:proofErr w:type="spellEnd"/>
      <w:r>
        <w:rPr>
          <w:rFonts w:ascii="Book Antiqua" w:hAnsi="Book Antiqua"/>
          <w:color w:val="000000"/>
        </w:rPr>
        <w:t xml:space="preserve"> tribe (which the Secretary of State does not dispute).  </w:t>
      </w:r>
    </w:p>
    <w:p w:rsidR="00A07FE7" w:rsidRDefault="00595079" w:rsidP="004129BE">
      <w:pPr>
        <w:numPr>
          <w:ilvl w:val="0"/>
          <w:numId w:val="3"/>
        </w:numPr>
        <w:spacing w:before="240"/>
        <w:jc w:val="both"/>
        <w:rPr>
          <w:rFonts w:ascii="Book Antiqua" w:hAnsi="Book Antiqua"/>
          <w:color w:val="000000"/>
        </w:rPr>
      </w:pPr>
      <w:r>
        <w:rPr>
          <w:rFonts w:ascii="Book Antiqua" w:hAnsi="Book Antiqua"/>
          <w:color w:val="000000"/>
        </w:rPr>
        <w:t>Finally, even though the Appellant lacked credibility on his contention that he was politically active, he was entitled to a finding by the judge that he was at risk on the basis of ethnicity alone, because the judge was able to justify this by reference to the country guidance given.  The judge was entitled to come down on one side of the argument.  There can be no error o</w:t>
      </w:r>
      <w:r w:rsidR="00A07FE7">
        <w:rPr>
          <w:rFonts w:ascii="Book Antiqua" w:hAnsi="Book Antiqua"/>
          <w:color w:val="000000"/>
        </w:rPr>
        <w:t xml:space="preserve">f law in this.  </w:t>
      </w:r>
    </w:p>
    <w:p w:rsidR="00387C38" w:rsidRDefault="00A07FE7" w:rsidP="004129BE">
      <w:pPr>
        <w:numPr>
          <w:ilvl w:val="0"/>
          <w:numId w:val="3"/>
        </w:numPr>
        <w:spacing w:before="240"/>
        <w:jc w:val="both"/>
        <w:rPr>
          <w:rFonts w:ascii="Book Antiqua" w:hAnsi="Book Antiqua"/>
          <w:color w:val="000000"/>
        </w:rPr>
      </w:pPr>
      <w:r>
        <w:rPr>
          <w:rFonts w:ascii="Book Antiqua" w:hAnsi="Book Antiqua"/>
          <w:color w:val="000000"/>
        </w:rPr>
        <w:t>All this was, was</w:t>
      </w:r>
      <w:r w:rsidR="00595079">
        <w:rPr>
          <w:rFonts w:ascii="Book Antiqua" w:hAnsi="Book Antiqua"/>
          <w:color w:val="000000"/>
        </w:rPr>
        <w:t xml:space="preserve"> a disagreement with the decision of the judge.  In fact, the judge sets out in very great detail (at paragraph 30) the evidence that the Respondent seeks to rely upon, under the heading “Treatment of Non-Arab Darfuris”.  He concludes (at paragraph 31) by stating that this was “by no means an over</w:t>
      </w:r>
      <w:r w:rsidR="00BF1658">
        <w:rPr>
          <w:rFonts w:ascii="Book Antiqua" w:hAnsi="Book Antiqua"/>
          <w:color w:val="000000"/>
        </w:rPr>
        <w:t>whelming</w:t>
      </w:r>
      <w:r w:rsidR="00595079">
        <w:rPr>
          <w:rFonts w:ascii="Book Antiqua" w:hAnsi="Book Antiqua"/>
          <w:color w:val="000000"/>
        </w:rPr>
        <w:t xml:space="preserve"> endorsement of the Respondent’s case”.  There was no error of law.</w:t>
      </w:r>
    </w:p>
    <w:p w:rsidR="00595079" w:rsidRPr="00595079" w:rsidRDefault="00595079" w:rsidP="00595079">
      <w:pPr>
        <w:spacing w:before="240"/>
        <w:jc w:val="both"/>
        <w:rPr>
          <w:rFonts w:ascii="Book Antiqua" w:hAnsi="Book Antiqua"/>
          <w:b/>
          <w:color w:val="000000"/>
          <w:u w:val="single"/>
        </w:rPr>
      </w:pPr>
      <w:r>
        <w:rPr>
          <w:rFonts w:ascii="Book Antiqua" w:hAnsi="Book Antiqua"/>
          <w:b/>
          <w:color w:val="000000"/>
          <w:u w:val="single"/>
        </w:rPr>
        <w:t>No Error of Law</w:t>
      </w:r>
    </w:p>
    <w:p w:rsidR="00A07FE7" w:rsidRDefault="00595079" w:rsidP="004129BE">
      <w:pPr>
        <w:numPr>
          <w:ilvl w:val="0"/>
          <w:numId w:val="3"/>
        </w:numPr>
        <w:spacing w:before="240"/>
        <w:jc w:val="both"/>
        <w:rPr>
          <w:rFonts w:ascii="Book Antiqua" w:hAnsi="Book Antiqua"/>
          <w:color w:val="000000"/>
        </w:rPr>
      </w:pPr>
      <w:r>
        <w:rPr>
          <w:rFonts w:ascii="Book Antiqua" w:hAnsi="Book Antiqua"/>
          <w:color w:val="000000"/>
        </w:rPr>
        <w:t>I am satisfied that the making of the decision by the judge did not involve the making of an error on a point of law (see Section 12</w:t>
      </w:r>
      <w:r w:rsidR="00604E11">
        <w:rPr>
          <w:rFonts w:ascii="Book Antiqua" w:hAnsi="Book Antiqua"/>
          <w:color w:val="000000"/>
        </w:rPr>
        <w:t>(1)</w:t>
      </w:r>
      <w:r>
        <w:rPr>
          <w:rFonts w:ascii="Book Antiqua" w:hAnsi="Book Antiqua"/>
          <w:color w:val="000000"/>
        </w:rPr>
        <w:t xml:space="preserve"> of TCEA 2007) such that I should set aside the decision.  Whereas there is an established rule of la</w:t>
      </w:r>
      <w:r w:rsidR="00A07FE7">
        <w:rPr>
          <w:rFonts w:ascii="Book Antiqua" w:hAnsi="Book Antiqua"/>
          <w:color w:val="000000"/>
        </w:rPr>
        <w:t>w that a country guidance case</w:t>
      </w:r>
      <w:r>
        <w:rPr>
          <w:rFonts w:ascii="Book Antiqua" w:hAnsi="Book Antiqua"/>
          <w:color w:val="000000"/>
        </w:rPr>
        <w:t xml:space="preserve"> must be followed unless there is cogent evidence before a Tribunal suggesting that it should not, it is the </w:t>
      </w:r>
      <w:r w:rsidR="00A07FE7">
        <w:rPr>
          <w:rFonts w:ascii="Book Antiqua" w:hAnsi="Book Antiqua"/>
          <w:color w:val="000000"/>
        </w:rPr>
        <w:t>ab</w:t>
      </w:r>
      <w:r>
        <w:rPr>
          <w:rFonts w:ascii="Book Antiqua" w:hAnsi="Book Antiqua"/>
          <w:color w:val="000000"/>
        </w:rPr>
        <w:t xml:space="preserve">normal proposition to reverse the argument and to submit that a decision maker has to provide clear reasons for </w:t>
      </w:r>
      <w:r>
        <w:rPr>
          <w:rFonts w:ascii="Book Antiqua" w:hAnsi="Book Antiqua"/>
          <w:color w:val="000000"/>
          <w:u w:val="single"/>
        </w:rPr>
        <w:t>not</w:t>
      </w:r>
      <w:r>
        <w:rPr>
          <w:rFonts w:ascii="Book Antiqua" w:hAnsi="Book Antiqua"/>
          <w:color w:val="000000"/>
        </w:rPr>
        <w:t xml:space="preserve"> following a country guidance case, where ordinarily he or she is expected to do precisely that.  </w:t>
      </w:r>
    </w:p>
    <w:p w:rsidR="00A07FE7" w:rsidRDefault="00595079" w:rsidP="004129BE">
      <w:pPr>
        <w:numPr>
          <w:ilvl w:val="0"/>
          <w:numId w:val="3"/>
        </w:numPr>
        <w:spacing w:before="240"/>
        <w:jc w:val="both"/>
        <w:rPr>
          <w:rFonts w:ascii="Book Antiqua" w:hAnsi="Book Antiqua"/>
          <w:color w:val="000000"/>
        </w:rPr>
      </w:pPr>
      <w:r>
        <w:rPr>
          <w:rFonts w:ascii="Book Antiqua" w:hAnsi="Book Antiqua"/>
          <w:color w:val="000000"/>
        </w:rPr>
        <w:t xml:space="preserve">Second, this is not a case where the judge simply chose to </w:t>
      </w:r>
      <w:r w:rsidR="00BF1658">
        <w:rPr>
          <w:rFonts w:ascii="Book Antiqua" w:hAnsi="Book Antiqua"/>
          <w:color w:val="000000"/>
        </w:rPr>
        <w:t xml:space="preserve">follow the country guidance case.  He sets out at the outset (at paragraph 4) the relevant legal materials that he must have regard to, one of which is certainly the August 2017 note which the Respondent relies upon.  However, it is important to remember that this is simply one item of evidence as against several others which the judge also has regard to.  </w:t>
      </w:r>
    </w:p>
    <w:p w:rsidR="00A07FE7" w:rsidRDefault="00BF1658" w:rsidP="004129BE">
      <w:pPr>
        <w:numPr>
          <w:ilvl w:val="0"/>
          <w:numId w:val="3"/>
        </w:numPr>
        <w:spacing w:before="240"/>
        <w:jc w:val="both"/>
        <w:rPr>
          <w:rFonts w:ascii="Book Antiqua" w:hAnsi="Book Antiqua"/>
          <w:color w:val="000000"/>
        </w:rPr>
      </w:pPr>
      <w:r>
        <w:rPr>
          <w:rFonts w:ascii="Book Antiqua" w:hAnsi="Book Antiqua"/>
          <w:color w:val="000000"/>
        </w:rPr>
        <w:t xml:space="preserve">The judge looks at all of the evidence before him.  Importantly, in relation to that which the Respondent relies upon, the judge gives this even more detailed consideration over several pages (at paragraph 30) before coming to the conclusion that this was not a “overwhelming endorsement of the Respondent’s case”.  </w:t>
      </w:r>
    </w:p>
    <w:p w:rsidR="00A07FE7" w:rsidRDefault="00BF1658" w:rsidP="004129BE">
      <w:pPr>
        <w:numPr>
          <w:ilvl w:val="0"/>
          <w:numId w:val="3"/>
        </w:numPr>
        <w:spacing w:before="240"/>
        <w:jc w:val="both"/>
        <w:rPr>
          <w:rFonts w:ascii="Book Antiqua" w:hAnsi="Book Antiqua"/>
          <w:color w:val="000000"/>
        </w:rPr>
      </w:pPr>
      <w:r>
        <w:rPr>
          <w:rFonts w:ascii="Book Antiqua" w:hAnsi="Book Antiqua"/>
          <w:color w:val="000000"/>
        </w:rPr>
        <w:t xml:space="preserve">Finally, and in any event, even in relation to that material, there is a clear exception pointed out in relation to the </w:t>
      </w:r>
      <w:proofErr w:type="spellStart"/>
      <w:r>
        <w:rPr>
          <w:rFonts w:ascii="Book Antiqua" w:hAnsi="Book Antiqua"/>
          <w:color w:val="000000"/>
        </w:rPr>
        <w:t>Berti</w:t>
      </w:r>
      <w:proofErr w:type="spellEnd"/>
      <w:r>
        <w:rPr>
          <w:rFonts w:ascii="Book Antiqua" w:hAnsi="Book Antiqua"/>
          <w:color w:val="000000"/>
        </w:rPr>
        <w:t xml:space="preserve"> people, who it is said cannot safely relocate (at paragraph 31).  The judge is clear that there remains a significant risk (expressed as moderate) on the basis of ethnicity, and this is plainly apparent from the latest country guidance in </w:t>
      </w:r>
      <w:r>
        <w:rPr>
          <w:rFonts w:ascii="Book Antiqua" w:hAnsi="Book Antiqua"/>
          <w:b/>
          <w:color w:val="000000"/>
          <w:u w:val="single"/>
        </w:rPr>
        <w:t>IM and AM</w:t>
      </w:r>
      <w:r>
        <w:rPr>
          <w:rFonts w:ascii="Book Antiqua" w:hAnsi="Book Antiqua"/>
          <w:color w:val="000000"/>
        </w:rPr>
        <w:t xml:space="preserve"> (see paragraph 32).  </w:t>
      </w:r>
    </w:p>
    <w:p w:rsidR="00595079" w:rsidRDefault="00BF1658" w:rsidP="004129BE">
      <w:pPr>
        <w:numPr>
          <w:ilvl w:val="0"/>
          <w:numId w:val="3"/>
        </w:numPr>
        <w:spacing w:before="240"/>
        <w:jc w:val="both"/>
        <w:rPr>
          <w:rFonts w:ascii="Book Antiqua" w:hAnsi="Book Antiqua"/>
          <w:color w:val="000000"/>
        </w:rPr>
      </w:pPr>
      <w:r>
        <w:rPr>
          <w:rFonts w:ascii="Book Antiqua" w:hAnsi="Book Antiqua"/>
          <w:color w:val="000000"/>
        </w:rPr>
        <w:t>The judge’s conclusion that “Mr Ali is entitled to asylum on the basis of his ethnicity alone” (paragraph 32) was accordingly, one that he was entitled to come to.</w:t>
      </w:r>
    </w:p>
    <w:p w:rsidR="00BF1658" w:rsidRPr="00BF1658" w:rsidRDefault="00BF1658" w:rsidP="00BF1658">
      <w:pPr>
        <w:spacing w:before="240"/>
        <w:jc w:val="both"/>
        <w:rPr>
          <w:rFonts w:ascii="Book Antiqua" w:hAnsi="Book Antiqua"/>
          <w:b/>
          <w:color w:val="000000"/>
          <w:u w:val="single"/>
        </w:rPr>
      </w:pPr>
      <w:r>
        <w:rPr>
          <w:rFonts w:ascii="Book Antiqua" w:hAnsi="Book Antiqua"/>
          <w:b/>
          <w:color w:val="000000"/>
          <w:u w:val="single"/>
        </w:rPr>
        <w:lastRenderedPageBreak/>
        <w:t>Decision</w:t>
      </w:r>
    </w:p>
    <w:p w:rsidR="00AB6EE3" w:rsidRPr="00BF1658" w:rsidRDefault="00BF1658" w:rsidP="00BF1658">
      <w:pPr>
        <w:spacing w:before="240"/>
        <w:jc w:val="both"/>
        <w:rPr>
          <w:rFonts w:ascii="Book Antiqua" w:hAnsi="Book Antiqua"/>
          <w:color w:val="000000"/>
        </w:rPr>
      </w:pPr>
      <w:r>
        <w:rPr>
          <w:rFonts w:ascii="Book Antiqua" w:hAnsi="Book Antiqua"/>
          <w:color w:val="000000"/>
        </w:rPr>
        <w:t>There is no material error of law in the original judge’s decision.  The determination shall stand.</w:t>
      </w:r>
    </w:p>
    <w:p w:rsidR="00387C38" w:rsidRDefault="00387C38" w:rsidP="007422B2">
      <w:pPr>
        <w:jc w:val="both"/>
        <w:rPr>
          <w:rFonts w:ascii="Book Antiqua" w:hAnsi="Book Antiqua"/>
          <w:color w:val="000000"/>
        </w:rPr>
      </w:pPr>
    </w:p>
    <w:p w:rsidR="00BF1658" w:rsidRDefault="00BF1658" w:rsidP="007422B2">
      <w:pPr>
        <w:jc w:val="both"/>
        <w:rPr>
          <w:rFonts w:ascii="Book Antiqua" w:hAnsi="Book Antiqua"/>
          <w:color w:val="000000"/>
        </w:rPr>
      </w:pPr>
      <w:r>
        <w:rPr>
          <w:rFonts w:ascii="Book Antiqua" w:hAnsi="Book Antiqua"/>
          <w:color w:val="000000"/>
        </w:rPr>
        <w:t>An anonymity order is made.</w:t>
      </w:r>
    </w:p>
    <w:p w:rsidR="00BF1658" w:rsidRDefault="00BF1658" w:rsidP="007422B2">
      <w:pPr>
        <w:jc w:val="both"/>
        <w:rPr>
          <w:rFonts w:ascii="Book Antiqua" w:hAnsi="Book Antiqua"/>
          <w:color w:val="000000"/>
        </w:rPr>
      </w:pPr>
    </w:p>
    <w:p w:rsidR="00BF1658" w:rsidRDefault="00BF1658" w:rsidP="007422B2">
      <w:pPr>
        <w:jc w:val="both"/>
        <w:rPr>
          <w:rFonts w:ascii="Book Antiqua" w:hAnsi="Book Antiqua"/>
          <w:color w:val="000000"/>
        </w:rPr>
      </w:pPr>
      <w:r>
        <w:rPr>
          <w:rFonts w:ascii="Book Antiqua" w:hAnsi="Book Antiqua"/>
          <w:color w:val="000000"/>
        </w:rPr>
        <w:t>The appeal of the Secretary of State is dismissed.</w:t>
      </w:r>
    </w:p>
    <w:p w:rsidR="009F518E" w:rsidRPr="009F518E" w:rsidRDefault="009F518E" w:rsidP="009F518E">
      <w:pPr>
        <w:jc w:val="both"/>
        <w:rPr>
          <w:rFonts w:ascii="Book Antiqua" w:hAnsi="Book Antiqua" w:cs="Arial"/>
        </w:rPr>
      </w:pPr>
    </w:p>
    <w:p w:rsidR="009F518E" w:rsidRPr="009F518E" w:rsidRDefault="009F518E" w:rsidP="009F518E">
      <w:pPr>
        <w:jc w:val="both"/>
        <w:rPr>
          <w:rFonts w:ascii="Book Antiqua" w:hAnsi="Book Antiqua" w:cs="Arial"/>
        </w:rPr>
      </w:pPr>
    </w:p>
    <w:p w:rsidR="009F518E" w:rsidRPr="009F518E" w:rsidRDefault="00016A4C" w:rsidP="009F518E">
      <w:pPr>
        <w:jc w:val="both"/>
        <w:rPr>
          <w:rFonts w:ascii="Book Antiqua" w:hAnsi="Book Antiqua" w:cs="Arial"/>
        </w:rPr>
      </w:pPr>
      <w:r>
        <w:rPr>
          <w:rFonts w:ascii="Book Antiqua" w:hAnsi="Book Antiqua" w:cs="Arial"/>
          <w:b/>
          <w:u w:val="single"/>
        </w:rPr>
        <w:t>Direction</w:t>
      </w:r>
      <w:r w:rsidR="009F518E" w:rsidRPr="009F518E">
        <w:rPr>
          <w:rFonts w:ascii="Book Antiqua" w:hAnsi="Book Antiqua" w:cs="Arial"/>
          <w:b/>
          <w:u w:val="single"/>
        </w:rPr>
        <w:t xml:space="preserve"> Regarding Anonymity – Rule 14 of the Tribunal Procedure (Upper Tribunal) Rules 2008</w:t>
      </w:r>
    </w:p>
    <w:p w:rsidR="009F518E" w:rsidRPr="009F518E" w:rsidRDefault="009F518E" w:rsidP="009F518E">
      <w:pPr>
        <w:jc w:val="both"/>
        <w:rPr>
          <w:rFonts w:ascii="Book Antiqua" w:hAnsi="Book Antiqua" w:cs="Arial"/>
        </w:rPr>
      </w:pPr>
    </w:p>
    <w:p w:rsidR="000369F5" w:rsidRPr="00F5664C" w:rsidRDefault="009F518E" w:rsidP="00A07FE7">
      <w:pPr>
        <w:jc w:val="both"/>
        <w:rPr>
          <w:rFonts w:ascii="Book Antiqua" w:hAnsi="Book Antiqua" w:cs="Arial"/>
        </w:rPr>
      </w:pPr>
      <w:r w:rsidRPr="009F518E">
        <w:rPr>
          <w:rFonts w:ascii="Book Antiqua" w:hAnsi="Book Antiqua" w:cs="Arial"/>
        </w:rPr>
        <w:t xml:space="preserve">Unless and </w:t>
      </w:r>
      <w:r w:rsidRPr="009F518E">
        <w:rPr>
          <w:rFonts w:ascii="Book Antiqua" w:hAnsi="Book Antiqua"/>
        </w:rPr>
        <w:t xml:space="preserve">until a Tribunal or court directs otherwise, the Appellant is granted anonymity.  No report of these proceedings shall directly or indirectly identify him or any member of their family.  This </w:t>
      </w:r>
      <w:r w:rsidR="00016A4C">
        <w:rPr>
          <w:rFonts w:ascii="Book Antiqua" w:hAnsi="Book Antiqua"/>
        </w:rPr>
        <w:t>direction</w:t>
      </w:r>
      <w:r w:rsidRPr="009F518E">
        <w:rPr>
          <w:rFonts w:ascii="Book Antiqua" w:hAnsi="Book Antiqua"/>
        </w:rPr>
        <w:t xml:space="preserve"> applies both to the Appellant and to the Respondent.  Failure to comply with this </w:t>
      </w:r>
      <w:r w:rsidR="00016A4C">
        <w:rPr>
          <w:rFonts w:ascii="Book Antiqua" w:hAnsi="Book Antiqua"/>
        </w:rPr>
        <w:t>direction</w:t>
      </w:r>
      <w:r w:rsidRPr="009F518E">
        <w:rPr>
          <w:rFonts w:ascii="Book Antiqua" w:hAnsi="Book Antiqua"/>
        </w:rPr>
        <w:t xml:space="preserve"> could lead to contempt of court proceedings.</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CB3C69"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proofErr w:type="spellStart"/>
      <w:r w:rsidR="007D43F8">
        <w:rPr>
          <w:rFonts w:ascii="Book Antiqua" w:hAnsi="Book Antiqua" w:cs="Arial"/>
        </w:rPr>
        <w:t>Juss</w:t>
      </w:r>
      <w:proofErr w:type="spellEnd"/>
      <w:r w:rsidR="00A07FE7">
        <w:rPr>
          <w:rFonts w:ascii="Book Antiqua" w:hAnsi="Book Antiqua" w:cs="Arial"/>
        </w:rPr>
        <w:tab/>
      </w:r>
      <w:r w:rsidR="00A07FE7">
        <w:rPr>
          <w:rFonts w:ascii="Book Antiqua" w:hAnsi="Book Antiqua" w:cs="Arial"/>
        </w:rPr>
        <w:tab/>
      </w:r>
      <w:r w:rsidR="00A07FE7">
        <w:rPr>
          <w:rFonts w:ascii="Book Antiqua" w:hAnsi="Book Antiqua" w:cs="Arial"/>
        </w:rPr>
        <w:tab/>
      </w:r>
      <w:r w:rsidR="00A07FE7">
        <w:rPr>
          <w:rFonts w:ascii="Book Antiqua" w:hAnsi="Book Antiqua" w:cs="Arial"/>
        </w:rPr>
        <w:tab/>
        <w:t>10</w:t>
      </w:r>
      <w:r w:rsidR="00A07FE7" w:rsidRPr="00A07FE7">
        <w:rPr>
          <w:rFonts w:ascii="Book Antiqua" w:hAnsi="Book Antiqua" w:cs="Arial"/>
          <w:vertAlign w:val="superscript"/>
        </w:rPr>
        <w:t>th</w:t>
      </w:r>
      <w:r w:rsidR="00A07FE7">
        <w:rPr>
          <w:rFonts w:ascii="Book Antiqua" w:hAnsi="Book Antiqua" w:cs="Arial"/>
        </w:rPr>
        <w:t xml:space="preserve"> September 2018 </w:t>
      </w:r>
    </w:p>
    <w:p w:rsidR="00CB3C69" w:rsidRPr="00CB3C69" w:rsidRDefault="00CB3C69" w:rsidP="00CB3C69">
      <w:pPr>
        <w:rPr>
          <w:rFonts w:ascii="Book Antiqua" w:hAnsi="Book Antiqua" w:cs="Arial"/>
        </w:rPr>
      </w:pPr>
    </w:p>
    <w:p w:rsidR="00CB3C69" w:rsidRPr="00CB3C69" w:rsidRDefault="00CB3C69" w:rsidP="00CB3C69">
      <w:pPr>
        <w:rPr>
          <w:rFonts w:ascii="Book Antiqua" w:hAnsi="Book Antiqua" w:cs="Arial"/>
        </w:rPr>
      </w:pPr>
    </w:p>
    <w:p w:rsidR="00CB3C69" w:rsidRPr="00CB3C69" w:rsidRDefault="00CB3C69" w:rsidP="00CB3C69">
      <w:pPr>
        <w:rPr>
          <w:rFonts w:ascii="Book Antiqua" w:hAnsi="Book Antiqua" w:cs="Arial"/>
        </w:rPr>
      </w:pPr>
    </w:p>
    <w:p w:rsidR="00CB3C69" w:rsidRPr="00CB3C69" w:rsidRDefault="00CB3C69" w:rsidP="00CB3C69">
      <w:pPr>
        <w:rPr>
          <w:rFonts w:ascii="Book Antiqua" w:hAnsi="Book Antiqua" w:cs="Arial"/>
        </w:rPr>
      </w:pPr>
    </w:p>
    <w:p w:rsidR="00CB3C69" w:rsidRPr="00CB3C69" w:rsidRDefault="00CB3C69" w:rsidP="00CB3C69">
      <w:pPr>
        <w:rPr>
          <w:rFonts w:ascii="Book Antiqua" w:hAnsi="Book Antiqua" w:cs="Arial"/>
        </w:rPr>
      </w:pPr>
    </w:p>
    <w:sectPr w:rsidR="00CB3C69" w:rsidRPr="00CB3C69"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9BE" w:rsidRDefault="004129BE">
      <w:r>
        <w:separator/>
      </w:r>
    </w:p>
  </w:endnote>
  <w:endnote w:type="continuationSeparator" w:id="0">
    <w:p w:rsidR="004129BE" w:rsidRDefault="00412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449EE">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9BE" w:rsidRDefault="004129BE">
      <w:r>
        <w:separator/>
      </w:r>
    </w:p>
  </w:footnote>
  <w:footnote w:type="continuationSeparator" w:id="0">
    <w:p w:rsidR="004129BE" w:rsidRDefault="00412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CE04D9">
      <w:rPr>
        <w:rFonts w:ascii="Book Antiqua" w:hAnsi="Book Antiqua" w:cs="Arial"/>
        <w:sz w:val="16"/>
        <w:szCs w:val="16"/>
      </w:rPr>
      <w:t>PA/11133</w:t>
    </w:r>
    <w:r w:rsidR="00405FE1">
      <w:rPr>
        <w:rFonts w:ascii="Book Antiqua" w:hAnsi="Book Antiqua" w:cs="Arial"/>
        <w:sz w:val="16"/>
        <w:szCs w:val="16"/>
      </w:rPr>
      <w:t>/2017</w:t>
    </w:r>
  </w:p>
  <w:p w:rsidR="00BF1658" w:rsidRDefault="00BF1658" w:rsidP="000369F5">
    <w:pPr>
      <w:pStyle w:val="Header"/>
      <w:tabs>
        <w:tab w:val="clear" w:pos="4153"/>
        <w:tab w:val="clear" w:pos="8306"/>
        <w:tab w:val="right" w:pos="9639"/>
      </w:tabs>
      <w:jc w:val="right"/>
      <w:rPr>
        <w:rFonts w:ascii="Book Antiqua" w:hAnsi="Book Antiqua" w:cs="Arial"/>
        <w:sz w:val="16"/>
        <w:szCs w:val="16"/>
      </w:rPr>
    </w:pPr>
  </w:p>
  <w:p w:rsidR="00BF1658" w:rsidRDefault="00BF1658" w:rsidP="00BF1658">
    <w:pPr>
      <w:pStyle w:val="Header"/>
      <w:tabs>
        <w:tab w:val="clear" w:pos="4153"/>
        <w:tab w:val="clear" w:pos="8306"/>
        <w:tab w:val="right" w:pos="9639"/>
      </w:tabs>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5F60322"/>
    <w:multiLevelType w:val="hybridMultilevel"/>
    <w:tmpl w:val="AD2C1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0"/>
  </w:num>
  <w:num w:numId="6">
    <w:abstractNumId w:val="12"/>
  </w:num>
  <w:num w:numId="7">
    <w:abstractNumId w:val="19"/>
  </w:num>
  <w:num w:numId="8">
    <w:abstractNumId w:val="9"/>
  </w:num>
  <w:num w:numId="9">
    <w:abstractNumId w:val="7"/>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13"/>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E1"/>
    <w:rsid w:val="00000621"/>
    <w:rsid w:val="000036C2"/>
    <w:rsid w:val="00016A4C"/>
    <w:rsid w:val="00033D3D"/>
    <w:rsid w:val="000369F5"/>
    <w:rsid w:val="00071A7E"/>
    <w:rsid w:val="000746C0"/>
    <w:rsid w:val="00074D1D"/>
    <w:rsid w:val="00077227"/>
    <w:rsid w:val="00092580"/>
    <w:rsid w:val="000A5ADA"/>
    <w:rsid w:val="000D01C9"/>
    <w:rsid w:val="000D5D94"/>
    <w:rsid w:val="000E0CD7"/>
    <w:rsid w:val="00114F8B"/>
    <w:rsid w:val="001165A7"/>
    <w:rsid w:val="00141235"/>
    <w:rsid w:val="001449EE"/>
    <w:rsid w:val="00151BB7"/>
    <w:rsid w:val="00167D3A"/>
    <w:rsid w:val="00172A08"/>
    <w:rsid w:val="001A1E2C"/>
    <w:rsid w:val="001E6D6D"/>
    <w:rsid w:val="001F2716"/>
    <w:rsid w:val="0020133A"/>
    <w:rsid w:val="00207617"/>
    <w:rsid w:val="00246E34"/>
    <w:rsid w:val="00255071"/>
    <w:rsid w:val="00263476"/>
    <w:rsid w:val="00283659"/>
    <w:rsid w:val="002C4E73"/>
    <w:rsid w:val="002D5A7F"/>
    <w:rsid w:val="002D68BF"/>
    <w:rsid w:val="002E75DE"/>
    <w:rsid w:val="002E7C58"/>
    <w:rsid w:val="0030070F"/>
    <w:rsid w:val="00336CBF"/>
    <w:rsid w:val="003546C8"/>
    <w:rsid w:val="00387C38"/>
    <w:rsid w:val="003A7CF2"/>
    <w:rsid w:val="003C5CE5"/>
    <w:rsid w:val="003E267B"/>
    <w:rsid w:val="003E7CD1"/>
    <w:rsid w:val="00402B9E"/>
    <w:rsid w:val="00405FE1"/>
    <w:rsid w:val="004061C2"/>
    <w:rsid w:val="004129BE"/>
    <w:rsid w:val="0041360E"/>
    <w:rsid w:val="00423932"/>
    <w:rsid w:val="004249CB"/>
    <w:rsid w:val="0044127D"/>
    <w:rsid w:val="004448DB"/>
    <w:rsid w:val="00446C9A"/>
    <w:rsid w:val="00477193"/>
    <w:rsid w:val="004A1848"/>
    <w:rsid w:val="00507FEC"/>
    <w:rsid w:val="00510F0E"/>
    <w:rsid w:val="00530B04"/>
    <w:rsid w:val="00532E7D"/>
    <w:rsid w:val="00542DB1"/>
    <w:rsid w:val="005479E1"/>
    <w:rsid w:val="005570FD"/>
    <w:rsid w:val="005575EA"/>
    <w:rsid w:val="0057790C"/>
    <w:rsid w:val="00593795"/>
    <w:rsid w:val="00595079"/>
    <w:rsid w:val="005A75FF"/>
    <w:rsid w:val="005B7789"/>
    <w:rsid w:val="005E670F"/>
    <w:rsid w:val="00604E11"/>
    <w:rsid w:val="0065791C"/>
    <w:rsid w:val="006803E1"/>
    <w:rsid w:val="00690B8A"/>
    <w:rsid w:val="006D1DFA"/>
    <w:rsid w:val="006D506B"/>
    <w:rsid w:val="006E3C90"/>
    <w:rsid w:val="00704B61"/>
    <w:rsid w:val="00707DB1"/>
    <w:rsid w:val="007353BB"/>
    <w:rsid w:val="007422B2"/>
    <w:rsid w:val="00742A8D"/>
    <w:rsid w:val="007552A9"/>
    <w:rsid w:val="00761858"/>
    <w:rsid w:val="00767D59"/>
    <w:rsid w:val="00776E97"/>
    <w:rsid w:val="00780FD7"/>
    <w:rsid w:val="0078703A"/>
    <w:rsid w:val="007912AD"/>
    <w:rsid w:val="007A1F28"/>
    <w:rsid w:val="007B0824"/>
    <w:rsid w:val="007D43F8"/>
    <w:rsid w:val="008303B8"/>
    <w:rsid w:val="00833DCE"/>
    <w:rsid w:val="00842418"/>
    <w:rsid w:val="008533CF"/>
    <w:rsid w:val="008634DB"/>
    <w:rsid w:val="00871D34"/>
    <w:rsid w:val="008B270C"/>
    <w:rsid w:val="008C3D3D"/>
    <w:rsid w:val="008D4131"/>
    <w:rsid w:val="008F1932"/>
    <w:rsid w:val="008F294D"/>
    <w:rsid w:val="00921062"/>
    <w:rsid w:val="0092618D"/>
    <w:rsid w:val="0093083E"/>
    <w:rsid w:val="0093333B"/>
    <w:rsid w:val="00966ECF"/>
    <w:rsid w:val="009727A3"/>
    <w:rsid w:val="00987774"/>
    <w:rsid w:val="009A11E8"/>
    <w:rsid w:val="009E4E62"/>
    <w:rsid w:val="009F518E"/>
    <w:rsid w:val="009F5220"/>
    <w:rsid w:val="009F7A4B"/>
    <w:rsid w:val="009F7C4D"/>
    <w:rsid w:val="00A07FE7"/>
    <w:rsid w:val="00A15234"/>
    <w:rsid w:val="00A201AB"/>
    <w:rsid w:val="00A31C8B"/>
    <w:rsid w:val="00A75965"/>
    <w:rsid w:val="00A845DC"/>
    <w:rsid w:val="00A97AEE"/>
    <w:rsid w:val="00AB6EE3"/>
    <w:rsid w:val="00AC5CF6"/>
    <w:rsid w:val="00B144FA"/>
    <w:rsid w:val="00B16F58"/>
    <w:rsid w:val="00B3031B"/>
    <w:rsid w:val="00B30648"/>
    <w:rsid w:val="00B3524D"/>
    <w:rsid w:val="00B35AF6"/>
    <w:rsid w:val="00B40F69"/>
    <w:rsid w:val="00B46616"/>
    <w:rsid w:val="00B52A42"/>
    <w:rsid w:val="00B610E3"/>
    <w:rsid w:val="00B61205"/>
    <w:rsid w:val="00B617C4"/>
    <w:rsid w:val="00B626FA"/>
    <w:rsid w:val="00B7040A"/>
    <w:rsid w:val="00B96FA0"/>
    <w:rsid w:val="00BC42D3"/>
    <w:rsid w:val="00BD4196"/>
    <w:rsid w:val="00BF1658"/>
    <w:rsid w:val="00BF22CA"/>
    <w:rsid w:val="00C0322E"/>
    <w:rsid w:val="00C26032"/>
    <w:rsid w:val="00C265B0"/>
    <w:rsid w:val="00C321B5"/>
    <w:rsid w:val="00C345E1"/>
    <w:rsid w:val="00C36A07"/>
    <w:rsid w:val="00C977BA"/>
    <w:rsid w:val="00CB3C69"/>
    <w:rsid w:val="00CB6E35"/>
    <w:rsid w:val="00CE04D9"/>
    <w:rsid w:val="00CE1A46"/>
    <w:rsid w:val="00CE26B2"/>
    <w:rsid w:val="00CE6AFA"/>
    <w:rsid w:val="00CF01A8"/>
    <w:rsid w:val="00CF253F"/>
    <w:rsid w:val="00CF56B4"/>
    <w:rsid w:val="00D20F09"/>
    <w:rsid w:val="00D22636"/>
    <w:rsid w:val="00D22FA8"/>
    <w:rsid w:val="00D24A9C"/>
    <w:rsid w:val="00D40FD9"/>
    <w:rsid w:val="00D50242"/>
    <w:rsid w:val="00D53769"/>
    <w:rsid w:val="00D562ED"/>
    <w:rsid w:val="00D63446"/>
    <w:rsid w:val="00D647F9"/>
    <w:rsid w:val="00D65912"/>
    <w:rsid w:val="00D85C13"/>
    <w:rsid w:val="00D91BE3"/>
    <w:rsid w:val="00D94AFC"/>
    <w:rsid w:val="00DB70AE"/>
    <w:rsid w:val="00DB7231"/>
    <w:rsid w:val="00DD5071"/>
    <w:rsid w:val="00DD5C39"/>
    <w:rsid w:val="00DE26AF"/>
    <w:rsid w:val="00DE7DB7"/>
    <w:rsid w:val="00E00A0A"/>
    <w:rsid w:val="00E07F57"/>
    <w:rsid w:val="00E1040E"/>
    <w:rsid w:val="00E50BCE"/>
    <w:rsid w:val="00E61292"/>
    <w:rsid w:val="00E76309"/>
    <w:rsid w:val="00E77C4D"/>
    <w:rsid w:val="00E81D01"/>
    <w:rsid w:val="00EA161D"/>
    <w:rsid w:val="00EE45D8"/>
    <w:rsid w:val="00F004CD"/>
    <w:rsid w:val="00F128F6"/>
    <w:rsid w:val="00F22A22"/>
    <w:rsid w:val="00F22EDA"/>
    <w:rsid w:val="00F3224D"/>
    <w:rsid w:val="00F33E0E"/>
    <w:rsid w:val="00F53574"/>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6981AF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AB6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54155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BCD85-96AE-4E3B-9F73-ACC621FA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1765</Words>
  <Characters>8864</Characters>
  <Application>Microsoft Office Word</Application>
  <DocSecurity>0</DocSecurity>
  <Lines>73</Lines>
  <Paragraphs>21</Paragraphs>
  <ScaleCrop>false</ScaleCrop>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2018-10-03T10:31:00Z</dcterms:created>
  <dcterms:modified xsi:type="dcterms:W3CDTF">2018-10-03T10:31:00Z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