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4A0FAB" w:rsidRDefault="00AB7F46" w:rsidP="00C321B5">
      <w:pPr>
        <w:jc w:val="center"/>
        <w:rPr>
          <w:rFonts w:ascii="Book Antiqua" w:hAnsi="Book Antiqua" w:cs="Arial"/>
          <w:sz w:val="16"/>
          <w:szCs w:val="16"/>
        </w:rPr>
      </w:pPr>
      <w:r w:rsidRPr="004A0FAB">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4A0FAB"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81645D"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81645D" w:rsidRPr="0081645D">
        <w:rPr>
          <w:rFonts w:ascii="Book Antiqua" w:hAnsi="Book Antiqua" w:cs="Arial"/>
          <w:caps/>
        </w:rPr>
        <w:t>PA/11234/2017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823"/>
        <w:gridCol w:w="925"/>
        <w:gridCol w:w="3890"/>
      </w:tblGrid>
      <w:tr w:rsidR="00D22636" w:rsidRPr="008215D0" w:rsidTr="00246917">
        <w:tc>
          <w:tcPr>
            <w:tcW w:w="4928" w:type="dxa"/>
            <w:shd w:val="clear" w:color="auto" w:fill="auto"/>
          </w:tcPr>
          <w:p w:rsidR="00D22636" w:rsidRPr="008215D0" w:rsidRDefault="00D22636" w:rsidP="008215D0">
            <w:pPr>
              <w:jc w:val="both"/>
              <w:rPr>
                <w:rFonts w:ascii="Book Antiqua" w:hAnsi="Book Antiqua" w:cs="Arial"/>
                <w:b/>
              </w:rPr>
            </w:pPr>
            <w:r w:rsidRPr="008215D0">
              <w:rPr>
                <w:rFonts w:ascii="Book Antiqua" w:hAnsi="Book Antiqua" w:cs="Arial"/>
                <w:b/>
              </w:rPr>
              <w:t xml:space="preserve">Heard at </w:t>
            </w:r>
            <w:r w:rsidR="0081645D" w:rsidRPr="008215D0">
              <w:rPr>
                <w:rFonts w:ascii="Book Antiqua" w:hAnsi="Book Antiqua" w:cs="Arial"/>
                <w:b/>
              </w:rPr>
              <w:t xml:space="preserve">Field House </w:t>
            </w:r>
          </w:p>
        </w:tc>
        <w:tc>
          <w:tcPr>
            <w:tcW w:w="4900" w:type="dxa"/>
            <w:gridSpan w:val="2"/>
            <w:shd w:val="clear" w:color="auto" w:fill="auto"/>
          </w:tcPr>
          <w:p w:rsidR="00D22636" w:rsidRPr="008215D0" w:rsidRDefault="00283659" w:rsidP="008215D0">
            <w:pPr>
              <w:jc w:val="both"/>
              <w:rPr>
                <w:rFonts w:ascii="Book Antiqua" w:hAnsi="Book Antiqua" w:cs="Arial"/>
                <w:b/>
              </w:rPr>
            </w:pPr>
            <w:r w:rsidRPr="008215D0">
              <w:rPr>
                <w:rFonts w:ascii="Book Antiqua" w:hAnsi="Book Antiqua" w:cs="Arial"/>
                <w:b/>
              </w:rPr>
              <w:t>De</w:t>
            </w:r>
            <w:r w:rsidR="00864126" w:rsidRPr="008215D0">
              <w:rPr>
                <w:rFonts w:ascii="Book Antiqua" w:hAnsi="Book Antiqua" w:cs="Arial"/>
                <w:b/>
              </w:rPr>
              <w:t>cision &amp; Reasons</w:t>
            </w:r>
            <w:r w:rsidRPr="008215D0">
              <w:rPr>
                <w:rFonts w:ascii="Book Antiqua" w:hAnsi="Book Antiqua" w:cs="Arial"/>
                <w:b/>
              </w:rPr>
              <w:t xml:space="preserve"> Promulgated</w:t>
            </w:r>
          </w:p>
        </w:tc>
      </w:tr>
      <w:tr w:rsidR="00D22636" w:rsidRPr="008215D0" w:rsidTr="00246917">
        <w:tc>
          <w:tcPr>
            <w:tcW w:w="4928" w:type="dxa"/>
            <w:shd w:val="clear" w:color="auto" w:fill="auto"/>
          </w:tcPr>
          <w:p w:rsidR="00D22636" w:rsidRPr="008215D0" w:rsidRDefault="00D22636" w:rsidP="008215D0">
            <w:pPr>
              <w:jc w:val="both"/>
              <w:rPr>
                <w:rFonts w:ascii="Book Antiqua" w:hAnsi="Book Antiqua" w:cs="Arial"/>
                <w:b/>
              </w:rPr>
            </w:pPr>
            <w:r w:rsidRPr="008215D0">
              <w:rPr>
                <w:rFonts w:ascii="Book Antiqua" w:hAnsi="Book Antiqua" w:cs="Arial"/>
                <w:b/>
              </w:rPr>
              <w:t xml:space="preserve">On </w:t>
            </w:r>
            <w:r w:rsidR="0081645D" w:rsidRPr="008215D0">
              <w:rPr>
                <w:rFonts w:ascii="Book Antiqua" w:hAnsi="Book Antiqua" w:cs="Arial"/>
                <w:b/>
              </w:rPr>
              <w:t>11</w:t>
            </w:r>
            <w:r w:rsidR="0081645D" w:rsidRPr="008215D0">
              <w:rPr>
                <w:rFonts w:ascii="Book Antiqua" w:hAnsi="Book Antiqua" w:cs="Arial"/>
                <w:b/>
                <w:vertAlign w:val="superscript"/>
              </w:rPr>
              <w:t>th</w:t>
            </w:r>
            <w:r w:rsidR="0081645D" w:rsidRPr="008215D0">
              <w:rPr>
                <w:rFonts w:ascii="Book Antiqua" w:hAnsi="Book Antiqua" w:cs="Arial"/>
                <w:b/>
              </w:rPr>
              <w:t xml:space="preserve"> May 2018 </w:t>
            </w:r>
          </w:p>
        </w:tc>
        <w:tc>
          <w:tcPr>
            <w:tcW w:w="4900" w:type="dxa"/>
            <w:gridSpan w:val="2"/>
            <w:shd w:val="clear" w:color="auto" w:fill="auto"/>
          </w:tcPr>
          <w:p w:rsidR="00D22636" w:rsidRPr="008215D0" w:rsidRDefault="00246917" w:rsidP="008215D0">
            <w:pPr>
              <w:jc w:val="both"/>
              <w:rPr>
                <w:rFonts w:ascii="Book Antiqua" w:hAnsi="Book Antiqua" w:cs="Arial"/>
                <w:b/>
              </w:rPr>
            </w:pPr>
            <w:r>
              <w:rPr>
                <w:rFonts w:ascii="Book Antiqua" w:hAnsi="Book Antiqua" w:cs="Arial"/>
                <w:b/>
              </w:rPr>
              <w:t>On 31</w:t>
            </w:r>
            <w:r w:rsidRPr="00246917">
              <w:rPr>
                <w:rFonts w:ascii="Book Antiqua" w:hAnsi="Book Antiqua" w:cs="Arial"/>
                <w:b/>
                <w:vertAlign w:val="superscript"/>
              </w:rPr>
              <w:t>st</w:t>
            </w:r>
            <w:r>
              <w:rPr>
                <w:rFonts w:ascii="Book Antiqua" w:hAnsi="Book Antiqua" w:cs="Arial"/>
                <w:b/>
              </w:rPr>
              <w:t xml:space="preserve"> May 2018 </w:t>
            </w:r>
          </w:p>
        </w:tc>
      </w:tr>
      <w:tr w:rsidR="00D22636" w:rsidRPr="008215D0" w:rsidTr="00246917">
        <w:tc>
          <w:tcPr>
            <w:tcW w:w="5868" w:type="dxa"/>
            <w:gridSpan w:val="2"/>
            <w:shd w:val="clear" w:color="auto" w:fill="auto"/>
          </w:tcPr>
          <w:p w:rsidR="00D22636" w:rsidRPr="008215D0" w:rsidRDefault="00D22636" w:rsidP="008215D0">
            <w:pPr>
              <w:jc w:val="both"/>
              <w:rPr>
                <w:rFonts w:ascii="Book Antiqua" w:hAnsi="Book Antiqua" w:cs="Arial"/>
                <w:b/>
              </w:rPr>
            </w:pPr>
          </w:p>
        </w:tc>
        <w:tc>
          <w:tcPr>
            <w:tcW w:w="3960" w:type="dxa"/>
            <w:shd w:val="clear" w:color="auto" w:fill="auto"/>
          </w:tcPr>
          <w:p w:rsidR="00D22636" w:rsidRPr="008215D0" w:rsidRDefault="00D22636" w:rsidP="008215D0">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r w:rsidR="00246917">
        <w:rPr>
          <w:rFonts w:ascii="Book Antiqua" w:hAnsi="Book Antiqua" w:cs="Arial"/>
          <w:b/>
        </w:rPr>
        <w:t xml:space="preserve"> </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81645D" w:rsidRDefault="00927013" w:rsidP="00742A8D">
      <w:pPr>
        <w:jc w:val="center"/>
        <w:rPr>
          <w:rFonts w:ascii="Book Antiqua" w:hAnsi="Book Antiqua" w:cs="Arial"/>
          <w:b/>
          <w:caps/>
        </w:rPr>
      </w:pPr>
      <w:r>
        <w:rPr>
          <w:rFonts w:ascii="Book Antiqua" w:hAnsi="Book Antiqua" w:cs="Arial"/>
          <w:b/>
          <w:caps/>
        </w:rPr>
        <w:t xml:space="preserve">mr </w:t>
      </w:r>
      <w:r w:rsidR="0081645D" w:rsidRPr="0081645D">
        <w:rPr>
          <w:rFonts w:ascii="Book Antiqua" w:hAnsi="Book Antiqua" w:cs="Arial"/>
          <w:b/>
          <w:caps/>
        </w:rPr>
        <w:t>Karam Mohiddin</w:t>
      </w:r>
      <w:r w:rsidR="0081645D">
        <w:rPr>
          <w:rFonts w:ascii="Book Antiqua" w:hAnsi="Book Antiqua" w:cs="Arial"/>
          <w:b/>
          <w:caps/>
        </w:rPr>
        <w:t xml:space="preserve"> </w:t>
      </w:r>
      <w:r w:rsidR="0081645D" w:rsidRPr="0081645D">
        <w:rPr>
          <w:rFonts w:ascii="Book Antiqua" w:hAnsi="Book Antiqua" w:cs="Arial"/>
          <w:b/>
          <w:caps/>
        </w:rPr>
        <w:t>Baraka</w:t>
      </w:r>
    </w:p>
    <w:p w:rsidR="005B4942" w:rsidRPr="004A0FAB" w:rsidRDefault="005B4942" w:rsidP="005B4942">
      <w:pPr>
        <w:jc w:val="center"/>
        <w:rPr>
          <w:rFonts w:ascii="Book Antiqua" w:hAnsi="Book Antiqua" w:cs="Arial"/>
          <w:b/>
          <w:caps/>
          <w:sz w:val="22"/>
        </w:rPr>
      </w:pPr>
      <w:r w:rsidRPr="004A0FAB">
        <w:rPr>
          <w:rFonts w:ascii="Book Antiqua" w:hAnsi="Book Antiqua" w:cs="Arial"/>
          <w:b/>
          <w:caps/>
          <w:sz w:val="22"/>
        </w:rPr>
        <w:t xml:space="preserve">(ANONYMITY DIRECTION </w:t>
      </w:r>
      <w:r w:rsidR="0081645D" w:rsidRPr="004A0FAB">
        <w:rPr>
          <w:rFonts w:ascii="Book Antiqua" w:hAnsi="Book Antiqua" w:cs="Arial"/>
          <w:b/>
          <w:caps/>
          <w:sz w:val="22"/>
        </w:rPr>
        <w:t>not made</w:t>
      </w:r>
      <w:r w:rsidRPr="004A0FAB">
        <w:rPr>
          <w:rFonts w:ascii="Book Antiqua" w:hAnsi="Book Antiqua" w:cs="Arial"/>
          <w:b/>
          <w:caps/>
          <w:sz w:val="22"/>
        </w:rPr>
        <w:t>)</w:t>
      </w:r>
    </w:p>
    <w:p w:rsidR="00704B61" w:rsidRPr="00F5664C" w:rsidRDefault="00D33BE8"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33BE8"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D33BE8">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B80EE9">
        <w:rPr>
          <w:rFonts w:ascii="Book Antiqua" w:hAnsi="Book Antiqua" w:cs="Arial"/>
        </w:rPr>
        <w:t xml:space="preserve">In person </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D33BE8">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7C2ED0">
        <w:rPr>
          <w:rFonts w:ascii="Book Antiqua" w:hAnsi="Book Antiqua" w:cs="Arial"/>
        </w:rPr>
        <w:t xml:space="preserve">Mr Jarvis, </w:t>
      </w:r>
      <w:r w:rsidR="00B80EE9">
        <w:rPr>
          <w:rFonts w:ascii="Book Antiqua" w:hAnsi="Book Antiqua" w:cs="Arial"/>
        </w:rPr>
        <w:t xml:space="preserve">Senior </w:t>
      </w:r>
      <w:r w:rsidR="007C2ED0">
        <w:rPr>
          <w:rFonts w:ascii="Book Antiqua" w:hAnsi="Book Antiqua" w:cs="Arial"/>
        </w:rPr>
        <w:t xml:space="preserve">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911478" w:rsidRDefault="00B80EE9" w:rsidP="00911478">
      <w:pPr>
        <w:numPr>
          <w:ilvl w:val="0"/>
          <w:numId w:val="3"/>
        </w:numPr>
        <w:spacing w:before="240"/>
        <w:jc w:val="both"/>
        <w:rPr>
          <w:rFonts w:ascii="Book Antiqua" w:hAnsi="Book Antiqua" w:cs="Arial"/>
        </w:rPr>
      </w:pPr>
      <w:r>
        <w:rPr>
          <w:rFonts w:ascii="Book Antiqua" w:hAnsi="Book Antiqua" w:cs="Arial"/>
        </w:rPr>
        <w:t xml:space="preserve">The </w:t>
      </w:r>
      <w:r w:rsidR="00D33BE8">
        <w:rPr>
          <w:rFonts w:ascii="Book Antiqua" w:hAnsi="Book Antiqua" w:cs="Arial"/>
        </w:rPr>
        <w:t>Appellant</w:t>
      </w:r>
      <w:r>
        <w:rPr>
          <w:rFonts w:ascii="Book Antiqua" w:hAnsi="Book Antiqua" w:cs="Arial"/>
        </w:rPr>
        <w:t xml:space="preserve"> is a citizen of the Palestinian Authority whose date of birth is recorded as 20</w:t>
      </w:r>
      <w:r w:rsidRPr="00B80EE9">
        <w:rPr>
          <w:rFonts w:ascii="Book Antiqua" w:hAnsi="Book Antiqua" w:cs="Arial"/>
          <w:vertAlign w:val="superscript"/>
        </w:rPr>
        <w:t>th</w:t>
      </w:r>
      <w:r>
        <w:rPr>
          <w:rFonts w:ascii="Book Antiqua" w:hAnsi="Book Antiqua" w:cs="Arial"/>
        </w:rPr>
        <w:t xml:space="preserve"> September 1995.  He was born in the United Arab Emirates (UAE) and was</w:t>
      </w:r>
      <w:r w:rsidR="001D61D5">
        <w:rPr>
          <w:rFonts w:ascii="Book Antiqua" w:hAnsi="Book Antiqua" w:cs="Arial"/>
        </w:rPr>
        <w:t>,</w:t>
      </w:r>
      <w:r>
        <w:rPr>
          <w:rFonts w:ascii="Book Antiqua" w:hAnsi="Book Antiqua" w:cs="Arial"/>
        </w:rPr>
        <w:t xml:space="preserve"> until he came to the United Kingdom as a student</w:t>
      </w:r>
      <w:r w:rsidR="001D61D5">
        <w:rPr>
          <w:rFonts w:ascii="Book Antiqua" w:hAnsi="Book Antiqua" w:cs="Arial"/>
        </w:rPr>
        <w:t>,</w:t>
      </w:r>
      <w:r>
        <w:rPr>
          <w:rFonts w:ascii="Book Antiqua" w:hAnsi="Book Antiqua" w:cs="Arial"/>
        </w:rPr>
        <w:t xml:space="preserve"> resident there with leave of the UAE.  On his case, having been absent from the UAE for a period in excess of six months, his leave expired and the UAE will no longer admit him.  </w:t>
      </w:r>
      <w:r w:rsidR="003F38D6">
        <w:rPr>
          <w:rFonts w:ascii="Book Antiqua" w:hAnsi="Book Antiqua" w:cs="Arial"/>
        </w:rPr>
        <w:t>He made an application for international protection as a refugee.  His application was refused on 13 October 2017 and he appealed.  The appeal was heard by Judge of the First-tier Tribunal Traynor at Hatton Cross on 7</w:t>
      </w:r>
      <w:r w:rsidR="003F38D6" w:rsidRPr="003F38D6">
        <w:rPr>
          <w:rFonts w:ascii="Book Antiqua" w:hAnsi="Book Antiqua" w:cs="Arial"/>
          <w:vertAlign w:val="superscript"/>
        </w:rPr>
        <w:t>th</w:t>
      </w:r>
      <w:r w:rsidR="003F38D6">
        <w:rPr>
          <w:rFonts w:ascii="Book Antiqua" w:hAnsi="Book Antiqua" w:cs="Arial"/>
        </w:rPr>
        <w:t xml:space="preserve"> December 2017.  It was the </w:t>
      </w:r>
      <w:r w:rsidR="00D33BE8">
        <w:rPr>
          <w:rFonts w:ascii="Book Antiqua" w:hAnsi="Book Antiqua" w:cs="Arial"/>
        </w:rPr>
        <w:t>Appellant</w:t>
      </w:r>
      <w:r w:rsidR="003F38D6">
        <w:rPr>
          <w:rFonts w:ascii="Book Antiqua" w:hAnsi="Book Antiqua" w:cs="Arial"/>
        </w:rPr>
        <w:t xml:space="preserve">’s case, </w:t>
      </w:r>
      <w:r w:rsidR="003F38D6">
        <w:rPr>
          <w:rFonts w:ascii="Book Antiqua" w:hAnsi="Book Antiqua" w:cs="Arial"/>
        </w:rPr>
        <w:lastRenderedPageBreak/>
        <w:t>not only that he could not return, or be returned to the UAE, but neither could he return to the country of his nationality</w:t>
      </w:r>
      <w:r w:rsidR="001D61D5">
        <w:rPr>
          <w:rFonts w:ascii="Book Antiqua" w:hAnsi="Book Antiqua" w:cs="Arial"/>
        </w:rPr>
        <w:t>.</w:t>
      </w:r>
      <w:r w:rsidR="003F38D6">
        <w:rPr>
          <w:rFonts w:ascii="Book Antiqua" w:hAnsi="Book Antiqua" w:cs="Arial"/>
        </w:rPr>
        <w:t xml:space="preserve"> </w:t>
      </w:r>
      <w:r w:rsidR="001D61D5">
        <w:rPr>
          <w:rFonts w:ascii="Book Antiqua" w:hAnsi="Book Antiqua" w:cs="Arial"/>
        </w:rPr>
        <w:t>I</w:t>
      </w:r>
      <w:r w:rsidR="003F38D6">
        <w:rPr>
          <w:rFonts w:ascii="Book Antiqua" w:hAnsi="Book Antiqua" w:cs="Arial"/>
        </w:rPr>
        <w:t>t was</w:t>
      </w:r>
      <w:r w:rsidR="001D61D5">
        <w:rPr>
          <w:rFonts w:ascii="Book Antiqua" w:hAnsi="Book Antiqua" w:cs="Arial"/>
        </w:rPr>
        <w:t xml:space="preserve"> further </w:t>
      </w:r>
      <w:r w:rsidR="003F38D6">
        <w:rPr>
          <w:rFonts w:ascii="Book Antiqua" w:hAnsi="Book Antiqua" w:cs="Arial"/>
        </w:rPr>
        <w:t xml:space="preserve">part of his case that were he to be returned to the UAE he would be returned to Syria where he would be at risk.  </w:t>
      </w:r>
    </w:p>
    <w:p w:rsidR="00762BA6" w:rsidRDefault="00762BA6" w:rsidP="00911478">
      <w:pPr>
        <w:numPr>
          <w:ilvl w:val="0"/>
          <w:numId w:val="3"/>
        </w:numPr>
        <w:spacing w:before="240"/>
        <w:jc w:val="both"/>
        <w:rPr>
          <w:rFonts w:ascii="Book Antiqua" w:hAnsi="Book Antiqua" w:cs="Arial"/>
        </w:rPr>
      </w:pPr>
      <w:r>
        <w:rPr>
          <w:rFonts w:ascii="Book Antiqua" w:hAnsi="Book Antiqua" w:cs="Arial"/>
        </w:rPr>
        <w:t xml:space="preserve">Judge Traynor made various credibility findings against the </w:t>
      </w:r>
      <w:r w:rsidR="00D33BE8">
        <w:rPr>
          <w:rFonts w:ascii="Book Antiqua" w:hAnsi="Book Antiqua" w:cs="Arial"/>
        </w:rPr>
        <w:t>Appellant</w:t>
      </w:r>
      <w:r>
        <w:rPr>
          <w:rFonts w:ascii="Book Antiqua" w:hAnsi="Book Antiqua" w:cs="Arial"/>
        </w:rPr>
        <w:t xml:space="preserve">, but principally rejected the claim on the basis that there was insufficient evidence of the </w:t>
      </w:r>
      <w:r w:rsidR="00D33BE8">
        <w:rPr>
          <w:rFonts w:ascii="Book Antiqua" w:hAnsi="Book Antiqua" w:cs="Arial"/>
        </w:rPr>
        <w:t>Appellant</w:t>
      </w:r>
      <w:r>
        <w:rPr>
          <w:rFonts w:ascii="Book Antiqua" w:hAnsi="Book Antiqua" w:cs="Arial"/>
        </w:rPr>
        <w:t xml:space="preserve">’s contention that he could not return to the UAE.  Judge Traynor quite properly was guided by the dicta in </w:t>
      </w:r>
      <w:r w:rsidRPr="0082431D">
        <w:rPr>
          <w:rFonts w:ascii="Book Antiqua" w:hAnsi="Book Antiqua" w:cs="Arial"/>
          <w:b/>
          <w:u w:val="single"/>
        </w:rPr>
        <w:t>MA (</w:t>
      </w:r>
      <w:smartTag w:uri="urn:schemas-microsoft-com:office:smarttags" w:element="place">
        <w:smartTag w:uri="urn:schemas-microsoft-com:office:smarttags" w:element="country-region">
          <w:r w:rsidRPr="0082431D">
            <w:rPr>
              <w:rFonts w:ascii="Book Antiqua" w:hAnsi="Book Antiqua" w:cs="Arial"/>
              <w:b/>
              <w:u w:val="single"/>
            </w:rPr>
            <w:t>Ethiopia</w:t>
          </w:r>
        </w:smartTag>
      </w:smartTag>
      <w:r w:rsidRPr="0082431D">
        <w:rPr>
          <w:rFonts w:ascii="Book Antiqua" w:hAnsi="Book Antiqua" w:cs="Arial"/>
          <w:b/>
          <w:u w:val="single"/>
        </w:rPr>
        <w:t>) –v- SSHD</w:t>
      </w:r>
      <w:r w:rsidRPr="0082431D">
        <w:rPr>
          <w:rFonts w:ascii="Book Antiqua" w:hAnsi="Book Antiqua" w:cs="Arial"/>
          <w:b/>
        </w:rPr>
        <w:t xml:space="preserve"> [2009] EWCA Civ 289</w:t>
      </w:r>
      <w:r>
        <w:rPr>
          <w:rFonts w:ascii="Book Antiqua" w:hAnsi="Book Antiqua" w:cs="Arial"/>
        </w:rPr>
        <w:t xml:space="preserve">, a decision of the Court of Appeal.  </w:t>
      </w:r>
      <w:r w:rsidR="0082431D">
        <w:rPr>
          <w:rFonts w:ascii="Book Antiqua" w:hAnsi="Book Antiqua" w:cs="Arial"/>
        </w:rPr>
        <w:t xml:space="preserve">Judge Traynor dismissed the appeal on all grounds.  </w:t>
      </w:r>
    </w:p>
    <w:p w:rsidR="0082431D" w:rsidRDefault="0082431D" w:rsidP="00911478">
      <w:pPr>
        <w:numPr>
          <w:ilvl w:val="0"/>
          <w:numId w:val="3"/>
        </w:numPr>
        <w:spacing w:before="240"/>
        <w:jc w:val="both"/>
        <w:rPr>
          <w:rFonts w:ascii="Book Antiqua" w:hAnsi="Book Antiqua" w:cs="Arial"/>
        </w:rPr>
      </w:pPr>
      <w:r>
        <w:rPr>
          <w:rFonts w:ascii="Book Antiqua" w:hAnsi="Book Antiqua" w:cs="Arial"/>
        </w:rPr>
        <w:t xml:space="preserve">Not content with that decision, the </w:t>
      </w:r>
      <w:r w:rsidR="00D33BE8">
        <w:rPr>
          <w:rFonts w:ascii="Book Antiqua" w:hAnsi="Book Antiqua" w:cs="Arial"/>
        </w:rPr>
        <w:t>Appellant</w:t>
      </w:r>
      <w:r>
        <w:rPr>
          <w:rFonts w:ascii="Book Antiqua" w:hAnsi="Book Antiqua" w:cs="Arial"/>
        </w:rPr>
        <w:t xml:space="preserve"> sought and obtained permission to appeal to the Upper Tribunal.  Material to the </w:t>
      </w:r>
      <w:r w:rsidR="00D33BE8">
        <w:rPr>
          <w:rFonts w:ascii="Book Antiqua" w:hAnsi="Book Antiqua" w:cs="Arial"/>
        </w:rPr>
        <w:t>Appellant</w:t>
      </w:r>
      <w:r>
        <w:rPr>
          <w:rFonts w:ascii="Book Antiqua" w:hAnsi="Book Antiqua" w:cs="Arial"/>
        </w:rPr>
        <w:t xml:space="preserve">’s case to the Upper Tribunal was that he was </w:t>
      </w:r>
      <w:r w:rsidR="00D33BE8">
        <w:rPr>
          <w:rFonts w:ascii="Book Antiqua" w:hAnsi="Book Antiqua" w:cs="Arial"/>
        </w:rPr>
        <w:t>effectively</w:t>
      </w:r>
      <w:r>
        <w:rPr>
          <w:rFonts w:ascii="Book Antiqua" w:hAnsi="Book Antiqua" w:cs="Arial"/>
        </w:rPr>
        <w:t xml:space="preserve"> stateless and should have been recognised as such.  I can only set aside a decision of the First-tier Tribunal if it contains a material error of law.  The definition of a refugee taken from Article 1 of the definition in the Convention is as follows:</w:t>
      </w:r>
    </w:p>
    <w:p w:rsidR="0082431D" w:rsidRPr="001D61D5" w:rsidRDefault="0082431D" w:rsidP="0082431D">
      <w:pPr>
        <w:spacing w:before="240"/>
        <w:ind w:left="1134"/>
        <w:jc w:val="both"/>
        <w:rPr>
          <w:rFonts w:ascii="Book Antiqua" w:hAnsi="Book Antiqua" w:cs="Arial"/>
          <w:i/>
        </w:rPr>
      </w:pPr>
      <w:r w:rsidRPr="001D61D5">
        <w:rPr>
          <w:rFonts w:ascii="Book Antiqua" w:hAnsi="Book Antiqua" w:cs="Arial"/>
          <w:i/>
        </w:rPr>
        <w:t xml:space="preserve">“As a result of the events occurring before 1 January 1971 (now surplus), </w:t>
      </w:r>
      <w:r w:rsidRPr="001D61D5">
        <w:rPr>
          <w:rFonts w:ascii="Book Antiqua" w:hAnsi="Book Antiqua" w:cs="BHFFIC+Albertus"/>
          <w:bCs/>
          <w:i/>
          <w:color w:val="000000"/>
        </w:rPr>
        <w:t>owing to a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w:t>
      </w:r>
      <w:r w:rsidR="00381FA9" w:rsidRPr="001D61D5">
        <w:rPr>
          <w:rFonts w:ascii="Book Antiqua" w:hAnsi="Book Antiqua" w:cs="BHFFIC+Albertus"/>
          <w:bCs/>
          <w:i/>
          <w:color w:val="000000"/>
        </w:rPr>
        <w:t xml:space="preserve">; or who, not having a nationality and being outside the country of his former habitual residence as a result of such events, is unable or, </w:t>
      </w:r>
      <w:r w:rsidR="00D33BE8" w:rsidRPr="001D61D5">
        <w:rPr>
          <w:rFonts w:ascii="Book Antiqua" w:hAnsi="Book Antiqua" w:cs="BHFFIC+Albertus"/>
          <w:bCs/>
          <w:i/>
          <w:color w:val="000000"/>
        </w:rPr>
        <w:t>owing</w:t>
      </w:r>
      <w:r w:rsidR="00381FA9" w:rsidRPr="001D61D5">
        <w:rPr>
          <w:rFonts w:ascii="Book Antiqua" w:hAnsi="Book Antiqua" w:cs="BHFFIC+Albertus"/>
          <w:bCs/>
          <w:i/>
          <w:color w:val="000000"/>
        </w:rPr>
        <w:t xml:space="preserve"> to such fear is unwilling to return to it</w:t>
      </w:r>
      <w:r w:rsidRPr="001D61D5">
        <w:rPr>
          <w:rFonts w:ascii="Book Antiqua" w:hAnsi="Book Antiqua" w:cs="Arial"/>
          <w:i/>
        </w:rPr>
        <w:t>”</w:t>
      </w:r>
      <w:r w:rsidR="00381FA9" w:rsidRPr="001D61D5">
        <w:rPr>
          <w:rFonts w:ascii="Book Antiqua" w:hAnsi="Book Antiqua" w:cs="Arial"/>
          <w:i/>
        </w:rPr>
        <w:t>.</w:t>
      </w:r>
    </w:p>
    <w:p w:rsidR="0082431D" w:rsidRDefault="00381FA9" w:rsidP="00911478">
      <w:pPr>
        <w:numPr>
          <w:ilvl w:val="0"/>
          <w:numId w:val="3"/>
        </w:numPr>
        <w:spacing w:before="240"/>
        <w:jc w:val="both"/>
        <w:rPr>
          <w:rFonts w:ascii="Book Antiqua" w:hAnsi="Book Antiqua" w:cs="Arial"/>
        </w:rPr>
      </w:pPr>
      <w:r>
        <w:rPr>
          <w:rFonts w:ascii="Book Antiqua" w:hAnsi="Book Antiqua" w:cs="Arial"/>
        </w:rPr>
        <w:t xml:space="preserve">The issue therefore, as a condition precedent to the </w:t>
      </w:r>
      <w:r w:rsidR="00D33BE8">
        <w:rPr>
          <w:rFonts w:ascii="Book Antiqua" w:hAnsi="Book Antiqua" w:cs="Arial"/>
        </w:rPr>
        <w:t>Appellant</w:t>
      </w:r>
      <w:r>
        <w:rPr>
          <w:rFonts w:ascii="Book Antiqua" w:hAnsi="Book Antiqua" w:cs="Arial"/>
        </w:rPr>
        <w:t xml:space="preserve"> succeeding in his application and in his appeal, was that he had to demonstrate that he was unable to return to the country of his former habitual </w:t>
      </w:r>
      <w:r w:rsidR="00D33BE8">
        <w:rPr>
          <w:rFonts w:ascii="Book Antiqua" w:hAnsi="Book Antiqua" w:cs="Arial"/>
        </w:rPr>
        <w:t>residence</w:t>
      </w:r>
      <w:r>
        <w:rPr>
          <w:rFonts w:ascii="Book Antiqua" w:hAnsi="Book Antiqua" w:cs="Arial"/>
        </w:rPr>
        <w:t xml:space="preserve">, which </w:t>
      </w:r>
      <w:r w:rsidR="00171CFF">
        <w:rPr>
          <w:rFonts w:ascii="Book Antiqua" w:hAnsi="Book Antiqua" w:cs="Arial"/>
        </w:rPr>
        <w:t xml:space="preserve">in this case is </w:t>
      </w:r>
      <w:smartTag w:uri="urn:schemas-microsoft-com:office:smarttags" w:element="country-region">
        <w:smartTag w:uri="urn:schemas-microsoft-com:office:smarttags" w:element="place">
          <w:r w:rsidR="00171CFF">
            <w:rPr>
              <w:rFonts w:ascii="Book Antiqua" w:hAnsi="Book Antiqua" w:cs="Arial"/>
            </w:rPr>
            <w:t>United Arab Emirates</w:t>
          </w:r>
        </w:smartTag>
      </w:smartTag>
      <w:r w:rsidR="00171CFF">
        <w:rPr>
          <w:rFonts w:ascii="Book Antiqua" w:hAnsi="Book Antiqua" w:cs="Arial"/>
        </w:rPr>
        <w:t xml:space="preserve">.  The question for me is whether it was open to Judge Traynor to find that the </w:t>
      </w:r>
      <w:r w:rsidR="00D33BE8">
        <w:rPr>
          <w:rFonts w:ascii="Book Antiqua" w:hAnsi="Book Antiqua" w:cs="Arial"/>
        </w:rPr>
        <w:t>Appellant</w:t>
      </w:r>
      <w:r w:rsidR="00171CFF">
        <w:rPr>
          <w:rFonts w:ascii="Book Antiqua" w:hAnsi="Book Antiqua" w:cs="Arial"/>
        </w:rPr>
        <w:t xml:space="preserve">, who had the burden, albeit to the lower standard to prove his case, had established to that lower standard that he could not return to the UAE.  The judge found that there was </w:t>
      </w:r>
      <w:r w:rsidR="00D33BE8">
        <w:rPr>
          <w:rFonts w:ascii="Book Antiqua" w:hAnsi="Book Antiqua" w:cs="Arial"/>
        </w:rPr>
        <w:t>insufficient</w:t>
      </w:r>
      <w:r w:rsidR="00171CFF">
        <w:rPr>
          <w:rFonts w:ascii="Book Antiqua" w:hAnsi="Book Antiqua" w:cs="Arial"/>
        </w:rPr>
        <w:t xml:space="preserve"> evidence.  The judge did not err in coming to that finding.  He was guided, as I have said, by the principles in </w:t>
      </w:r>
      <w:r w:rsidR="00171CFF" w:rsidRPr="00171CFF">
        <w:rPr>
          <w:rFonts w:ascii="Book Antiqua" w:hAnsi="Book Antiqua" w:cs="Arial"/>
          <w:b/>
          <w:u w:val="single"/>
        </w:rPr>
        <w:t>MA</w:t>
      </w:r>
      <w:r w:rsidR="00171CFF">
        <w:rPr>
          <w:rFonts w:ascii="Book Antiqua" w:hAnsi="Book Antiqua" w:cs="Arial"/>
        </w:rPr>
        <w:t xml:space="preserve">.  </w:t>
      </w:r>
    </w:p>
    <w:p w:rsidR="00171CFF" w:rsidRDefault="00171CFF" w:rsidP="00911478">
      <w:pPr>
        <w:numPr>
          <w:ilvl w:val="0"/>
          <w:numId w:val="3"/>
        </w:numPr>
        <w:spacing w:before="240"/>
        <w:jc w:val="both"/>
        <w:rPr>
          <w:rFonts w:ascii="Book Antiqua" w:hAnsi="Book Antiqua" w:cs="Arial"/>
        </w:rPr>
      </w:pPr>
      <w:r>
        <w:rPr>
          <w:rFonts w:ascii="Book Antiqua" w:hAnsi="Book Antiqua" w:cs="Arial"/>
        </w:rPr>
        <w:t xml:space="preserve">At the hearing before me </w:t>
      </w:r>
      <w:r w:rsidR="00333788">
        <w:rPr>
          <w:rFonts w:ascii="Book Antiqua" w:hAnsi="Book Antiqua" w:cs="Arial"/>
        </w:rPr>
        <w:t xml:space="preserve">the </w:t>
      </w:r>
      <w:r w:rsidR="00D33BE8">
        <w:rPr>
          <w:rFonts w:ascii="Book Antiqua" w:hAnsi="Book Antiqua" w:cs="Arial"/>
        </w:rPr>
        <w:t>Appellant</w:t>
      </w:r>
      <w:r w:rsidR="00333788">
        <w:rPr>
          <w:rFonts w:ascii="Book Antiqua" w:hAnsi="Book Antiqua" w:cs="Arial"/>
        </w:rPr>
        <w:t xml:space="preserve"> made application to adduce further evidence going to the substantive issues </w:t>
      </w:r>
      <w:r w:rsidR="00D33BE8">
        <w:rPr>
          <w:rFonts w:ascii="Book Antiqua" w:hAnsi="Book Antiqua" w:cs="Arial"/>
        </w:rPr>
        <w:t>which</w:t>
      </w:r>
      <w:r w:rsidR="00333788">
        <w:rPr>
          <w:rFonts w:ascii="Book Antiqua" w:hAnsi="Book Antiqua" w:cs="Arial"/>
        </w:rPr>
        <w:t xml:space="preserve"> arose in the appeal before Judge Traynor, particularly going to whether or not the </w:t>
      </w:r>
      <w:r w:rsidR="00D33BE8">
        <w:rPr>
          <w:rFonts w:ascii="Book Antiqua" w:hAnsi="Book Antiqua" w:cs="Arial"/>
        </w:rPr>
        <w:t>Appellant</w:t>
      </w:r>
      <w:r w:rsidR="00333788">
        <w:rPr>
          <w:rFonts w:ascii="Book Antiqua" w:hAnsi="Book Antiqua" w:cs="Arial"/>
        </w:rPr>
        <w:t xml:space="preserve"> could return to the UAE and meeting other credibility issues which arose and in respect of which findings were made by Judge Traynor.</w:t>
      </w:r>
    </w:p>
    <w:p w:rsidR="001D61D5" w:rsidRDefault="00D33BE8" w:rsidP="00333788">
      <w:pPr>
        <w:numPr>
          <w:ilvl w:val="0"/>
          <w:numId w:val="3"/>
        </w:numPr>
        <w:spacing w:before="240"/>
        <w:jc w:val="both"/>
        <w:rPr>
          <w:rFonts w:ascii="Book Antiqua" w:hAnsi="Book Antiqua" w:cs="Arial"/>
        </w:rPr>
      </w:pPr>
      <w:r>
        <w:rPr>
          <w:rFonts w:ascii="Book Antiqua" w:hAnsi="Book Antiqua" w:cs="Arial"/>
        </w:rPr>
        <w:t>M</w:t>
      </w:r>
      <w:r w:rsidR="00333788">
        <w:rPr>
          <w:rFonts w:ascii="Book Antiqua" w:hAnsi="Book Antiqua" w:cs="Arial"/>
        </w:rPr>
        <w:t xml:space="preserve">r Jarvis for the Secretary of State, reasonably in my judgement, took the view that that further evidence should form the basis of a fresh application to the Secretary of State.  This is not a case in which the </w:t>
      </w:r>
      <w:r>
        <w:rPr>
          <w:rFonts w:ascii="Book Antiqua" w:hAnsi="Book Antiqua" w:cs="Arial"/>
        </w:rPr>
        <w:t>Appellant</w:t>
      </w:r>
      <w:r w:rsidR="00333788">
        <w:rPr>
          <w:rFonts w:ascii="Book Antiqua" w:hAnsi="Book Antiqua" w:cs="Arial"/>
        </w:rPr>
        <w:t xml:space="preserve"> had not been represented.  The </w:t>
      </w:r>
      <w:r>
        <w:rPr>
          <w:rFonts w:ascii="Book Antiqua" w:hAnsi="Book Antiqua" w:cs="Arial"/>
        </w:rPr>
        <w:t>Appellant</w:t>
      </w:r>
      <w:r w:rsidR="00333788">
        <w:rPr>
          <w:rFonts w:ascii="Book Antiqua" w:hAnsi="Book Antiqua" w:cs="Arial"/>
        </w:rPr>
        <w:t xml:space="preserve"> had been represented by Counsel in the First-tier Tribunal and it would be unfair to the Secretary of State not to have an opportunity properly to consider all of the documentation now </w:t>
      </w:r>
      <w:r>
        <w:rPr>
          <w:rFonts w:ascii="Book Antiqua" w:hAnsi="Book Antiqua" w:cs="Arial"/>
        </w:rPr>
        <w:t>relied</w:t>
      </w:r>
      <w:r w:rsidR="00333788">
        <w:rPr>
          <w:rFonts w:ascii="Book Antiqua" w:hAnsi="Book Antiqua" w:cs="Arial"/>
        </w:rPr>
        <w:t xml:space="preserve"> upon</w:t>
      </w:r>
      <w:r w:rsidR="00D171BF">
        <w:rPr>
          <w:rFonts w:ascii="Book Antiqua" w:hAnsi="Book Antiqua" w:cs="Arial"/>
        </w:rPr>
        <w:t>.  W</w:t>
      </w:r>
      <w:r>
        <w:rPr>
          <w:rFonts w:ascii="Book Antiqua" w:hAnsi="Book Antiqua" w:cs="Arial"/>
        </w:rPr>
        <w:t>hilst</w:t>
      </w:r>
      <w:r w:rsidR="00333788">
        <w:rPr>
          <w:rFonts w:ascii="Book Antiqua" w:hAnsi="Book Antiqua" w:cs="Arial"/>
        </w:rPr>
        <w:t xml:space="preserve">, of </w:t>
      </w:r>
      <w:r>
        <w:rPr>
          <w:rFonts w:ascii="Book Antiqua" w:hAnsi="Book Antiqua" w:cs="Arial"/>
        </w:rPr>
        <w:t>course</w:t>
      </w:r>
      <w:r w:rsidR="00333788">
        <w:rPr>
          <w:rFonts w:ascii="Book Antiqua" w:hAnsi="Book Antiqua" w:cs="Arial"/>
        </w:rPr>
        <w:t xml:space="preserve">, the Secretary of State does not have to accept fresh evidence as the </w:t>
      </w:r>
      <w:r>
        <w:rPr>
          <w:rFonts w:ascii="Book Antiqua" w:hAnsi="Book Antiqua" w:cs="Arial"/>
        </w:rPr>
        <w:t>basis</w:t>
      </w:r>
      <w:r w:rsidR="00333788">
        <w:rPr>
          <w:rFonts w:ascii="Book Antiqua" w:hAnsi="Book Antiqua" w:cs="Arial"/>
        </w:rPr>
        <w:t xml:space="preserve"> of a fresh claim</w:t>
      </w:r>
      <w:r w:rsidR="00D171BF">
        <w:rPr>
          <w:rFonts w:ascii="Book Antiqua" w:hAnsi="Book Antiqua" w:cs="Arial"/>
        </w:rPr>
        <w:t>, i</w:t>
      </w:r>
      <w:r w:rsidR="00333788">
        <w:rPr>
          <w:rFonts w:ascii="Book Antiqua" w:hAnsi="Book Antiqua" w:cs="Arial"/>
        </w:rPr>
        <w:t xml:space="preserve">f it assists the </w:t>
      </w:r>
      <w:r>
        <w:rPr>
          <w:rFonts w:ascii="Book Antiqua" w:hAnsi="Book Antiqua" w:cs="Arial"/>
        </w:rPr>
        <w:t>Appellant</w:t>
      </w:r>
      <w:r w:rsidR="001D61D5">
        <w:rPr>
          <w:rFonts w:ascii="Book Antiqua" w:hAnsi="Book Antiqua" w:cs="Arial"/>
        </w:rPr>
        <w:t>,</w:t>
      </w:r>
      <w:r w:rsidR="00333788">
        <w:rPr>
          <w:rFonts w:ascii="Book Antiqua" w:hAnsi="Book Antiqua" w:cs="Arial"/>
        </w:rPr>
        <w:t xml:space="preserve"> I </w:t>
      </w:r>
      <w:r>
        <w:rPr>
          <w:rFonts w:ascii="Book Antiqua" w:hAnsi="Book Antiqua" w:cs="Arial"/>
        </w:rPr>
        <w:t>would</w:t>
      </w:r>
      <w:r w:rsidR="00333788">
        <w:rPr>
          <w:rFonts w:ascii="Book Antiqua" w:hAnsi="Book Antiqua" w:cs="Arial"/>
        </w:rPr>
        <w:t xml:space="preserve"> be very surprised indeed if evidence which the </w:t>
      </w:r>
      <w:r>
        <w:rPr>
          <w:rFonts w:ascii="Book Antiqua" w:hAnsi="Book Antiqua" w:cs="Arial"/>
        </w:rPr>
        <w:t>Appellant</w:t>
      </w:r>
      <w:r w:rsidR="00333788">
        <w:rPr>
          <w:rFonts w:ascii="Book Antiqua" w:hAnsi="Book Antiqua" w:cs="Arial"/>
        </w:rPr>
        <w:t xml:space="preserve"> can now produce in </w:t>
      </w:r>
      <w:r w:rsidR="00333788">
        <w:rPr>
          <w:rFonts w:ascii="Book Antiqua" w:hAnsi="Book Antiqua" w:cs="Arial"/>
        </w:rPr>
        <w:lastRenderedPageBreak/>
        <w:t xml:space="preserve">conformity with the guidance of </w:t>
      </w:r>
      <w:r w:rsidR="00333788" w:rsidRPr="00333788">
        <w:rPr>
          <w:rFonts w:ascii="Book Antiqua" w:hAnsi="Book Antiqua" w:cs="Arial"/>
          <w:b/>
          <w:u w:val="single"/>
        </w:rPr>
        <w:t>MA</w:t>
      </w:r>
      <w:r w:rsidR="00333788">
        <w:rPr>
          <w:rFonts w:ascii="Book Antiqua" w:hAnsi="Book Antiqua" w:cs="Arial"/>
        </w:rPr>
        <w:t xml:space="preserve">, did not form evidence </w:t>
      </w:r>
      <w:r>
        <w:rPr>
          <w:rFonts w:ascii="Book Antiqua" w:hAnsi="Book Antiqua" w:cs="Arial"/>
        </w:rPr>
        <w:t>sufficient</w:t>
      </w:r>
      <w:r w:rsidR="00333788">
        <w:rPr>
          <w:rFonts w:ascii="Book Antiqua" w:hAnsi="Book Antiqua" w:cs="Arial"/>
        </w:rPr>
        <w:t xml:space="preserve"> for the Secretary of State to accept this as a </w:t>
      </w:r>
      <w:r>
        <w:rPr>
          <w:rFonts w:ascii="Book Antiqua" w:hAnsi="Book Antiqua" w:cs="Arial"/>
        </w:rPr>
        <w:t>fresh</w:t>
      </w:r>
      <w:r w:rsidR="00333788">
        <w:rPr>
          <w:rFonts w:ascii="Book Antiqua" w:hAnsi="Book Antiqua" w:cs="Arial"/>
        </w:rPr>
        <w:t xml:space="preserve"> claim, </w:t>
      </w:r>
      <w:r>
        <w:rPr>
          <w:rFonts w:ascii="Book Antiqua" w:hAnsi="Book Antiqua" w:cs="Arial"/>
        </w:rPr>
        <w:t>particularly</w:t>
      </w:r>
      <w:r w:rsidR="00333788">
        <w:rPr>
          <w:rFonts w:ascii="Book Antiqua" w:hAnsi="Book Antiqua" w:cs="Arial"/>
        </w:rPr>
        <w:t xml:space="preserve"> when this is an international protection claim which would put the United Kingdom in breach of its </w:t>
      </w:r>
      <w:r>
        <w:rPr>
          <w:rFonts w:ascii="Book Antiqua" w:hAnsi="Book Antiqua" w:cs="Arial"/>
        </w:rPr>
        <w:t>international</w:t>
      </w:r>
      <w:r w:rsidR="00333788">
        <w:rPr>
          <w:rFonts w:ascii="Book Antiqua" w:hAnsi="Book Antiqua" w:cs="Arial"/>
        </w:rPr>
        <w:t xml:space="preserve"> obligations.  That is not to say, of course, that the Secretary of State is bound to </w:t>
      </w:r>
      <w:r>
        <w:rPr>
          <w:rFonts w:ascii="Book Antiqua" w:hAnsi="Book Antiqua" w:cs="Arial"/>
        </w:rPr>
        <w:t>grant</w:t>
      </w:r>
      <w:r w:rsidR="00333788">
        <w:rPr>
          <w:rFonts w:ascii="Book Antiqua" w:hAnsi="Book Antiqua" w:cs="Arial"/>
        </w:rPr>
        <w:t xml:space="preserve"> the </w:t>
      </w:r>
      <w:r>
        <w:rPr>
          <w:rFonts w:ascii="Book Antiqua" w:hAnsi="Book Antiqua" w:cs="Arial"/>
        </w:rPr>
        <w:t>relief</w:t>
      </w:r>
      <w:r w:rsidR="00333788">
        <w:rPr>
          <w:rFonts w:ascii="Book Antiqua" w:hAnsi="Book Antiqua" w:cs="Arial"/>
        </w:rPr>
        <w:t xml:space="preserve"> being sought, that will depend on the evidence, but for the moment, as matters stand, the </w:t>
      </w:r>
      <w:r>
        <w:rPr>
          <w:rFonts w:ascii="Book Antiqua" w:hAnsi="Book Antiqua" w:cs="Arial"/>
        </w:rPr>
        <w:t>Appellant</w:t>
      </w:r>
      <w:r w:rsidR="00333788">
        <w:rPr>
          <w:rFonts w:ascii="Book Antiqua" w:hAnsi="Book Antiqua" w:cs="Arial"/>
        </w:rPr>
        <w:t>’s position remains as it was, and so I find as follows</w:t>
      </w:r>
      <w:r w:rsidR="001D61D5">
        <w:rPr>
          <w:rFonts w:ascii="Book Antiqua" w:hAnsi="Book Antiqua" w:cs="Arial"/>
        </w:rPr>
        <w:t>.</w:t>
      </w:r>
    </w:p>
    <w:p w:rsidR="00333788" w:rsidRDefault="001D61D5" w:rsidP="00333788">
      <w:pPr>
        <w:numPr>
          <w:ilvl w:val="0"/>
          <w:numId w:val="3"/>
        </w:numPr>
        <w:spacing w:before="240"/>
        <w:jc w:val="both"/>
        <w:rPr>
          <w:rFonts w:ascii="Book Antiqua" w:hAnsi="Book Antiqua" w:cs="Arial"/>
        </w:rPr>
      </w:pPr>
      <w:r>
        <w:rPr>
          <w:rFonts w:ascii="Book Antiqua" w:hAnsi="Book Antiqua" w:cs="Arial"/>
        </w:rPr>
        <w:t>T</w:t>
      </w:r>
      <w:r w:rsidR="00333788">
        <w:rPr>
          <w:rFonts w:ascii="Book Antiqua" w:hAnsi="Book Antiqua" w:cs="Arial"/>
        </w:rPr>
        <w:t xml:space="preserve">he decision of Judge Traynor did not contain a material error of law because whatever other findings of fact were made, the </w:t>
      </w:r>
      <w:r w:rsidR="00D33BE8">
        <w:rPr>
          <w:rFonts w:ascii="Book Antiqua" w:hAnsi="Book Antiqua" w:cs="Arial"/>
        </w:rPr>
        <w:t>Appellant</w:t>
      </w:r>
      <w:r w:rsidR="00333788">
        <w:rPr>
          <w:rFonts w:ascii="Book Antiqua" w:hAnsi="Book Antiqua" w:cs="Arial"/>
        </w:rPr>
        <w:t xml:space="preserve"> had not established that he could not return to the UAE.  It is not necessary for me in those circumstances to examine the other findings of fact made by Judge Traynor, and it may be, in the light of the fresh evidence which has been put before the Secretary of State </w:t>
      </w:r>
      <w:r w:rsidR="00D33BE8">
        <w:rPr>
          <w:rFonts w:ascii="Book Antiqua" w:hAnsi="Book Antiqua" w:cs="Arial"/>
        </w:rPr>
        <w:t xml:space="preserve">that the Secretary of State will not have the same concerns as did </w:t>
      </w:r>
      <w:r>
        <w:rPr>
          <w:rFonts w:ascii="Book Antiqua" w:hAnsi="Book Antiqua" w:cs="Arial"/>
        </w:rPr>
        <w:t>J</w:t>
      </w:r>
      <w:r w:rsidR="00D33BE8">
        <w:rPr>
          <w:rFonts w:ascii="Book Antiqua" w:hAnsi="Book Antiqua" w:cs="Arial"/>
        </w:rPr>
        <w:t>udge</w:t>
      </w:r>
      <w:r>
        <w:rPr>
          <w:rFonts w:ascii="Book Antiqua" w:hAnsi="Book Antiqua" w:cs="Arial"/>
        </w:rPr>
        <w:t xml:space="preserve"> Traynor</w:t>
      </w:r>
      <w:r w:rsidR="00D33BE8">
        <w:rPr>
          <w:rFonts w:ascii="Book Antiqua" w:hAnsi="Book Antiqua" w:cs="Arial"/>
        </w:rPr>
        <w:t xml:space="preserve">.  </w:t>
      </w:r>
    </w:p>
    <w:p w:rsidR="00D33BE8" w:rsidRPr="00D33BE8" w:rsidRDefault="00D33BE8" w:rsidP="00D33BE8">
      <w:pPr>
        <w:spacing w:before="240"/>
        <w:jc w:val="both"/>
        <w:rPr>
          <w:rFonts w:ascii="Book Antiqua" w:hAnsi="Book Antiqua" w:cs="Arial"/>
          <w:b/>
          <w:u w:val="single"/>
        </w:rPr>
      </w:pPr>
      <w:r w:rsidRPr="00D33BE8">
        <w:rPr>
          <w:rFonts w:ascii="Book Antiqua" w:hAnsi="Book Antiqua" w:cs="Arial"/>
          <w:b/>
          <w:u w:val="single"/>
        </w:rPr>
        <w:t xml:space="preserve">Notice of Decision </w:t>
      </w:r>
    </w:p>
    <w:p w:rsidR="00D33BE8" w:rsidRDefault="00D33BE8" w:rsidP="00333788">
      <w:pPr>
        <w:numPr>
          <w:ilvl w:val="0"/>
          <w:numId w:val="3"/>
        </w:numPr>
        <w:spacing w:before="240"/>
        <w:jc w:val="both"/>
        <w:rPr>
          <w:rFonts w:ascii="Book Antiqua" w:hAnsi="Book Antiqua" w:cs="Arial"/>
        </w:rPr>
      </w:pPr>
      <w:r>
        <w:rPr>
          <w:rFonts w:ascii="Book Antiqua" w:hAnsi="Book Antiqua" w:cs="Arial"/>
        </w:rPr>
        <w:t>The appeal is dismissed.  The decision of the First-tier Tribunal is affirmed.</w:t>
      </w:r>
    </w:p>
    <w:p w:rsidR="00864126" w:rsidRDefault="00D33BE8" w:rsidP="00D33BE8">
      <w:pPr>
        <w:numPr>
          <w:ilvl w:val="0"/>
          <w:numId w:val="3"/>
        </w:numPr>
        <w:spacing w:before="240"/>
        <w:jc w:val="both"/>
        <w:rPr>
          <w:rFonts w:ascii="Book Antiqua" w:hAnsi="Book Antiqua" w:cs="Arial"/>
        </w:rPr>
      </w:pPr>
      <w:r>
        <w:rPr>
          <w:rFonts w:ascii="Book Antiqua" w:hAnsi="Book Antiqua" w:cs="Arial"/>
        </w:rPr>
        <w:t xml:space="preserve">No </w:t>
      </w:r>
      <w:r w:rsidR="00864126">
        <w:rPr>
          <w:rFonts w:ascii="Book Antiqua" w:hAnsi="Book Antiqua" w:cs="Arial"/>
        </w:rPr>
        <w:t>anonymity direction is made.</w:t>
      </w:r>
    </w:p>
    <w:p w:rsidR="00864126" w:rsidRDefault="00864126" w:rsidP="000369F5">
      <w:pPr>
        <w:tabs>
          <w:tab w:val="left" w:pos="2520"/>
        </w:tabs>
        <w:jc w:val="both"/>
        <w:rPr>
          <w:rFonts w:ascii="Book Antiqua" w:hAnsi="Book Antiqua" w:cs="Arial"/>
        </w:rPr>
      </w:pPr>
    </w:p>
    <w:p w:rsidR="00864126" w:rsidRDefault="00864126" w:rsidP="000369F5">
      <w:pPr>
        <w:tabs>
          <w:tab w:val="left" w:pos="2520"/>
        </w:tabs>
        <w:jc w:val="both"/>
        <w:rPr>
          <w:rFonts w:ascii="Book Antiqua" w:hAnsi="Book Antiqua" w:cs="Arial"/>
        </w:rPr>
      </w:pPr>
    </w:p>
    <w:p w:rsidR="00864126" w:rsidRPr="001D61D5" w:rsidRDefault="00864126" w:rsidP="00864126">
      <w:pPr>
        <w:tabs>
          <w:tab w:val="left" w:pos="2520"/>
        </w:tabs>
        <w:jc w:val="both"/>
        <w:rPr>
          <w:rFonts w:ascii="Book Antiqua" w:hAnsi="Book Antiqua" w:cs="Arial"/>
          <w:b/>
        </w:rPr>
      </w:pPr>
      <w:r w:rsidRPr="001D61D5">
        <w:rPr>
          <w:rFonts w:ascii="Book Antiqua" w:hAnsi="Book Antiqua" w:cs="Arial"/>
          <w:b/>
        </w:rPr>
        <w:t>Signed</w:t>
      </w:r>
      <w:r w:rsidRPr="001D61D5">
        <w:rPr>
          <w:rFonts w:ascii="Book Antiqua" w:hAnsi="Book Antiqua" w:cs="Arial"/>
          <w:b/>
        </w:rPr>
        <w:tab/>
      </w:r>
      <w:r w:rsidRPr="001D61D5">
        <w:rPr>
          <w:rFonts w:ascii="Book Antiqua" w:hAnsi="Book Antiqua" w:cs="Arial"/>
          <w:b/>
        </w:rPr>
        <w:tab/>
      </w:r>
      <w:r w:rsidRPr="001D61D5">
        <w:rPr>
          <w:rFonts w:ascii="Book Antiqua" w:hAnsi="Book Antiqua" w:cs="Arial"/>
          <w:b/>
        </w:rPr>
        <w:tab/>
      </w:r>
      <w:r w:rsidRPr="001D61D5">
        <w:rPr>
          <w:rFonts w:ascii="Book Antiqua" w:hAnsi="Book Antiqua" w:cs="Arial"/>
          <w:b/>
        </w:rPr>
        <w:tab/>
      </w:r>
      <w:r w:rsidRPr="001D61D5">
        <w:rPr>
          <w:rFonts w:ascii="Book Antiqua" w:hAnsi="Book Antiqua" w:cs="Arial"/>
          <w:b/>
        </w:rPr>
        <w:tab/>
      </w:r>
      <w:r w:rsidRPr="001D61D5">
        <w:rPr>
          <w:rFonts w:ascii="Book Antiqua" w:hAnsi="Book Antiqua" w:cs="Arial"/>
          <w:b/>
        </w:rPr>
        <w:tab/>
      </w:r>
      <w:r w:rsidRPr="001D61D5">
        <w:rPr>
          <w:rFonts w:ascii="Book Antiqua" w:hAnsi="Book Antiqua" w:cs="Arial"/>
          <w:b/>
        </w:rPr>
        <w:tab/>
        <w:t>Date</w:t>
      </w:r>
      <w:r w:rsidR="001D61D5" w:rsidRPr="001D61D5">
        <w:rPr>
          <w:rFonts w:ascii="Book Antiqua" w:hAnsi="Book Antiqua" w:cs="Arial"/>
          <w:b/>
        </w:rPr>
        <w:t>: 25 May 2018</w:t>
      </w:r>
    </w:p>
    <w:p w:rsidR="001D61D5" w:rsidRPr="001D61D5" w:rsidRDefault="00AB7F46" w:rsidP="00864126">
      <w:pPr>
        <w:tabs>
          <w:tab w:val="left" w:pos="2520"/>
        </w:tabs>
        <w:jc w:val="both"/>
        <w:rPr>
          <w:rFonts w:ascii="Book Antiqua" w:hAnsi="Book Antiqua" w:cs="Arial"/>
          <w:b/>
        </w:rPr>
      </w:pPr>
      <w:r w:rsidRPr="001D61D5">
        <w:rPr>
          <w:rFonts w:ascii="Book Antiqua" w:hAnsi="Book Antiqua" w:cs="Arial"/>
          <w:b/>
          <w:noProof/>
        </w:rPr>
        <mc:AlternateContent>
          <mc:Choice Requires="wpi">
            <w:drawing>
              <wp:anchor distT="0" distB="0" distL="114300" distR="114300" simplePos="0" relativeHeight="251657728" behindDoc="0" locked="0" layoutInCell="1" allowOverlap="1">
                <wp:simplePos x="0" y="0"/>
                <wp:positionH relativeFrom="column">
                  <wp:posOffset>-41275</wp:posOffset>
                </wp:positionH>
                <wp:positionV relativeFrom="paragraph">
                  <wp:posOffset>329565</wp:posOffset>
                </wp:positionV>
                <wp:extent cx="2498090" cy="593090"/>
                <wp:effectExtent l="50165" t="64135" r="42545" b="47625"/>
                <wp:wrapNone/>
                <wp:docPr id="2" name="Ink 3"/>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2498090" cy="593090"/>
                      </w14:xfrm>
                    </w14:contentPart>
                  </a:graphicData>
                </a:graphic>
                <wp14:sizeRelH relativeFrom="page">
                  <wp14:pctWidth>0</wp14:pctWidth>
                </wp14:sizeRelH>
                <wp14:sizeRelV relativeFrom="page">
                  <wp14:pctHeight>0</wp14:pctHeight>
                </wp14:sizeRelV>
              </wp:anchor>
            </w:drawing>
          </mc:Choice>
          <mc:Fallback>
            <w:pict>
              <v:shapetype w14:anchorId="68332B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8pt;margin-top:25.35pt;width:197.8pt;height:4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">
                <v:imagedata r:id="rId9" o:title=""/>
                <o:lock v:ext="edit" rotation="t" aspectratio="f"/>
              </v:shape>
            </w:pict>
          </mc:Fallback>
        </mc:AlternateContent>
      </w:r>
    </w:p>
    <w:p w:rsidR="001D61D5" w:rsidRPr="001D61D5" w:rsidRDefault="001D61D5" w:rsidP="00864126">
      <w:pPr>
        <w:tabs>
          <w:tab w:val="left" w:pos="2520"/>
        </w:tabs>
        <w:jc w:val="both"/>
        <w:rPr>
          <w:rFonts w:ascii="Book Antiqua" w:hAnsi="Book Antiqua" w:cs="Arial"/>
          <w:b/>
        </w:rPr>
      </w:pPr>
    </w:p>
    <w:p w:rsidR="001D61D5" w:rsidRPr="001D61D5" w:rsidRDefault="001D61D5" w:rsidP="00864126">
      <w:pPr>
        <w:tabs>
          <w:tab w:val="left" w:pos="2520"/>
        </w:tabs>
        <w:jc w:val="both"/>
        <w:rPr>
          <w:rFonts w:ascii="Book Antiqua" w:hAnsi="Book Antiqua" w:cs="Arial"/>
          <w:b/>
        </w:rPr>
      </w:pPr>
    </w:p>
    <w:p w:rsidR="001D61D5" w:rsidRPr="001D61D5" w:rsidRDefault="001D61D5" w:rsidP="00864126">
      <w:pPr>
        <w:tabs>
          <w:tab w:val="left" w:pos="2520"/>
        </w:tabs>
        <w:jc w:val="both"/>
        <w:rPr>
          <w:rFonts w:ascii="Book Antiqua" w:hAnsi="Book Antiqua" w:cs="Arial"/>
          <w:b/>
        </w:rPr>
      </w:pPr>
    </w:p>
    <w:p w:rsidR="001D61D5" w:rsidRPr="001D61D5" w:rsidRDefault="001D61D5" w:rsidP="00864126">
      <w:pPr>
        <w:tabs>
          <w:tab w:val="left" w:pos="2520"/>
        </w:tabs>
        <w:jc w:val="both"/>
        <w:rPr>
          <w:rFonts w:ascii="Book Antiqua" w:hAnsi="Book Antiqua" w:cs="Arial"/>
          <w:b/>
        </w:rPr>
      </w:pPr>
    </w:p>
    <w:p w:rsidR="00864126" w:rsidRPr="001D61D5" w:rsidRDefault="00864126" w:rsidP="00864126">
      <w:pPr>
        <w:tabs>
          <w:tab w:val="left" w:pos="2520"/>
        </w:tabs>
        <w:jc w:val="both"/>
        <w:rPr>
          <w:rFonts w:ascii="Book Antiqua" w:hAnsi="Book Antiqua" w:cs="Arial"/>
          <w:b/>
        </w:rPr>
      </w:pPr>
      <w:r w:rsidRPr="001D61D5">
        <w:rPr>
          <w:rFonts w:ascii="Book Antiqua" w:hAnsi="Book Antiqua" w:cs="Arial"/>
          <w:b/>
        </w:rPr>
        <w:t>Deputy Upper Tribunal Judge Zucker</w:t>
      </w:r>
    </w:p>
    <w:p w:rsidR="00246917" w:rsidRDefault="00246917" w:rsidP="000369F5">
      <w:pPr>
        <w:tabs>
          <w:tab w:val="left" w:pos="2520"/>
        </w:tabs>
        <w:jc w:val="both"/>
        <w:rPr>
          <w:rFonts w:ascii="Book Antiqua" w:hAnsi="Book Antiqua" w:cs="Arial"/>
        </w:rPr>
      </w:pPr>
    </w:p>
    <w:sectPr w:rsidR="00246917"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5D0" w:rsidRDefault="008215D0">
      <w:r>
        <w:separator/>
      </w:r>
    </w:p>
  </w:endnote>
  <w:endnote w:type="continuationSeparator" w:id="0">
    <w:p w:rsidR="008215D0" w:rsidRDefault="00821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BHFFIC+Albertus">
    <w:altName w:val="Albertu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E1269">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C350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5D0" w:rsidRDefault="008215D0">
      <w:r>
        <w:separator/>
      </w:r>
    </w:p>
  </w:footnote>
  <w:footnote w:type="continuationSeparator" w:id="0">
    <w:p w:rsidR="008215D0" w:rsidRDefault="00821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81645D"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81645D" w:rsidRPr="0081645D">
      <w:rPr>
        <w:rFonts w:ascii="Book Antiqua" w:hAnsi="Book Antiqua" w:cs="Arial"/>
        <w:sz w:val="16"/>
        <w:szCs w:val="16"/>
      </w:rPr>
      <w:t>PA/11234/2017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87B"/>
    <w:rsid w:val="00000621"/>
    <w:rsid w:val="000036C2"/>
    <w:rsid w:val="0000577C"/>
    <w:rsid w:val="00033D3D"/>
    <w:rsid w:val="000369F5"/>
    <w:rsid w:val="00071A7E"/>
    <w:rsid w:val="000746C0"/>
    <w:rsid w:val="00074D1D"/>
    <w:rsid w:val="00087037"/>
    <w:rsid w:val="00092580"/>
    <w:rsid w:val="000A32A2"/>
    <w:rsid w:val="000C3506"/>
    <w:rsid w:val="000D5D94"/>
    <w:rsid w:val="001165A7"/>
    <w:rsid w:val="00151BB7"/>
    <w:rsid w:val="00167D3A"/>
    <w:rsid w:val="00171CFF"/>
    <w:rsid w:val="001A1E2C"/>
    <w:rsid w:val="001D61D5"/>
    <w:rsid w:val="001E12F7"/>
    <w:rsid w:val="001F2716"/>
    <w:rsid w:val="0020133A"/>
    <w:rsid w:val="00207617"/>
    <w:rsid w:val="00246917"/>
    <w:rsid w:val="00283659"/>
    <w:rsid w:val="00284E94"/>
    <w:rsid w:val="00291D5E"/>
    <w:rsid w:val="002C4E73"/>
    <w:rsid w:val="002D68BF"/>
    <w:rsid w:val="002E1269"/>
    <w:rsid w:val="002F72AD"/>
    <w:rsid w:val="00305FBC"/>
    <w:rsid w:val="00333788"/>
    <w:rsid w:val="00334945"/>
    <w:rsid w:val="00336CBF"/>
    <w:rsid w:val="003546C8"/>
    <w:rsid w:val="003658FB"/>
    <w:rsid w:val="00381FA9"/>
    <w:rsid w:val="00392D87"/>
    <w:rsid w:val="003A7CF2"/>
    <w:rsid w:val="003C0DF3"/>
    <w:rsid w:val="003C5CE5"/>
    <w:rsid w:val="003E267B"/>
    <w:rsid w:val="003E7CD1"/>
    <w:rsid w:val="003F38D6"/>
    <w:rsid w:val="00402B9E"/>
    <w:rsid w:val="00423932"/>
    <w:rsid w:val="004249CB"/>
    <w:rsid w:val="0044127D"/>
    <w:rsid w:val="004448DB"/>
    <w:rsid w:val="00446C9A"/>
    <w:rsid w:val="00456521"/>
    <w:rsid w:val="00477193"/>
    <w:rsid w:val="004852B5"/>
    <w:rsid w:val="004A0FAB"/>
    <w:rsid w:val="004A1848"/>
    <w:rsid w:val="004C46A3"/>
    <w:rsid w:val="00507FEC"/>
    <w:rsid w:val="00510F0E"/>
    <w:rsid w:val="00516E48"/>
    <w:rsid w:val="005354D1"/>
    <w:rsid w:val="00541D19"/>
    <w:rsid w:val="005479E1"/>
    <w:rsid w:val="005570FD"/>
    <w:rsid w:val="005575EA"/>
    <w:rsid w:val="00564626"/>
    <w:rsid w:val="0057790C"/>
    <w:rsid w:val="00593795"/>
    <w:rsid w:val="005A75FF"/>
    <w:rsid w:val="005B4942"/>
    <w:rsid w:val="005B7789"/>
    <w:rsid w:val="00622725"/>
    <w:rsid w:val="00640E14"/>
    <w:rsid w:val="0065791C"/>
    <w:rsid w:val="00677176"/>
    <w:rsid w:val="00687480"/>
    <w:rsid w:val="00690B8A"/>
    <w:rsid w:val="006D1DFA"/>
    <w:rsid w:val="006D506B"/>
    <w:rsid w:val="006D5949"/>
    <w:rsid w:val="006E3C90"/>
    <w:rsid w:val="006F08DA"/>
    <w:rsid w:val="00704B61"/>
    <w:rsid w:val="00723628"/>
    <w:rsid w:val="00742A8D"/>
    <w:rsid w:val="0075191E"/>
    <w:rsid w:val="007552A9"/>
    <w:rsid w:val="00761858"/>
    <w:rsid w:val="00762BA6"/>
    <w:rsid w:val="00767D59"/>
    <w:rsid w:val="00776E97"/>
    <w:rsid w:val="00780FD7"/>
    <w:rsid w:val="007912AD"/>
    <w:rsid w:val="007A1F28"/>
    <w:rsid w:val="007B0824"/>
    <w:rsid w:val="007C2ED0"/>
    <w:rsid w:val="0081645D"/>
    <w:rsid w:val="008215D0"/>
    <w:rsid w:val="0082431D"/>
    <w:rsid w:val="008303B8"/>
    <w:rsid w:val="00833DCE"/>
    <w:rsid w:val="00841581"/>
    <w:rsid w:val="00842418"/>
    <w:rsid w:val="00864126"/>
    <w:rsid w:val="00871D34"/>
    <w:rsid w:val="008B270C"/>
    <w:rsid w:val="008C3D3D"/>
    <w:rsid w:val="008D4131"/>
    <w:rsid w:val="008F1932"/>
    <w:rsid w:val="008F294D"/>
    <w:rsid w:val="00911478"/>
    <w:rsid w:val="00921062"/>
    <w:rsid w:val="00927013"/>
    <w:rsid w:val="0093083E"/>
    <w:rsid w:val="009451FF"/>
    <w:rsid w:val="009553DD"/>
    <w:rsid w:val="00955B0E"/>
    <w:rsid w:val="00966ECF"/>
    <w:rsid w:val="009727A3"/>
    <w:rsid w:val="00987774"/>
    <w:rsid w:val="009A11E8"/>
    <w:rsid w:val="009A43A1"/>
    <w:rsid w:val="009E4E62"/>
    <w:rsid w:val="009F5220"/>
    <w:rsid w:val="009F7C4D"/>
    <w:rsid w:val="00A15234"/>
    <w:rsid w:val="00A201AB"/>
    <w:rsid w:val="00A31C8B"/>
    <w:rsid w:val="00A54733"/>
    <w:rsid w:val="00A845DC"/>
    <w:rsid w:val="00A9091B"/>
    <w:rsid w:val="00A97AEE"/>
    <w:rsid w:val="00AB7F46"/>
    <w:rsid w:val="00AC5CF6"/>
    <w:rsid w:val="00AC7862"/>
    <w:rsid w:val="00B144FA"/>
    <w:rsid w:val="00B16F58"/>
    <w:rsid w:val="00B30648"/>
    <w:rsid w:val="00B322F4"/>
    <w:rsid w:val="00B3524D"/>
    <w:rsid w:val="00B40F69"/>
    <w:rsid w:val="00B46616"/>
    <w:rsid w:val="00B57A65"/>
    <w:rsid w:val="00B610E3"/>
    <w:rsid w:val="00B61205"/>
    <w:rsid w:val="00B617C4"/>
    <w:rsid w:val="00B626FA"/>
    <w:rsid w:val="00B66D87"/>
    <w:rsid w:val="00B7040A"/>
    <w:rsid w:val="00B80EE9"/>
    <w:rsid w:val="00B96FA0"/>
    <w:rsid w:val="00BB2AA8"/>
    <w:rsid w:val="00BD4196"/>
    <w:rsid w:val="00BE4FE1"/>
    <w:rsid w:val="00BF22CA"/>
    <w:rsid w:val="00C26032"/>
    <w:rsid w:val="00C265B0"/>
    <w:rsid w:val="00C321B5"/>
    <w:rsid w:val="00C345E1"/>
    <w:rsid w:val="00C9551E"/>
    <w:rsid w:val="00C977BA"/>
    <w:rsid w:val="00CB6E35"/>
    <w:rsid w:val="00CE1A46"/>
    <w:rsid w:val="00CF253F"/>
    <w:rsid w:val="00CF56B4"/>
    <w:rsid w:val="00D171BF"/>
    <w:rsid w:val="00D20F09"/>
    <w:rsid w:val="00D22636"/>
    <w:rsid w:val="00D33BE8"/>
    <w:rsid w:val="00D40FD9"/>
    <w:rsid w:val="00D42256"/>
    <w:rsid w:val="00D53769"/>
    <w:rsid w:val="00D67604"/>
    <w:rsid w:val="00D745B6"/>
    <w:rsid w:val="00D74CFD"/>
    <w:rsid w:val="00D85C13"/>
    <w:rsid w:val="00D91BE3"/>
    <w:rsid w:val="00D94AFC"/>
    <w:rsid w:val="00DB70AE"/>
    <w:rsid w:val="00DB7231"/>
    <w:rsid w:val="00DD07FC"/>
    <w:rsid w:val="00DD5071"/>
    <w:rsid w:val="00DD5C39"/>
    <w:rsid w:val="00DE26AF"/>
    <w:rsid w:val="00DE7DB7"/>
    <w:rsid w:val="00DF087B"/>
    <w:rsid w:val="00E00A0A"/>
    <w:rsid w:val="00E07F57"/>
    <w:rsid w:val="00E42F05"/>
    <w:rsid w:val="00E4586A"/>
    <w:rsid w:val="00E50BCE"/>
    <w:rsid w:val="00E61292"/>
    <w:rsid w:val="00E76309"/>
    <w:rsid w:val="00E77C4D"/>
    <w:rsid w:val="00E81D01"/>
    <w:rsid w:val="00E90C08"/>
    <w:rsid w:val="00EA4F85"/>
    <w:rsid w:val="00EE45D8"/>
    <w:rsid w:val="00F004CD"/>
    <w:rsid w:val="00F17ECD"/>
    <w:rsid w:val="00F22EDA"/>
    <w:rsid w:val="00F26555"/>
    <w:rsid w:val="00F3224D"/>
    <w:rsid w:val="00F33E0E"/>
    <w:rsid w:val="00F3723B"/>
    <w:rsid w:val="00F5664C"/>
    <w:rsid w:val="00F64613"/>
    <w:rsid w:val="00F72B81"/>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6T08:17:07.874"/>
    </inkml:context>
    <inkml:brush xml:id="br0">
      <inkml:brushProperty name="width" value="0.04" units="cm"/>
      <inkml:brushProperty name="height" value="0.04" units="cm"/>
    </inkml:brush>
  </inkml:definitions>
  <inkml:trace contextRef="#ctx0" brushRef="#br0">2052 22 11787,'22'-22'4805,"-22"22"-577,0 0-1858,-22 22-640,1-22-1186,-21 42-992,-1 0 31,1 0-31,-21 22 128,-22 21-97,0 20 65,-20 1-1,-22 0 321,-1 0 0,-19 21-32,-1-1 64,0-19 0,0 19 32,-1-20-64,1-22 0,21 1-32,21-21 96,22-22-32,20-21-32,43-21 0,0-21 0,42 0 32,21-42 0,22-1 0,21 0-64,20-20 96,1-1 0,21 1 32,0 20 0,0-21-32,0 43 32,-22-1-32,2 2 0,-22 19-64,-22 22 0,-21 22 64,-21-1-128,-21 21 96,-43 21 0,23 1 0,-23-21 64,-20 20-64,21 0 64,-1-21-31,1 1 63,20-22 0,2-21-64,20 0 0,20-42 0,2 0 64,20-22-96,22 0 32,0-20 0,-1-1-64,21 1 64,1-22 32,-1 21-64,-20 1-32,21-1 32,-43 21 64,22 1-96,-22 0 64,-21 41-96,0 1 64,-21 21-64,0 0 32,0 0 32,-42 21-64,0 21 32,-22 22 32,0 0 32,-41 20-128,-1 1 128,0-1-32,0 1 0,1-21 0,20-1-64,0-21-32,43-21 32,-1 1-1,43-22-31,22-22-32,20-20 128,22-1-64,20-20 64,1 0 0,21-1 0,-1 1 64,2 0-64,-2 20 32,-20 1-64,-22 20 32,0 22 32,-41 0 32,-1 0-64,-21 43 0,0-22 64,-21 22-32,-21-1 65,21 21-97,-22-20-32,22-1-33,0 1 1,-1-23 0,22 2 32,22-1-32,20-42 0,1-1 64,-2 2 0,44-23 64,-21-21 0,20 1 32,1 0-64,-21-1 65,21 1-65,-44 20 0,23 1 0,-43 21 32,-21 21-32,0 0-64,-21 42 64,-21-21-32,20 22 0,1-23-32,1 2-32,20-22 0,20 0-33,23 0 65,20-42-64,1 20 32,-1-20 0,22 0 64,0 0 321,-1-22-33,0 43 32,-20-21-288,-1 20 288,-20 22-288,-22 0 0,0 0 1,-21 22-354,-21 20 97,0 0-64,-22 21 288,-20 22-224,-22 0 191,-20 21 130,-1 21-33,-21 0 32,0-1-64,0 23 96,0-43-64,0 21 0,21-43-32,21 0-32,22-20-480,21-43-2147,-1-21-1249,43 0-608,0-42-160,22-21-33,20-22 2179</inkml:trace>
  <inkml:trace contextRef="#ctx0" brushRef="#br0" timeOffset="906">3641 275 14766,'0'22'4708,"0"-22"-896,21 0-3876,0 0 96,0-22 320,1 1 33,20-21-65,0-1 32,21 1 33,-20 0-65,20-1 64,-21 23-63,1-2-385,-1 22 0,-21 22-385,-21 20 33,-21 0-33,-21 42 33,-21-20-33,-22 42 33,-21-1 0,-42 22 159,21 0 386,-42 1-65,21 19 32,-22-19-32,22-2 0,0-20 32,21-22 0,42-20-160,0-22 64,65-21-32,-2-21 32,44-63 0,20 21-32,21-43 64,22 0-96,42-20 0,-1-1 32,2 21-32,20 1 0,-21 21 0,0 20 0,-21 22-65,-1 0 129,-41 21-32,-21 21 0,-1 0 64,-42 22 0,0-2 65,-42 23-1,20-1 32,-20 1-64,-22-21 32,22 20 0,0-21-64,21-21 32,-1 0 0,22-21 0,0-21-32,22 0-32,-1-21 32,21-1-32,21-20-64,-20 21 0,21-22-64,20 21 32,-21-20-96,1 43 96,0-23-32,-22 22 31,0 21 33,0 0 32,-20 21-32,-2 0 64,-20 21 128,0 1-64,22-1 33,-22 0-1,0 1 32,0-1-32,0 1 32,21-23-64,0 23-32,0-23 64,1 2-32,20-1 32,21 0 0,1-21 0,20-21-31,22 0 63,21-21-32,21-1-96,1 1-96,20-21 32,0-22-97,21 21 33,1-20-32,-1-1-2338,1 1-1986,0-1-321,-1 0-128,0 1 353,-21 0 2434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999</Words>
  <Characters>4782</Characters>
  <Application>Microsoft Office Word</Application>
  <DocSecurity>0</DocSecurity>
  <Lines>39</Lines>
  <Paragraphs>11</Paragraphs>
  <ScaleCrop>false</ScaleCrop>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2018-06-21T14:12:00Z</dcterms:created>
  <dcterms:modified xsi:type="dcterms:W3CDTF">2018-06-21T14:12:00Z</dcterms:modified>
</cp:coreProperties>
</file>