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4CB5" w14:textId="77777777" w:rsidR="00F63500" w:rsidRPr="00F97703" w:rsidRDefault="00F63500" w:rsidP="00F63500">
      <w:pPr>
        <w:rPr>
          <w:rFonts w:ascii="Book Antiqua" w:hAnsi="Book Antiqua" w:cs="Arial"/>
          <w:color w:val="000000"/>
          <w:sz w:val="16"/>
          <w:szCs w:val="16"/>
        </w:rPr>
      </w:pPr>
    </w:p>
    <w:p w14:paraId="06E379F3" w14:textId="77777777" w:rsidR="00F63500" w:rsidRDefault="00F63500" w:rsidP="00F63500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6E33DF05" wp14:editId="56FFAFD6">
            <wp:extent cx="1501140" cy="1135380"/>
            <wp:effectExtent l="0" t="0" r="3810" b="0"/>
            <wp:docPr id="2" name="Picture 2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099C" w14:textId="77777777" w:rsidR="00F63500" w:rsidRPr="00F97703" w:rsidRDefault="00F63500" w:rsidP="00F63500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5AAE11C9" w14:textId="593EDA01" w:rsidR="00D87ABF" w:rsidRPr="00245AD4" w:rsidRDefault="00F63500" w:rsidP="00D87ABF">
      <w:pPr>
        <w:jc w:val="both"/>
        <w:rPr>
          <w:rFonts w:ascii="Book Antiqua" w:hAnsi="Book Antiqua"/>
          <w:b/>
          <w:u w:val="single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="00245AD4">
        <w:rPr>
          <w:rFonts w:ascii="Book Antiqua" w:hAnsi="Book Antiqua" w:cs="Arial"/>
          <w:b/>
          <w:color w:val="000000"/>
        </w:rPr>
        <w:t xml:space="preserve">                     </w:t>
      </w:r>
      <w:r w:rsidRPr="00245AD4">
        <w:rPr>
          <w:rFonts w:ascii="Book Antiqua" w:hAnsi="Book Antiqua" w:cs="Arial"/>
          <w:b/>
          <w:color w:val="000000"/>
        </w:rPr>
        <w:t xml:space="preserve">Appeal Number: </w:t>
      </w:r>
      <w:r w:rsidR="00062775" w:rsidRPr="00245AD4">
        <w:rPr>
          <w:rFonts w:ascii="Book Antiqua" w:hAnsi="Book Antiqua" w:cs="Arial"/>
          <w:b/>
          <w:color w:val="000000"/>
        </w:rPr>
        <w:t>PA/11442/2019</w:t>
      </w:r>
    </w:p>
    <w:p w14:paraId="03A616C9" w14:textId="77777777" w:rsidR="00A4348B" w:rsidRPr="00F97703" w:rsidRDefault="00A4348B" w:rsidP="00F63500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</w:p>
    <w:p w14:paraId="027B28A3" w14:textId="77777777" w:rsidR="00F63500" w:rsidRPr="00F97703" w:rsidRDefault="00F63500" w:rsidP="00F63500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49D2A265" w14:textId="77777777" w:rsidR="00F63500" w:rsidRPr="00F97703" w:rsidRDefault="00F63500" w:rsidP="00F63500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312" w:type="dxa"/>
        <w:tblLook w:val="01E0" w:firstRow="1" w:lastRow="1" w:firstColumn="1" w:lastColumn="1" w:noHBand="0" w:noVBand="0"/>
      </w:tblPr>
      <w:tblGrid>
        <w:gridCol w:w="5529"/>
        <w:gridCol w:w="4783"/>
      </w:tblGrid>
      <w:tr w:rsidR="00F63500" w:rsidRPr="00AB1DC6" w14:paraId="1F5FF653" w14:textId="77777777" w:rsidTr="00245AD4">
        <w:trPr>
          <w:trHeight w:val="409"/>
        </w:trPr>
        <w:tc>
          <w:tcPr>
            <w:tcW w:w="5529" w:type="dxa"/>
            <w:shd w:val="clear" w:color="auto" w:fill="auto"/>
          </w:tcPr>
          <w:p w14:paraId="52BEF490" w14:textId="76F9F72F" w:rsidR="00F63500" w:rsidRDefault="001A5B2E" w:rsidP="004C793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Determined Without a H</w:t>
            </w:r>
            <w:r w:rsidR="008F4C2B">
              <w:rPr>
                <w:rFonts w:ascii="Book Antiqua" w:hAnsi="Book Antiqua" w:cs="Arial"/>
                <w:b/>
              </w:rPr>
              <w:t>earing</w:t>
            </w:r>
          </w:p>
          <w:p w14:paraId="30ACEAD7" w14:textId="7D26FE73" w:rsidR="001A5B2E" w:rsidRPr="00AB1DC6" w:rsidRDefault="001A5B2E" w:rsidP="004C793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Under Rule 34 (P)</w:t>
            </w:r>
          </w:p>
        </w:tc>
        <w:tc>
          <w:tcPr>
            <w:tcW w:w="4783" w:type="dxa"/>
            <w:shd w:val="clear" w:color="auto" w:fill="auto"/>
          </w:tcPr>
          <w:p w14:paraId="28796256" w14:textId="77777777" w:rsidR="00F63500" w:rsidRDefault="001A5B2E" w:rsidP="004C7935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A07971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  <w:p w14:paraId="74BA0508" w14:textId="11462452" w:rsidR="001A5B2E" w:rsidRPr="00AB1DC6" w:rsidRDefault="001A5B2E" w:rsidP="004C7935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</w:rPr>
              <w:t>On 30 June 2020</w:t>
            </w:r>
          </w:p>
        </w:tc>
      </w:tr>
      <w:tr w:rsidR="00F63500" w:rsidRPr="00AB1DC6" w14:paraId="38C3F4BB" w14:textId="77777777" w:rsidTr="00245AD4">
        <w:trPr>
          <w:trHeight w:val="199"/>
        </w:trPr>
        <w:tc>
          <w:tcPr>
            <w:tcW w:w="5529" w:type="dxa"/>
            <w:shd w:val="clear" w:color="auto" w:fill="auto"/>
          </w:tcPr>
          <w:p w14:paraId="3F798FB7" w14:textId="44EB5ADD" w:rsidR="00F63500" w:rsidRPr="00AB1DC6" w:rsidRDefault="00F63500" w:rsidP="004C793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83" w:type="dxa"/>
            <w:shd w:val="clear" w:color="auto" w:fill="auto"/>
          </w:tcPr>
          <w:p w14:paraId="358B36D9" w14:textId="77777777" w:rsidR="00F63500" w:rsidRPr="00AB1DC6" w:rsidRDefault="00F63500" w:rsidP="004C793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F63500" w:rsidRPr="00AB1DC6" w14:paraId="03925578" w14:textId="77777777" w:rsidTr="00245AD4">
        <w:trPr>
          <w:trHeight w:val="210"/>
        </w:trPr>
        <w:tc>
          <w:tcPr>
            <w:tcW w:w="5529" w:type="dxa"/>
            <w:shd w:val="clear" w:color="auto" w:fill="auto"/>
          </w:tcPr>
          <w:p w14:paraId="509071DD" w14:textId="77777777" w:rsidR="00F63500" w:rsidRPr="00AB1DC6" w:rsidRDefault="00F63500" w:rsidP="004C793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83" w:type="dxa"/>
            <w:shd w:val="clear" w:color="auto" w:fill="auto"/>
          </w:tcPr>
          <w:p w14:paraId="506D1382" w14:textId="6E8CC9CC" w:rsidR="00F63500" w:rsidRPr="00AB1DC6" w:rsidRDefault="00F63500" w:rsidP="004C793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46EB7C28" w14:textId="77777777" w:rsidR="00F63500" w:rsidRPr="00F97703" w:rsidRDefault="00F63500" w:rsidP="00F63500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5306E4AB" w14:textId="77777777" w:rsidR="00F63500" w:rsidRDefault="00F63500" w:rsidP="00F63500">
      <w:pPr>
        <w:jc w:val="center"/>
        <w:rPr>
          <w:rFonts w:ascii="Book Antiqua" w:hAnsi="Book Antiqua" w:cs="Arial"/>
          <w:b/>
        </w:rPr>
      </w:pPr>
    </w:p>
    <w:p w14:paraId="4A7F61AA" w14:textId="77777777" w:rsidR="00F63500" w:rsidRPr="00F97703" w:rsidRDefault="00F63500" w:rsidP="00F63500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CANAVAN</w:t>
      </w:r>
    </w:p>
    <w:p w14:paraId="13D2A608" w14:textId="77777777" w:rsidR="00F63500" w:rsidRDefault="00F63500" w:rsidP="00F63500">
      <w:pPr>
        <w:jc w:val="center"/>
        <w:rPr>
          <w:rFonts w:ascii="Book Antiqua" w:hAnsi="Book Antiqua" w:cs="Arial"/>
          <w:b/>
        </w:rPr>
      </w:pPr>
    </w:p>
    <w:p w14:paraId="6CBA56BB" w14:textId="77777777" w:rsidR="00F63500" w:rsidRDefault="00F63500" w:rsidP="00F63500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26BA864B" w14:textId="3C9D426C" w:rsidR="00F63500" w:rsidRDefault="00F63500" w:rsidP="00F63500">
      <w:pPr>
        <w:jc w:val="center"/>
        <w:rPr>
          <w:rFonts w:ascii="Book Antiqua" w:hAnsi="Book Antiqua" w:cs="Arial"/>
          <w:b/>
        </w:rPr>
      </w:pPr>
    </w:p>
    <w:p w14:paraId="7809F908" w14:textId="7275674D" w:rsidR="00A4348B" w:rsidRDefault="000546A5" w:rsidP="00F6350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N V</w:t>
      </w:r>
    </w:p>
    <w:p w14:paraId="049D39D8" w14:textId="77777777" w:rsidR="00245AD4" w:rsidRDefault="00245AD4" w:rsidP="00245AD4">
      <w:pPr>
        <w:jc w:val="center"/>
        <w:rPr>
          <w:rFonts w:ascii="Book Antiqua" w:hAnsi="Book Antiqua" w:cs="Arial"/>
        </w:rPr>
      </w:pPr>
      <w:r w:rsidRPr="008D1C1F">
        <w:rPr>
          <w:rFonts w:ascii="Book Antiqua" w:hAnsi="Book Antiqua" w:cs="Arial"/>
        </w:rPr>
        <w:t>(ANONYMITY DIRECTION MADE)</w:t>
      </w:r>
    </w:p>
    <w:p w14:paraId="1A17F725" w14:textId="77777777" w:rsidR="00F63500" w:rsidRDefault="00F63500" w:rsidP="00F63500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2471115F" w14:textId="77777777" w:rsidR="00F63500" w:rsidRPr="00F97703" w:rsidRDefault="00F63500" w:rsidP="00F63500">
      <w:pPr>
        <w:jc w:val="right"/>
        <w:rPr>
          <w:rFonts w:ascii="Book Antiqua" w:hAnsi="Book Antiqua" w:cs="Arial"/>
          <w:u w:val="single"/>
        </w:rPr>
      </w:pPr>
    </w:p>
    <w:p w14:paraId="20B43591" w14:textId="77777777" w:rsidR="00F63500" w:rsidRPr="00F97703" w:rsidRDefault="00F63500" w:rsidP="00F63500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3C77BD2A" w14:textId="77777777" w:rsidR="00F63500" w:rsidRDefault="00F63500" w:rsidP="00F63500">
      <w:pPr>
        <w:jc w:val="center"/>
        <w:rPr>
          <w:rFonts w:ascii="Book Antiqua" w:hAnsi="Book Antiqua" w:cs="Arial"/>
          <w:b/>
        </w:rPr>
      </w:pPr>
    </w:p>
    <w:p w14:paraId="58A0C4A8" w14:textId="00A8496F" w:rsidR="00F63500" w:rsidRPr="00F97703" w:rsidRDefault="00245AD4" w:rsidP="00F6350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2AA5370D" w14:textId="5315C991" w:rsidR="00F63500" w:rsidRPr="00F97703" w:rsidRDefault="00F63500" w:rsidP="00F63500">
      <w:pPr>
        <w:jc w:val="center"/>
        <w:rPr>
          <w:rFonts w:ascii="Book Antiqua" w:hAnsi="Book Antiqua" w:cs="Arial"/>
          <w:b/>
        </w:rPr>
      </w:pPr>
    </w:p>
    <w:p w14:paraId="1F3DB548" w14:textId="77777777" w:rsidR="00F63500" w:rsidRPr="00F97703" w:rsidRDefault="00F63500" w:rsidP="00F63500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1DBB107A" w14:textId="77777777" w:rsidR="008D1C1F" w:rsidRPr="008D1C1F" w:rsidRDefault="008D1C1F" w:rsidP="008D1C1F">
      <w:pPr>
        <w:jc w:val="center"/>
        <w:rPr>
          <w:rFonts w:ascii="Book Antiqua" w:hAnsi="Book Antiqua" w:cs="Arial"/>
        </w:rPr>
      </w:pPr>
    </w:p>
    <w:p w14:paraId="7CFA06CD" w14:textId="77777777" w:rsidR="00F63500" w:rsidRDefault="00F63500" w:rsidP="00F63500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Pr="00F97703">
        <w:rPr>
          <w:rFonts w:ascii="Book Antiqua" w:hAnsi="Book Antiqua" w:cs="Arial"/>
          <w:b/>
          <w:u w:val="single"/>
        </w:rPr>
        <w:t xml:space="preserve"> AND REASONS</w:t>
      </w:r>
    </w:p>
    <w:p w14:paraId="1EE3F271" w14:textId="77777777" w:rsidR="00F63500" w:rsidRDefault="00F63500" w:rsidP="00F6350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29D89838" w14:textId="30140252" w:rsidR="00F63500" w:rsidRDefault="00E55088" w:rsidP="006E7031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1.</w:t>
      </w:r>
      <w:r>
        <w:rPr>
          <w:rFonts w:ascii="Book Antiqua" w:hAnsi="Book Antiqua" w:cs="Arial"/>
        </w:rPr>
        <w:tab/>
        <w:t xml:space="preserve">The appellant </w:t>
      </w:r>
      <w:r w:rsidR="00062775">
        <w:rPr>
          <w:rFonts w:ascii="Book Antiqua" w:hAnsi="Book Antiqua" w:cs="Arial"/>
        </w:rPr>
        <w:t xml:space="preserve">appealed the respondent’s decision dated </w:t>
      </w:r>
      <w:r w:rsidR="004B1A14">
        <w:rPr>
          <w:rFonts w:ascii="Book Antiqua" w:hAnsi="Book Antiqua" w:cs="Arial"/>
        </w:rPr>
        <w:t xml:space="preserve">12 November 2019 to refuse a protection and human rights claim. </w:t>
      </w:r>
    </w:p>
    <w:p w14:paraId="75545489" w14:textId="77777777" w:rsidR="00F63500" w:rsidRDefault="00F63500" w:rsidP="00F6350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3F3C14D0" w14:textId="316C14F6" w:rsidR="00F63500" w:rsidRDefault="006E7031" w:rsidP="006E7031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2.</w:t>
      </w:r>
      <w:r>
        <w:rPr>
          <w:rFonts w:ascii="Book Antiqua" w:hAnsi="Book Antiqua" w:cs="Arial"/>
        </w:rPr>
        <w:tab/>
        <w:t xml:space="preserve">First-tier Tribunal Judge </w:t>
      </w:r>
      <w:r w:rsidR="00840CA0">
        <w:rPr>
          <w:rFonts w:ascii="Book Antiqua" w:hAnsi="Book Antiqua" w:cs="Arial"/>
        </w:rPr>
        <w:t>Sweet</w:t>
      </w:r>
      <w:r>
        <w:rPr>
          <w:rFonts w:ascii="Book Antiqua" w:hAnsi="Book Antiqua" w:cs="Arial"/>
        </w:rPr>
        <w:t xml:space="preserve"> (“the judge”) dismissed the appeal in a decision promulgated on </w:t>
      </w:r>
      <w:r w:rsidR="00840CA0">
        <w:rPr>
          <w:rFonts w:ascii="Book Antiqua" w:hAnsi="Book Antiqua" w:cs="Arial"/>
        </w:rPr>
        <w:t>06 December 2019</w:t>
      </w:r>
      <w:r>
        <w:rPr>
          <w:rFonts w:ascii="Book Antiqua" w:hAnsi="Book Antiqua" w:cs="Arial"/>
        </w:rPr>
        <w:t xml:space="preserve">. </w:t>
      </w:r>
    </w:p>
    <w:p w14:paraId="7EF751F1" w14:textId="4DBE91C0" w:rsidR="00F63500" w:rsidRDefault="00F63500" w:rsidP="00F6350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FD7A9EF" w14:textId="77777777" w:rsidR="00E65991" w:rsidRDefault="006E7031" w:rsidP="004A315D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</w:r>
      <w:r w:rsidR="004A315D">
        <w:rPr>
          <w:rFonts w:ascii="Book Antiqua" w:hAnsi="Book Antiqua" w:cs="Arial"/>
        </w:rPr>
        <w:t xml:space="preserve">The appellant appealed the First-tier Tribunal decision </w:t>
      </w:r>
      <w:r w:rsidR="00E65991">
        <w:rPr>
          <w:rFonts w:ascii="Book Antiqua" w:hAnsi="Book Antiqua" w:cs="Arial"/>
        </w:rPr>
        <w:t>on the following grounds:</w:t>
      </w:r>
    </w:p>
    <w:p w14:paraId="672B2762" w14:textId="77777777" w:rsidR="00E65991" w:rsidRDefault="00E65991" w:rsidP="004A315D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3E691D75" w14:textId="16C689C8" w:rsidR="004A315D" w:rsidRDefault="000A7C2F" w:rsidP="000A7C2F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Book Antiqua" w:hAnsi="Book Antiqua" w:cs="Arial"/>
        </w:rPr>
      </w:pPr>
      <w:r w:rsidRPr="000A7C2F">
        <w:rPr>
          <w:rFonts w:ascii="Book Antiqua" w:hAnsi="Book Antiqua" w:cs="Arial"/>
        </w:rPr>
        <w:t>The judge made inadequate findings to explain why he considered the appellant’s account to be contradictory</w:t>
      </w:r>
      <w:r w:rsidR="000E2AF0">
        <w:rPr>
          <w:rFonts w:ascii="Book Antiqua" w:hAnsi="Book Antiqua" w:cs="Arial"/>
        </w:rPr>
        <w:t xml:space="preserve">, and the few findings that he did make, did not rationally justify his conclusion. </w:t>
      </w:r>
    </w:p>
    <w:p w14:paraId="307D7D70" w14:textId="77777777" w:rsidR="00F32E13" w:rsidRPr="000A7C2F" w:rsidRDefault="00F32E13" w:rsidP="00F32E13">
      <w:pPr>
        <w:pStyle w:val="ListParagraph"/>
        <w:tabs>
          <w:tab w:val="left" w:pos="567"/>
        </w:tabs>
        <w:ind w:left="1440"/>
        <w:jc w:val="both"/>
        <w:rPr>
          <w:rFonts w:ascii="Book Antiqua" w:hAnsi="Book Antiqua" w:cs="Arial"/>
        </w:rPr>
      </w:pPr>
    </w:p>
    <w:p w14:paraId="362D3C2A" w14:textId="2149DBFB" w:rsidR="000A7C2F" w:rsidRPr="000A7C2F" w:rsidRDefault="000A7C2F" w:rsidP="000A7C2F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judge </w:t>
      </w:r>
      <w:r w:rsidR="00CF3249">
        <w:rPr>
          <w:rFonts w:ascii="Book Antiqua" w:hAnsi="Book Antiqua" w:cs="Arial"/>
        </w:rPr>
        <w:t xml:space="preserve">failed to </w:t>
      </w:r>
      <w:r w:rsidR="00D33AE3">
        <w:rPr>
          <w:rFonts w:ascii="Book Antiqua" w:hAnsi="Book Antiqua" w:cs="Arial"/>
        </w:rPr>
        <w:t xml:space="preserve">consider detailed written evidence produced by the appellant. </w:t>
      </w:r>
    </w:p>
    <w:p w14:paraId="1A281D1C" w14:textId="2988FB29" w:rsidR="00F32E13" w:rsidRDefault="00F32E13" w:rsidP="00F32E13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0718189C" w14:textId="5E79083C" w:rsidR="00D33AE3" w:rsidRPr="00D00988" w:rsidRDefault="00D00988" w:rsidP="00D00988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judge applied too high a standard of proof in apparently requiring furt</w:t>
      </w:r>
      <w:r w:rsidR="001E4273">
        <w:rPr>
          <w:rFonts w:ascii="Book Antiqua" w:hAnsi="Book Antiqua" w:cs="Arial"/>
        </w:rPr>
        <w:t xml:space="preserve">her documentary evidence relating to church attendance in the UK in addition to the evidence that had already been produced. </w:t>
      </w:r>
    </w:p>
    <w:p w14:paraId="3B2ED37D" w14:textId="77777777" w:rsidR="00F32E13" w:rsidRDefault="00F32E13" w:rsidP="00F32E13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32E19FE0" w14:textId="249D7A9C" w:rsidR="001E4273" w:rsidRDefault="001E4273" w:rsidP="00026319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</w:r>
      <w:r w:rsidR="002B45F5">
        <w:rPr>
          <w:rFonts w:ascii="Book Antiqua" w:hAnsi="Book Antiqua" w:cs="Arial"/>
        </w:rPr>
        <w:t>First-tier Tribunal Judge O’Brien granted permission to appeal to the Upper Tribunal in an order dated</w:t>
      </w:r>
      <w:r w:rsidR="00026319">
        <w:rPr>
          <w:rFonts w:ascii="Book Antiqua" w:hAnsi="Book Antiqua" w:cs="Arial"/>
        </w:rPr>
        <w:t xml:space="preserve"> 29 January 2020. </w:t>
      </w:r>
    </w:p>
    <w:p w14:paraId="03D8B71E" w14:textId="48758B03" w:rsidR="001E4273" w:rsidRDefault="001E4273" w:rsidP="00F32E13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6062D1D9" w14:textId="1B95ABDA" w:rsidR="00026319" w:rsidRDefault="00026319" w:rsidP="00CD636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>The case was listed for hearing on 23 April 2020, but the hearing had to be vacated due to</w:t>
      </w:r>
      <w:r w:rsidR="00CD636F">
        <w:rPr>
          <w:rFonts w:ascii="Book Antiqua" w:hAnsi="Book Antiqua" w:cs="Arial"/>
        </w:rPr>
        <w:t xml:space="preserve"> public health measures put in place as a result of the Covid-19 pandemic. The Upper Tribunal reviewed the file and made directions. After having discussed the case, the parties were able </w:t>
      </w:r>
      <w:r w:rsidR="005F5826">
        <w:rPr>
          <w:rFonts w:ascii="Book Antiqua" w:hAnsi="Book Antiqua" w:cs="Arial"/>
        </w:rPr>
        <w:t>to agree</w:t>
      </w:r>
      <w:r w:rsidR="00CD636F">
        <w:rPr>
          <w:rFonts w:ascii="Book Antiqua" w:hAnsi="Book Antiqua" w:cs="Arial"/>
        </w:rPr>
        <w:t xml:space="preserve"> that the First-tier Tribunal decision involved the making of an error on a point of law for the reasons set out in the grounds. Given that the </w:t>
      </w:r>
      <w:r w:rsidR="00827C89">
        <w:rPr>
          <w:rFonts w:ascii="Book Antiqua" w:hAnsi="Book Antiqua" w:cs="Arial"/>
        </w:rPr>
        <w:t xml:space="preserve">errors of law go to the credibility of the appellant’s account the effect of the finding that there is an error of law </w:t>
      </w:r>
      <w:r w:rsidR="00507EC8">
        <w:rPr>
          <w:rFonts w:ascii="Book Antiqua" w:hAnsi="Book Antiqua" w:cs="Arial"/>
        </w:rPr>
        <w:t>means that the</w:t>
      </w:r>
      <w:r w:rsidR="002E15C7">
        <w:rPr>
          <w:rFonts w:ascii="Book Antiqua" w:hAnsi="Book Antiqua" w:cs="Arial"/>
        </w:rPr>
        <w:t xml:space="preserve"> extent of the fact-finding that will need to be done is such that it is appropriate to remit the case to the First-tier Tribunal for a fresh hearing. </w:t>
      </w:r>
    </w:p>
    <w:p w14:paraId="3E867047" w14:textId="77777777" w:rsidR="00CD636F" w:rsidRDefault="00CD636F" w:rsidP="00F32E13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9626147" w14:textId="18EF04D2" w:rsidR="00F63500" w:rsidRDefault="002E15C7" w:rsidP="002E15C7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</w:r>
      <w:r w:rsidR="004A315D">
        <w:rPr>
          <w:rFonts w:ascii="Book Antiqua" w:hAnsi="Book Antiqua" w:cs="Arial"/>
        </w:rPr>
        <w:t xml:space="preserve">The First-tier Tribunal decision involved the making of an error of law and must be set aside. </w:t>
      </w:r>
      <w:r w:rsidR="00507EC8">
        <w:rPr>
          <w:rFonts w:ascii="Book Antiqua" w:hAnsi="Book Antiqua" w:cs="Arial"/>
        </w:rPr>
        <w:t xml:space="preserve">The appeal is remitted to the First-tier Tribunal for a fresh hearing. </w:t>
      </w:r>
    </w:p>
    <w:p w14:paraId="2EEDF1EC" w14:textId="7966C1CC" w:rsidR="004A315D" w:rsidRDefault="004A315D" w:rsidP="004A315D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6FEAD3B9" w14:textId="0AEBF343" w:rsidR="00E55088" w:rsidRPr="00E55088" w:rsidRDefault="00E55088" w:rsidP="00F63500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E55088">
        <w:rPr>
          <w:rFonts w:ascii="Book Antiqua" w:hAnsi="Book Antiqua" w:cs="Arial"/>
          <w:u w:val="single"/>
        </w:rPr>
        <w:t xml:space="preserve">DECISION </w:t>
      </w:r>
    </w:p>
    <w:p w14:paraId="3907A275" w14:textId="39AA29A0" w:rsidR="00F63500" w:rsidRDefault="00F63500" w:rsidP="00F6350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00BA721" w14:textId="125BF78D" w:rsidR="004A315D" w:rsidRDefault="004A315D" w:rsidP="00F63500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First-tier Tribunal decision involved the making of an error on a point of law</w:t>
      </w:r>
    </w:p>
    <w:p w14:paraId="2F909673" w14:textId="6D44D19D" w:rsidR="004A315D" w:rsidRDefault="00837D36" w:rsidP="00F63500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A7F8B8" wp14:editId="56236399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1520190" cy="1508125"/>
            <wp:effectExtent l="0" t="0" r="3810" b="0"/>
            <wp:wrapNone/>
            <wp:docPr id="11" name="Picture 11" descr="C:\Users\kie19a\AppData\Local\Microsoft\Windows\INetCache\Content.Word\cropped Upper Tribunal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e19a\AppData\Local\Microsoft\Windows\INetCache\Content.Word\cropped Upper Tribunal sta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0FBCB" w14:textId="2155A26C" w:rsidR="004A315D" w:rsidRDefault="00E53241" w:rsidP="00F63500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is remitted to the First-tier Tribunal for a fresh hearing</w:t>
      </w:r>
    </w:p>
    <w:p w14:paraId="17273C1D" w14:textId="27A1D54B" w:rsidR="00E53241" w:rsidRDefault="00E53241" w:rsidP="00F6350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06807684" w14:textId="77777777" w:rsidR="00FC5325" w:rsidRDefault="00FC5325" w:rsidP="00F6350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4F02F01" w14:textId="1668F12D" w:rsidR="00F63500" w:rsidRDefault="00F63500" w:rsidP="00F63500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Signed   </w:t>
      </w:r>
      <w:r w:rsidR="001950A7" w:rsidRPr="00E75820">
        <w:rPr>
          <w:rFonts w:ascii="Lucida Handwriting" w:hAnsi="Lucida Handwriting" w:cs="Arial"/>
          <w:noProof/>
        </w:rPr>
        <w:t>M. Canavan</w:t>
      </w:r>
      <w:r w:rsidR="001950A7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 </w:t>
      </w:r>
      <w:r w:rsidR="00E53241">
        <w:rPr>
          <w:rFonts w:ascii="Book Antiqua" w:hAnsi="Book Antiqua" w:cs="Arial"/>
        </w:rPr>
        <w:t xml:space="preserve">  </w:t>
      </w:r>
      <w:r w:rsidR="00FC5325">
        <w:rPr>
          <w:rFonts w:ascii="Book Antiqua" w:hAnsi="Book Antiqua" w:cs="Arial"/>
        </w:rPr>
        <w:t>19</w:t>
      </w:r>
      <w:r w:rsidR="00AA43BB">
        <w:rPr>
          <w:rFonts w:ascii="Book Antiqua" w:hAnsi="Book Antiqua" w:cs="Arial"/>
        </w:rPr>
        <w:t xml:space="preserve"> June 2020</w:t>
      </w:r>
    </w:p>
    <w:p w14:paraId="761E0C13" w14:textId="7520A167" w:rsidR="008D1C1F" w:rsidRDefault="00F63500" w:rsidP="00F63500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 Judge Canavan</w:t>
      </w:r>
      <w:bookmarkStart w:id="0" w:name="_GoBack"/>
      <w:bookmarkEnd w:id="0"/>
    </w:p>
    <w:sectPr w:rsidR="008D1C1F" w:rsidSect="00245AD4">
      <w:headerReference w:type="default" r:id="rId9"/>
      <w:footerReference w:type="default" r:id="rId10"/>
      <w:footerReference w:type="first" r:id="rId11"/>
      <w:pgSz w:w="11906" w:h="16838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EA1B" w14:textId="77777777" w:rsidR="00250736" w:rsidRDefault="00250736" w:rsidP="00F63500">
      <w:r>
        <w:separator/>
      </w:r>
    </w:p>
  </w:endnote>
  <w:endnote w:type="continuationSeparator" w:id="0">
    <w:p w14:paraId="454E9081" w14:textId="77777777" w:rsidR="00250736" w:rsidRDefault="00250736" w:rsidP="00F6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DEABF" w14:textId="41A4A03D" w:rsidR="00F75541" w:rsidRPr="00493664" w:rsidRDefault="00F63500" w:rsidP="00614E94">
    <w:pPr>
      <w:pStyle w:val="Footer"/>
      <w:jc w:val="center"/>
      <w:rPr>
        <w:rFonts w:ascii="Book Antiqua" w:hAnsi="Book Antiqua" w:cs="Arial"/>
      </w:rPr>
    </w:pPr>
    <w:r w:rsidRPr="00493664">
      <w:rPr>
        <w:rStyle w:val="PageNumber"/>
        <w:rFonts w:ascii="Book Antiqua" w:hAnsi="Book Antiqua" w:cs="Arial"/>
      </w:rPr>
      <w:fldChar w:fldCharType="begin"/>
    </w:r>
    <w:r w:rsidRPr="00493664">
      <w:rPr>
        <w:rStyle w:val="PageNumber"/>
        <w:rFonts w:ascii="Book Antiqua" w:hAnsi="Book Antiqua" w:cs="Arial"/>
      </w:rPr>
      <w:instrText xml:space="preserve"> PAGE </w:instrText>
    </w:r>
    <w:r w:rsidRPr="00493664">
      <w:rPr>
        <w:rStyle w:val="PageNumber"/>
        <w:rFonts w:ascii="Book Antiqua" w:hAnsi="Book Antiqua" w:cs="Arial"/>
      </w:rPr>
      <w:fldChar w:fldCharType="separate"/>
    </w:r>
    <w:r w:rsidR="00AE6297">
      <w:rPr>
        <w:rStyle w:val="PageNumber"/>
        <w:rFonts w:ascii="Book Antiqua" w:hAnsi="Book Antiqua" w:cs="Arial"/>
        <w:noProof/>
      </w:rPr>
      <w:t>2</w:t>
    </w:r>
    <w:r w:rsidRPr="00493664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C2090" w14:textId="77777777" w:rsidR="00F75541" w:rsidRPr="00245AD4" w:rsidRDefault="00F63500" w:rsidP="00614E94">
    <w:pPr>
      <w:jc w:val="center"/>
      <w:rPr>
        <w:rFonts w:ascii="Book Antiqua" w:hAnsi="Book Antiqua" w:cs="Arial"/>
        <w:b/>
      </w:rPr>
    </w:pPr>
    <w:r w:rsidRPr="00245AD4">
      <w:rPr>
        <w:rFonts w:ascii="Book Antiqua" w:hAnsi="Book Antiqua" w:cs="Arial"/>
        <w:b/>
        <w:spacing w:val="-6"/>
      </w:rPr>
      <w:t>©</w:t>
    </w:r>
    <w:r w:rsidRPr="00245AD4">
      <w:rPr>
        <w:rFonts w:ascii="Book Antiqua" w:hAnsi="Book Antiqua" w:cs="Arial"/>
        <w:b/>
      </w:rPr>
      <w:t xml:space="preserve"> CROWN COPYRIGHT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EDF4C" w14:textId="77777777" w:rsidR="00250736" w:rsidRDefault="00250736" w:rsidP="00F63500">
      <w:r>
        <w:separator/>
      </w:r>
    </w:p>
  </w:footnote>
  <w:footnote w:type="continuationSeparator" w:id="0">
    <w:p w14:paraId="18B6AABC" w14:textId="77777777" w:rsidR="00250736" w:rsidRDefault="00250736" w:rsidP="00F6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5CDA0" w14:textId="4FA20F45" w:rsidR="00CF2453" w:rsidRPr="00245AD4" w:rsidRDefault="00862FB2" w:rsidP="00CF2453">
    <w:pPr>
      <w:tabs>
        <w:tab w:val="right" w:pos="9720"/>
      </w:tabs>
      <w:ind w:right="-82"/>
      <w:jc w:val="right"/>
      <w:rPr>
        <w:rFonts w:ascii="Book Antiqua" w:hAnsi="Book Antiqua" w:cs="Arial"/>
        <w:color w:val="000000"/>
        <w:sz w:val="16"/>
        <w:szCs w:val="16"/>
      </w:rPr>
    </w:pPr>
    <w:r w:rsidRPr="00245AD4">
      <w:rPr>
        <w:rFonts w:ascii="Book Antiqua" w:hAnsi="Book Antiqua" w:cs="Arial"/>
        <w:color w:val="000000"/>
        <w:sz w:val="16"/>
        <w:szCs w:val="16"/>
      </w:rPr>
      <w:t>Appeal Number: PA/11442/2019</w:t>
    </w:r>
  </w:p>
  <w:p w14:paraId="4F3E4F10" w14:textId="77777777" w:rsidR="00F75541" w:rsidRPr="001C2435" w:rsidRDefault="00AE6297" w:rsidP="00614E94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D12"/>
    <w:multiLevelType w:val="hybridMultilevel"/>
    <w:tmpl w:val="C67AE69A"/>
    <w:lvl w:ilvl="0" w:tplc="F6F23D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A1363"/>
    <w:multiLevelType w:val="hybridMultilevel"/>
    <w:tmpl w:val="A9C21224"/>
    <w:lvl w:ilvl="0" w:tplc="5064864C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78A82778"/>
    <w:multiLevelType w:val="hybridMultilevel"/>
    <w:tmpl w:val="F26840B8"/>
    <w:lvl w:ilvl="0" w:tplc="E53EFE2E">
      <w:start w:val="1"/>
      <w:numFmt w:val="lowerRoman"/>
      <w:lvlText w:val="(%1)"/>
      <w:lvlJc w:val="left"/>
      <w:pPr>
        <w:ind w:left="1440" w:hanging="8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00"/>
    <w:rsid w:val="00026319"/>
    <w:rsid w:val="000546A5"/>
    <w:rsid w:val="00062775"/>
    <w:rsid w:val="000759BE"/>
    <w:rsid w:val="000A7C2F"/>
    <w:rsid w:val="000B0BFB"/>
    <w:rsid w:val="000E2AF0"/>
    <w:rsid w:val="001950A7"/>
    <w:rsid w:val="001A5B2E"/>
    <w:rsid w:val="001E4273"/>
    <w:rsid w:val="00202653"/>
    <w:rsid w:val="00223C56"/>
    <w:rsid w:val="00245AD4"/>
    <w:rsid w:val="00250736"/>
    <w:rsid w:val="002B45F5"/>
    <w:rsid w:val="002D7D77"/>
    <w:rsid w:val="002E15C7"/>
    <w:rsid w:val="003712FB"/>
    <w:rsid w:val="00385F9A"/>
    <w:rsid w:val="004755FC"/>
    <w:rsid w:val="00493664"/>
    <w:rsid w:val="00496609"/>
    <w:rsid w:val="004A315D"/>
    <w:rsid w:val="004B1A14"/>
    <w:rsid w:val="00507EC8"/>
    <w:rsid w:val="00536732"/>
    <w:rsid w:val="005F5826"/>
    <w:rsid w:val="00651662"/>
    <w:rsid w:val="006610FF"/>
    <w:rsid w:val="006D618F"/>
    <w:rsid w:val="006E7031"/>
    <w:rsid w:val="007C1B97"/>
    <w:rsid w:val="007D37C0"/>
    <w:rsid w:val="007E17DC"/>
    <w:rsid w:val="00827C89"/>
    <w:rsid w:val="0083637E"/>
    <w:rsid w:val="00837D36"/>
    <w:rsid w:val="00840CA0"/>
    <w:rsid w:val="00862FB2"/>
    <w:rsid w:val="008D1C1F"/>
    <w:rsid w:val="008F4C2B"/>
    <w:rsid w:val="00914CAD"/>
    <w:rsid w:val="00A04A5C"/>
    <w:rsid w:val="00A4348B"/>
    <w:rsid w:val="00A9661C"/>
    <w:rsid w:val="00AA43BB"/>
    <w:rsid w:val="00AC39F1"/>
    <w:rsid w:val="00AE6297"/>
    <w:rsid w:val="00B07602"/>
    <w:rsid w:val="00B43F8D"/>
    <w:rsid w:val="00BE603C"/>
    <w:rsid w:val="00CD636F"/>
    <w:rsid w:val="00CF3249"/>
    <w:rsid w:val="00D00988"/>
    <w:rsid w:val="00D33AE3"/>
    <w:rsid w:val="00D6343E"/>
    <w:rsid w:val="00D86502"/>
    <w:rsid w:val="00D87ABF"/>
    <w:rsid w:val="00DA274A"/>
    <w:rsid w:val="00E53241"/>
    <w:rsid w:val="00E55088"/>
    <w:rsid w:val="00E604E1"/>
    <w:rsid w:val="00E65991"/>
    <w:rsid w:val="00E92EE6"/>
    <w:rsid w:val="00EF5BE0"/>
    <w:rsid w:val="00F013CA"/>
    <w:rsid w:val="00F32E13"/>
    <w:rsid w:val="00F63500"/>
    <w:rsid w:val="00FC0871"/>
    <w:rsid w:val="00F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ED12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635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6350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F6350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63500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F63500"/>
  </w:style>
  <w:style w:type="paragraph" w:styleId="ListParagraph">
    <w:name w:val="List Paragraph"/>
    <w:basedOn w:val="Normal"/>
    <w:uiPriority w:val="34"/>
    <w:qFormat/>
    <w:rsid w:val="00385F9A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7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32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2020-07-14T23:23:00Z</dcterms:created>
  <dcterms:modified xsi:type="dcterms:W3CDTF">2020-07-14T23:23:00Z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