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6C1E5F" w:rsidP="00B74B3C">
      <w:pPr>
        <w:jc w:val="center"/>
        <w:rPr>
          <w:rFonts w:ascii="Book Antiqua" w:hAnsi="Book Antiqua" w:cs="Arial"/>
          <w:color w:val="000000"/>
        </w:rPr>
      </w:pPr>
      <w:r w:rsidRPr="00E44430">
        <w:rPr>
          <w:noProof/>
        </w:rPr>
        <w:drawing>
          <wp:inline distT="0" distB="0" distL="0" distR="0">
            <wp:extent cx="1400400" cy="1076400"/>
            <wp:effectExtent l="0" t="0" r="952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00400" cy="1076400"/>
                    </a:xfrm>
                    <a:prstGeom prst="rect">
                      <a:avLst/>
                    </a:prstGeom>
                    <a:noFill/>
                    <a:ln>
                      <a:noFill/>
                    </a:ln>
                  </pic:spPr>
                </pic:pic>
              </a:graphicData>
            </a:graphic>
          </wp:inline>
        </w:drawing>
      </w:r>
    </w:p>
    <w:p w:rsidR="0004519B" w:rsidRPr="00B74B3C" w:rsidRDefault="0004519B" w:rsidP="0004519B">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rsidR="0004519B" w:rsidRPr="00440EE7" w:rsidRDefault="0004519B" w:rsidP="0004519B">
      <w:pPr>
        <w:tabs>
          <w:tab w:val="right" w:pos="9720"/>
        </w:tabs>
        <w:spacing w:line="360" w:lineRule="auto"/>
        <w:ind w:right="-82"/>
        <w:rPr>
          <w:rFonts w:ascii="Arial" w:hAnsi="Arial" w:cs="Arial"/>
          <w:b/>
          <w:color w:val="000000"/>
        </w:rPr>
      </w:pPr>
      <w:r w:rsidRPr="00B74B3C">
        <w:rPr>
          <w:rFonts w:ascii="Arial" w:hAnsi="Arial" w:cs="Arial"/>
          <w:b/>
          <w:color w:val="000000"/>
        </w:rPr>
        <w:t xml:space="preserve">(Immigration and Asylum </w:t>
      </w:r>
      <w:proofErr w:type="gramStart"/>
      <w:r w:rsidRPr="00B74B3C">
        <w:rPr>
          <w:rFonts w:ascii="Arial" w:hAnsi="Arial" w:cs="Arial"/>
          <w:b/>
          <w:color w:val="000000"/>
        </w:rPr>
        <w:t>Chamber)</w:t>
      </w:r>
      <w:r>
        <w:rPr>
          <w:rFonts w:ascii="Arial" w:hAnsi="Arial" w:cs="Arial"/>
          <w:b/>
          <w:color w:val="000000"/>
        </w:rPr>
        <w:t xml:space="preserve">   </w:t>
      </w:r>
      <w:proofErr w:type="gramEnd"/>
      <w:r>
        <w:rPr>
          <w:rFonts w:ascii="Arial" w:hAnsi="Arial" w:cs="Arial"/>
          <w:b/>
          <w:color w:val="000000"/>
        </w:rPr>
        <w:t xml:space="preserve">               </w:t>
      </w:r>
      <w:r w:rsidRPr="00440EE7">
        <w:rPr>
          <w:rFonts w:ascii="Arial" w:hAnsi="Arial" w:cs="Arial"/>
          <w:b/>
          <w:color w:val="000000"/>
        </w:rPr>
        <w:t xml:space="preserve">Appeal Number: </w:t>
      </w:r>
      <w:r>
        <w:rPr>
          <w:rFonts w:ascii="Arial" w:hAnsi="Arial" w:cs="Arial"/>
          <w:b/>
          <w:color w:val="000000"/>
        </w:rPr>
        <w:t>PA/11534/2016</w:t>
      </w:r>
    </w:p>
    <w:p w:rsidR="0004519B" w:rsidRPr="00B74B3C" w:rsidRDefault="0004519B" w:rsidP="0004519B">
      <w:pPr>
        <w:spacing w:line="360" w:lineRule="auto"/>
        <w:jc w:val="center"/>
        <w:rPr>
          <w:rFonts w:ascii="Arial" w:hAnsi="Arial" w:cs="Arial"/>
          <w:color w:val="000000"/>
        </w:rPr>
      </w:pPr>
    </w:p>
    <w:p w:rsidR="0004519B" w:rsidRPr="00B74B3C" w:rsidRDefault="0004519B" w:rsidP="0004519B">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rsidR="0004519B" w:rsidRPr="00B74B3C" w:rsidRDefault="0004519B" w:rsidP="0004519B">
      <w:pPr>
        <w:spacing w:line="360" w:lineRule="auto"/>
        <w:jc w:val="center"/>
        <w:rPr>
          <w:rFonts w:ascii="Arial" w:hAnsi="Arial" w:cs="Arial"/>
          <w:b/>
          <w:u w:val="single"/>
        </w:rPr>
      </w:pPr>
    </w:p>
    <w:tbl>
      <w:tblPr>
        <w:tblW w:w="9464" w:type="dxa"/>
        <w:tblLook w:val="01E0" w:firstRow="1" w:lastRow="1" w:firstColumn="1" w:lastColumn="1" w:noHBand="0" w:noVBand="0"/>
      </w:tblPr>
      <w:tblGrid>
        <w:gridCol w:w="5211"/>
        <w:gridCol w:w="4253"/>
      </w:tblGrid>
      <w:tr w:rsidR="0004519B" w:rsidRPr="00B74B3C" w:rsidTr="006C1E5F">
        <w:tc>
          <w:tcPr>
            <w:tcW w:w="5211" w:type="dxa"/>
          </w:tcPr>
          <w:p w:rsidR="0004519B" w:rsidRPr="00AA21C7" w:rsidRDefault="0004519B" w:rsidP="004E5F20">
            <w:pPr>
              <w:spacing w:line="360" w:lineRule="auto"/>
              <w:jc w:val="both"/>
              <w:rPr>
                <w:rFonts w:ascii="Arial" w:hAnsi="Arial" w:cs="Arial"/>
                <w:b/>
              </w:rPr>
            </w:pPr>
            <w:r w:rsidRPr="00AA21C7">
              <w:rPr>
                <w:rFonts w:ascii="Arial" w:hAnsi="Arial" w:cs="Arial"/>
                <w:b/>
              </w:rPr>
              <w:t xml:space="preserve">Heard at Manchester Civil Justice Centre  </w:t>
            </w:r>
          </w:p>
        </w:tc>
        <w:tc>
          <w:tcPr>
            <w:tcW w:w="4253" w:type="dxa"/>
          </w:tcPr>
          <w:p w:rsidR="0004519B" w:rsidRPr="00B74B3C" w:rsidRDefault="0004519B" w:rsidP="004E5F20">
            <w:pPr>
              <w:spacing w:line="360" w:lineRule="auto"/>
              <w:jc w:val="both"/>
              <w:rPr>
                <w:rFonts w:ascii="Arial" w:hAnsi="Arial" w:cs="Arial"/>
                <w:b/>
                <w:color w:val="000000"/>
              </w:rPr>
            </w:pPr>
            <w:r>
              <w:rPr>
                <w:rFonts w:ascii="Arial" w:hAnsi="Arial" w:cs="Arial"/>
                <w:b/>
                <w:color w:val="000000"/>
              </w:rPr>
              <w:t>Decision</w:t>
            </w:r>
            <w:r w:rsidR="006C1E5F">
              <w:rPr>
                <w:rFonts w:ascii="Arial" w:hAnsi="Arial" w:cs="Arial"/>
                <w:b/>
                <w:color w:val="000000"/>
              </w:rPr>
              <w:t xml:space="preserve"> &amp; Reasons</w:t>
            </w:r>
            <w:r w:rsidRPr="00B74B3C">
              <w:rPr>
                <w:rFonts w:ascii="Arial" w:hAnsi="Arial" w:cs="Arial"/>
                <w:b/>
                <w:color w:val="000000"/>
              </w:rPr>
              <w:t xml:space="preserve"> Promulgated</w:t>
            </w:r>
          </w:p>
        </w:tc>
      </w:tr>
      <w:tr w:rsidR="0004519B" w:rsidRPr="00B74B3C" w:rsidTr="006C1E5F">
        <w:tc>
          <w:tcPr>
            <w:tcW w:w="5211" w:type="dxa"/>
          </w:tcPr>
          <w:p w:rsidR="0004519B" w:rsidRPr="00AA21C7" w:rsidRDefault="0004519B" w:rsidP="004E5F20">
            <w:pPr>
              <w:spacing w:line="360" w:lineRule="auto"/>
              <w:jc w:val="both"/>
              <w:rPr>
                <w:rFonts w:ascii="Arial" w:hAnsi="Arial" w:cs="Arial"/>
                <w:b/>
              </w:rPr>
            </w:pPr>
            <w:r w:rsidRPr="00AA21C7">
              <w:rPr>
                <w:rFonts w:ascii="Arial" w:hAnsi="Arial" w:cs="Arial"/>
                <w:b/>
              </w:rPr>
              <w:t xml:space="preserve">On 3 May 2018  </w:t>
            </w:r>
          </w:p>
        </w:tc>
        <w:tc>
          <w:tcPr>
            <w:tcW w:w="4253" w:type="dxa"/>
          </w:tcPr>
          <w:p w:rsidR="0004519B" w:rsidRPr="00B74B3C" w:rsidRDefault="006C1E5F" w:rsidP="004E5F20">
            <w:pPr>
              <w:spacing w:line="360" w:lineRule="auto"/>
              <w:jc w:val="both"/>
              <w:rPr>
                <w:rFonts w:ascii="Arial" w:hAnsi="Arial" w:cs="Arial"/>
                <w:b/>
              </w:rPr>
            </w:pPr>
            <w:r>
              <w:rPr>
                <w:rFonts w:ascii="Arial" w:hAnsi="Arial" w:cs="Arial"/>
                <w:b/>
              </w:rPr>
              <w:t>On 14 June 2018</w:t>
            </w:r>
          </w:p>
        </w:tc>
      </w:tr>
      <w:tr w:rsidR="0004519B" w:rsidRPr="00B74B3C" w:rsidTr="006C1E5F">
        <w:tc>
          <w:tcPr>
            <w:tcW w:w="5211" w:type="dxa"/>
          </w:tcPr>
          <w:p w:rsidR="0004519B" w:rsidRPr="00B74B3C" w:rsidRDefault="0004519B" w:rsidP="004E5F20">
            <w:pPr>
              <w:spacing w:line="360" w:lineRule="auto"/>
              <w:jc w:val="both"/>
              <w:rPr>
                <w:rFonts w:ascii="Arial" w:hAnsi="Arial" w:cs="Arial"/>
                <w:b/>
              </w:rPr>
            </w:pPr>
          </w:p>
        </w:tc>
        <w:tc>
          <w:tcPr>
            <w:tcW w:w="4253" w:type="dxa"/>
          </w:tcPr>
          <w:p w:rsidR="0004519B" w:rsidRPr="00B74B3C" w:rsidRDefault="0004519B" w:rsidP="004E5F20">
            <w:pPr>
              <w:spacing w:line="360" w:lineRule="auto"/>
              <w:jc w:val="both"/>
              <w:rPr>
                <w:rFonts w:ascii="Arial" w:hAnsi="Arial" w:cs="Arial"/>
                <w:b/>
              </w:rPr>
            </w:pPr>
          </w:p>
        </w:tc>
      </w:tr>
    </w:tbl>
    <w:p w:rsidR="0004519B" w:rsidRPr="00B74B3C" w:rsidRDefault="0004519B" w:rsidP="0004519B">
      <w:pPr>
        <w:spacing w:line="360" w:lineRule="auto"/>
        <w:jc w:val="center"/>
        <w:outlineLvl w:val="0"/>
        <w:rPr>
          <w:rFonts w:ascii="Arial" w:hAnsi="Arial" w:cs="Arial"/>
          <w:b/>
        </w:rPr>
      </w:pPr>
      <w:r w:rsidRPr="00B74B3C">
        <w:rPr>
          <w:rFonts w:ascii="Arial" w:hAnsi="Arial" w:cs="Arial"/>
          <w:b/>
        </w:rPr>
        <w:t>Before</w:t>
      </w:r>
    </w:p>
    <w:p w:rsidR="0004519B" w:rsidRDefault="0004519B" w:rsidP="0004519B">
      <w:pPr>
        <w:spacing w:line="360" w:lineRule="auto"/>
        <w:jc w:val="center"/>
        <w:outlineLvl w:val="0"/>
        <w:rPr>
          <w:rFonts w:ascii="Arial" w:hAnsi="Arial" w:cs="Arial"/>
          <w:b/>
          <w:color w:val="000000"/>
        </w:rPr>
      </w:pPr>
    </w:p>
    <w:p w:rsidR="0004519B" w:rsidRPr="00B74B3C" w:rsidRDefault="0004519B" w:rsidP="0004519B">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rsidR="00E74CF9" w:rsidRDefault="00E74CF9" w:rsidP="0004519B">
      <w:pPr>
        <w:spacing w:line="360" w:lineRule="auto"/>
        <w:jc w:val="center"/>
        <w:outlineLvl w:val="0"/>
        <w:rPr>
          <w:rFonts w:ascii="Arial" w:hAnsi="Arial" w:cs="Arial"/>
          <w:b/>
        </w:rPr>
      </w:pPr>
    </w:p>
    <w:p w:rsidR="0004519B" w:rsidRPr="00B74B3C" w:rsidRDefault="0004519B" w:rsidP="0004519B">
      <w:pPr>
        <w:spacing w:line="360" w:lineRule="auto"/>
        <w:jc w:val="center"/>
        <w:outlineLvl w:val="0"/>
        <w:rPr>
          <w:rFonts w:ascii="Arial" w:hAnsi="Arial" w:cs="Arial"/>
          <w:b/>
        </w:rPr>
      </w:pPr>
      <w:r w:rsidRPr="00B74B3C">
        <w:rPr>
          <w:rFonts w:ascii="Arial" w:hAnsi="Arial" w:cs="Arial"/>
          <w:b/>
        </w:rPr>
        <w:t>Between</w:t>
      </w:r>
    </w:p>
    <w:p w:rsidR="00E74CF9" w:rsidRDefault="00E74CF9" w:rsidP="0004519B">
      <w:pPr>
        <w:spacing w:line="360" w:lineRule="auto"/>
        <w:jc w:val="center"/>
        <w:rPr>
          <w:rFonts w:ascii="Arial" w:hAnsi="Arial" w:cs="Arial"/>
          <w:b/>
        </w:rPr>
      </w:pPr>
    </w:p>
    <w:p w:rsidR="0004519B" w:rsidRPr="00AA21C7" w:rsidRDefault="0004519B" w:rsidP="0004519B">
      <w:pPr>
        <w:spacing w:line="360" w:lineRule="auto"/>
        <w:jc w:val="center"/>
        <w:rPr>
          <w:rFonts w:ascii="Arial" w:hAnsi="Arial" w:cs="Arial"/>
          <w:b/>
          <w:color w:val="000000"/>
        </w:rPr>
      </w:pPr>
      <w:r w:rsidRPr="00AA21C7">
        <w:rPr>
          <w:rFonts w:ascii="Arial" w:hAnsi="Arial" w:cs="Arial"/>
          <w:b/>
        </w:rPr>
        <w:t>A M A</w:t>
      </w:r>
    </w:p>
    <w:p w:rsidR="0004519B" w:rsidRPr="00E74CF9" w:rsidRDefault="0004519B" w:rsidP="0004519B">
      <w:pPr>
        <w:spacing w:line="360" w:lineRule="auto"/>
        <w:jc w:val="center"/>
        <w:rPr>
          <w:rFonts w:ascii="Arial" w:hAnsi="Arial" w:cs="Arial"/>
          <w:color w:val="000000"/>
        </w:rPr>
      </w:pPr>
      <w:r w:rsidRPr="00E74CF9">
        <w:rPr>
          <w:rFonts w:ascii="Arial" w:hAnsi="Arial" w:cs="Arial"/>
          <w:color w:val="000000"/>
        </w:rPr>
        <w:t>(ANONYMITY DIRECTION MADE)</w:t>
      </w:r>
    </w:p>
    <w:p w:rsidR="0004519B" w:rsidRPr="00B74B3C" w:rsidRDefault="0004519B" w:rsidP="0004519B">
      <w:pPr>
        <w:spacing w:line="360" w:lineRule="auto"/>
        <w:jc w:val="right"/>
        <w:outlineLvl w:val="0"/>
        <w:rPr>
          <w:rFonts w:ascii="Arial" w:hAnsi="Arial" w:cs="Arial"/>
          <w:u w:val="single"/>
        </w:rPr>
      </w:pPr>
      <w:r w:rsidRPr="00B74B3C">
        <w:rPr>
          <w:rFonts w:ascii="Arial" w:hAnsi="Arial" w:cs="Arial"/>
          <w:u w:val="single"/>
        </w:rPr>
        <w:t>Appellant</w:t>
      </w:r>
    </w:p>
    <w:p w:rsidR="0004519B" w:rsidRPr="00B74B3C" w:rsidRDefault="0004519B" w:rsidP="0004519B">
      <w:pPr>
        <w:spacing w:line="360" w:lineRule="auto"/>
        <w:jc w:val="center"/>
        <w:rPr>
          <w:rFonts w:ascii="Arial" w:hAnsi="Arial" w:cs="Arial"/>
          <w:b/>
        </w:rPr>
      </w:pPr>
      <w:r w:rsidRPr="00B74B3C">
        <w:rPr>
          <w:rFonts w:ascii="Arial" w:hAnsi="Arial" w:cs="Arial"/>
          <w:b/>
        </w:rPr>
        <w:t>and</w:t>
      </w:r>
    </w:p>
    <w:p w:rsidR="0004519B" w:rsidRPr="00B74B3C" w:rsidRDefault="0004519B" w:rsidP="0004519B">
      <w:pPr>
        <w:spacing w:line="360" w:lineRule="auto"/>
        <w:jc w:val="center"/>
        <w:rPr>
          <w:rFonts w:ascii="Arial" w:hAnsi="Arial" w:cs="Arial"/>
          <w:b/>
        </w:rPr>
      </w:pPr>
    </w:p>
    <w:p w:rsidR="0004519B" w:rsidRPr="00B74B3C" w:rsidRDefault="0004519B" w:rsidP="0004519B">
      <w:pPr>
        <w:spacing w:line="360" w:lineRule="auto"/>
        <w:jc w:val="center"/>
        <w:outlineLvl w:val="0"/>
        <w:rPr>
          <w:rFonts w:ascii="Arial" w:hAnsi="Arial" w:cs="Arial"/>
          <w:b/>
        </w:rPr>
      </w:pPr>
      <w:r w:rsidRPr="00B74B3C">
        <w:rPr>
          <w:rFonts w:ascii="Arial" w:hAnsi="Arial" w:cs="Arial"/>
          <w:b/>
        </w:rPr>
        <w:t>SECRETARY OF STATE FOR THE HOME DEPARTMENT</w:t>
      </w:r>
    </w:p>
    <w:p w:rsidR="0004519B" w:rsidRPr="00B74B3C" w:rsidRDefault="0004519B" w:rsidP="0004519B">
      <w:pPr>
        <w:spacing w:line="360" w:lineRule="auto"/>
        <w:jc w:val="right"/>
        <w:outlineLvl w:val="0"/>
        <w:rPr>
          <w:rFonts w:ascii="Arial" w:hAnsi="Arial" w:cs="Arial"/>
          <w:u w:val="single"/>
        </w:rPr>
      </w:pPr>
      <w:r w:rsidRPr="00B74B3C">
        <w:rPr>
          <w:rFonts w:ascii="Arial" w:hAnsi="Arial" w:cs="Arial"/>
          <w:u w:val="single"/>
        </w:rPr>
        <w:t>Respondent</w:t>
      </w:r>
    </w:p>
    <w:p w:rsidR="0004519B" w:rsidRPr="00B74B3C" w:rsidRDefault="0004519B" w:rsidP="0004519B">
      <w:pPr>
        <w:spacing w:line="360" w:lineRule="auto"/>
        <w:outlineLvl w:val="0"/>
        <w:rPr>
          <w:rFonts w:ascii="Arial" w:hAnsi="Arial" w:cs="Arial"/>
        </w:rPr>
      </w:pPr>
      <w:r w:rsidRPr="00B74B3C">
        <w:rPr>
          <w:rFonts w:ascii="Arial" w:hAnsi="Arial" w:cs="Arial"/>
          <w:b/>
          <w:u w:val="single"/>
        </w:rPr>
        <w:t>Representation</w:t>
      </w:r>
      <w:r w:rsidRPr="00B74B3C">
        <w:rPr>
          <w:rFonts w:ascii="Arial" w:hAnsi="Arial" w:cs="Arial"/>
          <w:b/>
        </w:rPr>
        <w:t>:</w:t>
      </w:r>
    </w:p>
    <w:p w:rsidR="00E74CF9" w:rsidRDefault="00E74CF9" w:rsidP="0004519B">
      <w:pPr>
        <w:tabs>
          <w:tab w:val="left" w:pos="2520"/>
        </w:tabs>
        <w:spacing w:line="360" w:lineRule="auto"/>
        <w:outlineLvl w:val="0"/>
        <w:rPr>
          <w:rFonts w:ascii="Arial" w:hAnsi="Arial" w:cs="Arial"/>
        </w:rPr>
      </w:pPr>
    </w:p>
    <w:p w:rsidR="0004519B" w:rsidRPr="00B74B3C" w:rsidRDefault="0004519B" w:rsidP="0004519B">
      <w:pPr>
        <w:tabs>
          <w:tab w:val="left" w:pos="2520"/>
        </w:tabs>
        <w:spacing w:line="360" w:lineRule="auto"/>
        <w:outlineLvl w:val="0"/>
        <w:rPr>
          <w:rFonts w:ascii="Arial" w:hAnsi="Arial" w:cs="Arial"/>
        </w:rPr>
      </w:pPr>
      <w:r w:rsidRPr="00B74B3C">
        <w:rPr>
          <w:rFonts w:ascii="Arial" w:hAnsi="Arial" w:cs="Arial"/>
        </w:rPr>
        <w:t>For the Appellant:</w:t>
      </w:r>
      <w:r>
        <w:rPr>
          <w:rFonts w:ascii="Arial" w:hAnsi="Arial" w:cs="Arial"/>
        </w:rPr>
        <w:t xml:space="preserve"> </w:t>
      </w:r>
      <w:r w:rsidR="00E74CF9">
        <w:rPr>
          <w:rFonts w:ascii="Arial" w:hAnsi="Arial" w:cs="Arial"/>
        </w:rPr>
        <w:t xml:space="preserve">        </w:t>
      </w:r>
      <w:r w:rsidR="00FE14EE">
        <w:rPr>
          <w:rFonts w:ascii="Arial" w:hAnsi="Arial" w:cs="Arial"/>
        </w:rPr>
        <w:t>Mr Brown instructed by Bolton Citizens Advice Bureau</w:t>
      </w:r>
      <w:r w:rsidRPr="00B74B3C">
        <w:rPr>
          <w:rFonts w:ascii="Arial" w:hAnsi="Arial" w:cs="Arial"/>
        </w:rPr>
        <w:tab/>
      </w:r>
    </w:p>
    <w:p w:rsidR="0004519B" w:rsidRDefault="0004519B" w:rsidP="0004519B">
      <w:pPr>
        <w:tabs>
          <w:tab w:val="left" w:pos="2520"/>
        </w:tabs>
        <w:spacing w:line="360" w:lineRule="auto"/>
        <w:rPr>
          <w:rFonts w:ascii="Arial" w:hAnsi="Arial" w:cs="Arial"/>
        </w:rPr>
      </w:pPr>
      <w:r w:rsidRPr="00B74B3C">
        <w:rPr>
          <w:rFonts w:ascii="Arial" w:hAnsi="Arial" w:cs="Arial"/>
        </w:rPr>
        <w:t>For the Respondent:</w:t>
      </w:r>
      <w:r>
        <w:rPr>
          <w:rFonts w:ascii="Arial" w:hAnsi="Arial" w:cs="Arial"/>
        </w:rPr>
        <w:t xml:space="preserve"> </w:t>
      </w:r>
      <w:r w:rsidR="00E74CF9">
        <w:rPr>
          <w:rFonts w:ascii="Arial" w:hAnsi="Arial" w:cs="Arial"/>
        </w:rPr>
        <w:t xml:space="preserve">    </w:t>
      </w:r>
      <w:r w:rsidR="00FE14EE">
        <w:rPr>
          <w:rFonts w:ascii="Arial" w:hAnsi="Arial" w:cs="Arial"/>
        </w:rPr>
        <w:t xml:space="preserve">Mr </w:t>
      </w:r>
      <w:proofErr w:type="spellStart"/>
      <w:r w:rsidR="00FE14EE">
        <w:rPr>
          <w:rFonts w:ascii="Arial" w:hAnsi="Arial" w:cs="Arial"/>
        </w:rPr>
        <w:t>Diwnycz</w:t>
      </w:r>
      <w:proofErr w:type="spellEnd"/>
      <w:r w:rsidR="00FE14EE">
        <w:rPr>
          <w:rFonts w:ascii="Arial" w:hAnsi="Arial" w:cs="Arial"/>
        </w:rPr>
        <w:t xml:space="preserve"> </w:t>
      </w:r>
      <w:r w:rsidR="00FE14EE" w:rsidRPr="00FE14EE">
        <w:rPr>
          <w:rFonts w:ascii="Arial" w:hAnsi="Arial" w:cs="Arial"/>
        </w:rPr>
        <w:t>Senior Home Office Presenting Officer</w:t>
      </w:r>
    </w:p>
    <w:p w:rsidR="0004519B" w:rsidRDefault="0004519B" w:rsidP="00E74CF9">
      <w:pPr>
        <w:spacing w:before="240" w:line="360" w:lineRule="auto"/>
        <w:jc w:val="center"/>
        <w:rPr>
          <w:rFonts w:ascii="Arial" w:hAnsi="Arial" w:cs="Arial"/>
          <w:b/>
          <w:u w:val="single"/>
        </w:rPr>
      </w:pPr>
      <w:r>
        <w:rPr>
          <w:rFonts w:ascii="Arial" w:hAnsi="Arial" w:cs="Arial"/>
          <w:b/>
          <w:u w:val="single"/>
        </w:rPr>
        <w:t>DECISION AND REASONS</w:t>
      </w:r>
    </w:p>
    <w:p w:rsidR="0004519B" w:rsidRPr="00AD1D26" w:rsidRDefault="0004519B" w:rsidP="0004519B">
      <w:pPr>
        <w:spacing w:before="240" w:line="360" w:lineRule="auto"/>
        <w:jc w:val="both"/>
        <w:rPr>
          <w:rFonts w:ascii="Arial" w:hAnsi="Arial" w:cs="Arial"/>
          <w:u w:val="single"/>
        </w:rPr>
      </w:pPr>
      <w:r w:rsidRPr="00AD1D26">
        <w:rPr>
          <w:rFonts w:ascii="Arial" w:hAnsi="Arial" w:cs="Arial"/>
          <w:u w:val="single"/>
        </w:rPr>
        <w:t>Introduction</w:t>
      </w:r>
    </w:p>
    <w:p w:rsidR="0004519B" w:rsidRDefault="0004519B" w:rsidP="0004519B">
      <w:pPr>
        <w:numPr>
          <w:ilvl w:val="0"/>
          <w:numId w:val="2"/>
        </w:numPr>
        <w:spacing w:line="360" w:lineRule="auto"/>
        <w:jc w:val="both"/>
        <w:rPr>
          <w:rFonts w:ascii="Arial" w:hAnsi="Arial" w:cs="Arial"/>
        </w:rPr>
      </w:pPr>
      <w:r>
        <w:rPr>
          <w:rFonts w:ascii="Arial" w:hAnsi="Arial" w:cs="Arial"/>
        </w:rPr>
        <w:t>An anonymity direction was made previously and shall continue.</w:t>
      </w:r>
    </w:p>
    <w:p w:rsidR="0004519B" w:rsidRDefault="0004519B" w:rsidP="0004519B">
      <w:pPr>
        <w:numPr>
          <w:ilvl w:val="0"/>
          <w:numId w:val="2"/>
        </w:numPr>
        <w:spacing w:line="360" w:lineRule="auto"/>
        <w:jc w:val="both"/>
        <w:rPr>
          <w:rFonts w:ascii="Arial" w:hAnsi="Arial" w:cs="Arial"/>
        </w:rPr>
      </w:pPr>
      <w:r>
        <w:rPr>
          <w:rFonts w:ascii="Arial" w:hAnsi="Arial" w:cs="Arial"/>
        </w:rPr>
        <w:t>T</w:t>
      </w:r>
      <w:r w:rsidRPr="00B234FF">
        <w:rPr>
          <w:rFonts w:ascii="Arial" w:hAnsi="Arial" w:cs="Arial"/>
        </w:rPr>
        <w:t>o avoid confusion the parties are referred to as they were in the First-tier Tribunal.</w:t>
      </w:r>
    </w:p>
    <w:p w:rsidR="0004519B" w:rsidRDefault="0004519B" w:rsidP="0004519B">
      <w:pPr>
        <w:numPr>
          <w:ilvl w:val="0"/>
          <w:numId w:val="2"/>
        </w:numPr>
        <w:spacing w:line="360" w:lineRule="auto"/>
        <w:jc w:val="both"/>
        <w:rPr>
          <w:rFonts w:ascii="Arial" w:hAnsi="Arial" w:cs="Arial"/>
        </w:rPr>
      </w:pPr>
      <w:r>
        <w:rPr>
          <w:rFonts w:ascii="Arial" w:hAnsi="Arial" w:cs="Arial"/>
        </w:rPr>
        <w:lastRenderedPageBreak/>
        <w:t xml:space="preserve">This is an appeal by both the Appellant and Respondent against the decision of First-tier Tribunal Judge Bannerman promulgated on 9 October 2017, which allowed the Appellant’s appeal against the refusal of a protection claim and human rights claim on human rights grounds </w:t>
      </w:r>
      <w:r w:rsidR="00FE14EE">
        <w:rPr>
          <w:rFonts w:ascii="Arial" w:hAnsi="Arial" w:cs="Arial"/>
        </w:rPr>
        <w:t>only.</w:t>
      </w:r>
    </w:p>
    <w:p w:rsidR="0004519B" w:rsidRPr="00AD1D26" w:rsidRDefault="0004519B" w:rsidP="0004519B">
      <w:pPr>
        <w:spacing w:line="360" w:lineRule="auto"/>
        <w:jc w:val="both"/>
        <w:rPr>
          <w:rFonts w:ascii="Arial" w:hAnsi="Arial" w:cs="Arial"/>
          <w:u w:val="single"/>
        </w:rPr>
      </w:pPr>
      <w:r w:rsidRPr="00AD1D26">
        <w:rPr>
          <w:rFonts w:ascii="Arial" w:hAnsi="Arial" w:cs="Arial"/>
          <w:u w:val="single"/>
        </w:rPr>
        <w:t>Background</w:t>
      </w:r>
    </w:p>
    <w:p w:rsidR="0004519B" w:rsidRDefault="0004519B" w:rsidP="0004519B">
      <w:pPr>
        <w:numPr>
          <w:ilvl w:val="0"/>
          <w:numId w:val="2"/>
        </w:numPr>
        <w:spacing w:line="360" w:lineRule="auto"/>
        <w:jc w:val="both"/>
        <w:rPr>
          <w:rFonts w:ascii="Arial" w:hAnsi="Arial" w:cs="Arial"/>
        </w:rPr>
      </w:pPr>
      <w:r>
        <w:rPr>
          <w:rFonts w:ascii="Arial" w:hAnsi="Arial" w:cs="Arial"/>
        </w:rPr>
        <w:t>The Appellant was born on 12 October 1992 and is a national of Iraq. The Appellant is married to N H a British National and they have a child born on 1 July 2017. The Appellant fears that her family do not approve of her marriage and would kill her if she returned.</w:t>
      </w:r>
    </w:p>
    <w:p w:rsidR="0004519B" w:rsidRPr="00CD4491" w:rsidRDefault="0004519B" w:rsidP="0004519B">
      <w:pPr>
        <w:numPr>
          <w:ilvl w:val="0"/>
          <w:numId w:val="2"/>
        </w:numPr>
        <w:spacing w:line="360" w:lineRule="auto"/>
        <w:jc w:val="both"/>
        <w:rPr>
          <w:rFonts w:ascii="Arial" w:hAnsi="Arial" w:cs="Arial"/>
        </w:rPr>
      </w:pPr>
      <w:r w:rsidRPr="00CD4491">
        <w:rPr>
          <w:rFonts w:ascii="Arial" w:hAnsi="Arial" w:cs="Arial"/>
        </w:rPr>
        <w:t xml:space="preserve">On </w:t>
      </w:r>
      <w:r>
        <w:rPr>
          <w:rFonts w:ascii="Arial" w:hAnsi="Arial" w:cs="Arial"/>
        </w:rPr>
        <w:t>2 December 2015</w:t>
      </w:r>
      <w:r w:rsidRPr="00CD4491">
        <w:rPr>
          <w:rFonts w:ascii="Arial" w:hAnsi="Arial" w:cs="Arial"/>
        </w:rPr>
        <w:t xml:space="preserve"> the Appellant applied for </w:t>
      </w:r>
      <w:r>
        <w:rPr>
          <w:rFonts w:ascii="Arial" w:hAnsi="Arial" w:cs="Arial"/>
        </w:rPr>
        <w:t>asylum also arguing that removal would be a breach of her human rights</w:t>
      </w:r>
      <w:r w:rsidR="00FE14EE">
        <w:rPr>
          <w:rFonts w:ascii="Arial" w:hAnsi="Arial" w:cs="Arial"/>
        </w:rPr>
        <w:t xml:space="preserve"> given her marriage to a UK citizen</w:t>
      </w:r>
      <w:r>
        <w:rPr>
          <w:rFonts w:ascii="Arial" w:hAnsi="Arial" w:cs="Arial"/>
        </w:rPr>
        <w:t>.</w:t>
      </w:r>
      <w:r w:rsidRPr="00CD4491">
        <w:rPr>
          <w:rFonts w:ascii="Arial" w:hAnsi="Arial" w:cs="Arial"/>
        </w:rPr>
        <w:t xml:space="preserve"> </w:t>
      </w:r>
    </w:p>
    <w:p w:rsidR="0004519B" w:rsidRDefault="0004519B" w:rsidP="0004519B">
      <w:pPr>
        <w:numPr>
          <w:ilvl w:val="0"/>
          <w:numId w:val="2"/>
        </w:numPr>
        <w:spacing w:line="360" w:lineRule="auto"/>
        <w:jc w:val="both"/>
        <w:rPr>
          <w:rFonts w:ascii="Arial" w:hAnsi="Arial" w:cs="Arial"/>
        </w:rPr>
      </w:pPr>
      <w:r>
        <w:rPr>
          <w:rFonts w:ascii="Arial" w:hAnsi="Arial" w:cs="Arial"/>
        </w:rPr>
        <w:t xml:space="preserve">On 11 August 2016 the Secretary of State refused the Appellant’s application. The refusal letter gave </w:t>
      </w:r>
      <w:proofErr w:type="gramStart"/>
      <w:r>
        <w:rPr>
          <w:rFonts w:ascii="Arial" w:hAnsi="Arial" w:cs="Arial"/>
        </w:rPr>
        <w:t>a number of</w:t>
      </w:r>
      <w:proofErr w:type="gramEnd"/>
      <w:r>
        <w:rPr>
          <w:rFonts w:ascii="Arial" w:hAnsi="Arial" w:cs="Arial"/>
        </w:rPr>
        <w:t xml:space="preserve"> reasons. It was not accepted that the Appellant was married to </w:t>
      </w:r>
      <w:r w:rsidR="00E11EC2">
        <w:rPr>
          <w:rFonts w:ascii="Arial" w:hAnsi="Arial" w:cs="Arial"/>
        </w:rPr>
        <w:t>N</w:t>
      </w:r>
      <w:r>
        <w:rPr>
          <w:rFonts w:ascii="Arial" w:hAnsi="Arial" w:cs="Arial"/>
        </w:rPr>
        <w:t xml:space="preserve"> H; even if it were accepted she was married there were inconsistencies in her account of how she came t</w:t>
      </w:r>
      <w:r w:rsidR="00FE14EE">
        <w:rPr>
          <w:rFonts w:ascii="Arial" w:hAnsi="Arial" w:cs="Arial"/>
        </w:rPr>
        <w:t>o</w:t>
      </w:r>
      <w:r>
        <w:rPr>
          <w:rFonts w:ascii="Arial" w:hAnsi="Arial" w:cs="Arial"/>
        </w:rPr>
        <w:t xml:space="preserve"> leave Iraq; the Appellant produced counterfeit ID documents. </w:t>
      </w:r>
    </w:p>
    <w:p w:rsidR="0004519B" w:rsidRDefault="0004519B" w:rsidP="0004519B">
      <w:pPr>
        <w:pStyle w:val="ListParagraph"/>
        <w:rPr>
          <w:rFonts w:ascii="Arial" w:hAnsi="Arial" w:cs="Arial"/>
        </w:rPr>
      </w:pPr>
    </w:p>
    <w:p w:rsidR="0004519B" w:rsidRPr="00F55A1F" w:rsidRDefault="0004519B" w:rsidP="0004519B">
      <w:pPr>
        <w:spacing w:line="360" w:lineRule="auto"/>
        <w:jc w:val="both"/>
        <w:rPr>
          <w:rFonts w:ascii="Arial" w:hAnsi="Arial" w:cs="Arial"/>
          <w:u w:val="single"/>
        </w:rPr>
      </w:pPr>
      <w:r w:rsidRPr="00F55A1F">
        <w:rPr>
          <w:rFonts w:ascii="Arial" w:hAnsi="Arial" w:cs="Arial"/>
          <w:u w:val="single"/>
        </w:rPr>
        <w:t>The Judge’s Decision</w:t>
      </w:r>
    </w:p>
    <w:p w:rsidR="0004519B" w:rsidRPr="00EC6A8C" w:rsidRDefault="0004519B" w:rsidP="0004519B">
      <w:pPr>
        <w:numPr>
          <w:ilvl w:val="0"/>
          <w:numId w:val="2"/>
        </w:numPr>
        <w:spacing w:line="360" w:lineRule="auto"/>
        <w:jc w:val="both"/>
        <w:rPr>
          <w:rFonts w:ascii="Arial" w:hAnsi="Arial" w:cs="Arial"/>
          <w:color w:val="000000"/>
        </w:rPr>
      </w:pPr>
      <w:r w:rsidRPr="00A822BE">
        <w:rPr>
          <w:rFonts w:ascii="Arial" w:hAnsi="Arial" w:cs="Arial"/>
        </w:rPr>
        <w:t>The Appellant appealed to the First-tier Tribunal</w:t>
      </w:r>
      <w:r>
        <w:rPr>
          <w:rFonts w:ascii="Arial" w:hAnsi="Arial" w:cs="Arial"/>
        </w:rPr>
        <w:t>.</w:t>
      </w:r>
      <w:r w:rsidRPr="00A822BE">
        <w:rPr>
          <w:rFonts w:ascii="Arial" w:hAnsi="Arial" w:cs="Arial"/>
        </w:rPr>
        <w:t xml:space="preserve"> </w:t>
      </w:r>
      <w:r>
        <w:rPr>
          <w:rFonts w:ascii="Arial" w:hAnsi="Arial" w:cs="Arial"/>
        </w:rPr>
        <w:t>First-tier Tribunal</w:t>
      </w:r>
      <w:r w:rsidRPr="00A822BE">
        <w:rPr>
          <w:rFonts w:ascii="Arial" w:hAnsi="Arial" w:cs="Arial"/>
        </w:rPr>
        <w:t xml:space="preserve"> Judge </w:t>
      </w:r>
      <w:r>
        <w:rPr>
          <w:rFonts w:ascii="Arial" w:hAnsi="Arial" w:cs="Arial"/>
        </w:rPr>
        <w:t>Bannerman (</w:t>
      </w:r>
      <w:r w:rsidRPr="00A822BE">
        <w:rPr>
          <w:rFonts w:ascii="Arial" w:hAnsi="Arial" w:cs="Arial"/>
        </w:rPr>
        <w:t xml:space="preserve">“the Judge”) </w:t>
      </w:r>
      <w:r>
        <w:rPr>
          <w:rFonts w:ascii="Arial" w:hAnsi="Arial" w:cs="Arial"/>
        </w:rPr>
        <w:t xml:space="preserve">found that the Appellant and </w:t>
      </w:r>
      <w:r w:rsidR="00E11EC2">
        <w:rPr>
          <w:rFonts w:ascii="Arial" w:hAnsi="Arial" w:cs="Arial"/>
        </w:rPr>
        <w:t>N</w:t>
      </w:r>
      <w:r>
        <w:rPr>
          <w:rFonts w:ascii="Arial" w:hAnsi="Arial" w:cs="Arial"/>
        </w:rPr>
        <w:t xml:space="preserve"> H were not credible witnesses as to the events that caused the Appellant to leave Iraq; </w:t>
      </w:r>
      <w:proofErr w:type="gramStart"/>
      <w:r w:rsidR="00FE14EE">
        <w:rPr>
          <w:rFonts w:ascii="Arial" w:hAnsi="Arial" w:cs="Arial"/>
        </w:rPr>
        <w:t>however</w:t>
      </w:r>
      <w:proofErr w:type="gramEnd"/>
      <w:r w:rsidR="00FE14EE">
        <w:rPr>
          <w:rFonts w:ascii="Arial" w:hAnsi="Arial" w:cs="Arial"/>
        </w:rPr>
        <w:t xml:space="preserve"> </w:t>
      </w:r>
      <w:r>
        <w:rPr>
          <w:rFonts w:ascii="Arial" w:hAnsi="Arial" w:cs="Arial"/>
        </w:rPr>
        <w:t>there was now a child and ‘the interests of the child are of paramount consideration’ (paragraph 97); he found that the baby should not be required to return to the IKR with the Appellant and it would not be proportionate to stay in the UK with its father.</w:t>
      </w:r>
    </w:p>
    <w:p w:rsidR="0004519B" w:rsidRDefault="0004519B" w:rsidP="0004519B">
      <w:pPr>
        <w:numPr>
          <w:ilvl w:val="0"/>
          <w:numId w:val="2"/>
        </w:numPr>
        <w:spacing w:line="360" w:lineRule="auto"/>
        <w:jc w:val="both"/>
        <w:rPr>
          <w:rFonts w:ascii="Arial" w:hAnsi="Arial" w:cs="Arial"/>
          <w:color w:val="000000"/>
        </w:rPr>
      </w:pPr>
      <w:r>
        <w:rPr>
          <w:rFonts w:ascii="Arial" w:hAnsi="Arial" w:cs="Arial"/>
          <w:color w:val="000000"/>
        </w:rPr>
        <w:t xml:space="preserve">On 22 November 2017 First-tier Tribunal Judge </w:t>
      </w:r>
      <w:proofErr w:type="spellStart"/>
      <w:r>
        <w:rPr>
          <w:rFonts w:ascii="Arial" w:hAnsi="Arial" w:cs="Arial"/>
          <w:color w:val="000000"/>
        </w:rPr>
        <w:t>Saffer</w:t>
      </w:r>
      <w:proofErr w:type="spellEnd"/>
      <w:r>
        <w:rPr>
          <w:rFonts w:ascii="Arial" w:hAnsi="Arial" w:cs="Arial"/>
          <w:color w:val="000000"/>
        </w:rPr>
        <w:t xml:space="preserve"> granted permission to the Respondent to appeal the decision on the basis that it was arguable that his finding that the best interests of the child were a paramount consideration rather than primary consideration was an error that infected the whole of the consideration under s 117B 6.   </w:t>
      </w:r>
    </w:p>
    <w:p w:rsidR="0004519B" w:rsidRPr="00EC6A8C" w:rsidRDefault="0004519B" w:rsidP="0004519B">
      <w:pPr>
        <w:numPr>
          <w:ilvl w:val="0"/>
          <w:numId w:val="2"/>
        </w:numPr>
        <w:spacing w:line="360" w:lineRule="auto"/>
        <w:jc w:val="both"/>
        <w:rPr>
          <w:rFonts w:ascii="Arial" w:hAnsi="Arial" w:cs="Arial"/>
          <w:color w:val="000000"/>
        </w:rPr>
      </w:pPr>
      <w:r>
        <w:rPr>
          <w:rFonts w:ascii="Arial" w:hAnsi="Arial" w:cs="Arial"/>
          <w:color w:val="000000"/>
        </w:rPr>
        <w:t xml:space="preserve">On 1 May 2018 Upper Tribunal Judge Perkins gave permission to the Appellant to appeal that decision on the basis that it was arguable the reasons given for dismissing the decision on Article 15(c) and Article 3 grounds did not adequately reflect the country guidance and was inadequately reasoned. </w:t>
      </w:r>
    </w:p>
    <w:p w:rsidR="0004519B" w:rsidRPr="001906FC" w:rsidRDefault="0004519B" w:rsidP="0004519B">
      <w:pPr>
        <w:spacing w:line="360" w:lineRule="auto"/>
        <w:ind w:left="360"/>
        <w:jc w:val="both"/>
        <w:rPr>
          <w:rFonts w:ascii="Arial" w:hAnsi="Arial" w:cs="Arial"/>
          <w:color w:val="000000"/>
        </w:rPr>
      </w:pPr>
    </w:p>
    <w:p w:rsidR="0004519B" w:rsidRDefault="0004519B" w:rsidP="00FE14EE">
      <w:pPr>
        <w:numPr>
          <w:ilvl w:val="0"/>
          <w:numId w:val="2"/>
        </w:numPr>
        <w:spacing w:before="240" w:line="360" w:lineRule="auto"/>
        <w:jc w:val="both"/>
        <w:rPr>
          <w:rFonts w:ascii="Arial" w:hAnsi="Arial" w:cs="Arial"/>
        </w:rPr>
      </w:pPr>
      <w:r w:rsidRPr="00A75FBA">
        <w:rPr>
          <w:rFonts w:ascii="Arial" w:hAnsi="Arial" w:cs="Arial"/>
        </w:rPr>
        <w:lastRenderedPageBreak/>
        <w:t>At the hearing</w:t>
      </w:r>
      <w:r>
        <w:rPr>
          <w:rFonts w:ascii="Arial" w:hAnsi="Arial" w:cs="Arial"/>
        </w:rPr>
        <w:t xml:space="preserve"> </w:t>
      </w:r>
      <w:r w:rsidR="00FE14EE">
        <w:rPr>
          <w:rFonts w:ascii="Arial" w:hAnsi="Arial" w:cs="Arial"/>
        </w:rPr>
        <w:t>both parties relied on their arguments previously submitted and did not wish to make any further submissions.</w:t>
      </w:r>
    </w:p>
    <w:p w:rsidR="0004519B" w:rsidRPr="00C736F6" w:rsidRDefault="0004519B" w:rsidP="0004519B">
      <w:pPr>
        <w:spacing w:before="240" w:line="360" w:lineRule="auto"/>
        <w:jc w:val="both"/>
        <w:rPr>
          <w:rFonts w:ascii="Arial" w:hAnsi="Arial" w:cs="Arial"/>
          <w:b/>
        </w:rPr>
      </w:pPr>
      <w:r w:rsidRPr="00C736F6">
        <w:rPr>
          <w:rFonts w:ascii="Arial" w:hAnsi="Arial" w:cs="Arial"/>
          <w:b/>
        </w:rPr>
        <w:t>The Law</w:t>
      </w:r>
    </w:p>
    <w:p w:rsidR="0004519B" w:rsidRDefault="0004519B" w:rsidP="0004519B">
      <w:pPr>
        <w:numPr>
          <w:ilvl w:val="0"/>
          <w:numId w:val="2"/>
        </w:numPr>
        <w:spacing w:before="240" w:line="360" w:lineRule="auto"/>
        <w:jc w:val="both"/>
        <w:rPr>
          <w:rFonts w:ascii="Arial" w:hAnsi="Arial" w:cs="Arial"/>
        </w:rPr>
      </w:pPr>
      <w:r>
        <w:rPr>
          <w:rFonts w:ascii="Arial" w:hAnsi="Arial" w:cs="Arial"/>
        </w:rPr>
        <w:t xml:space="preserve">Errors of legislative interpretation, failure to follow binding authority or to distinguish it with adequate reasons, ignoring material considerations by </w:t>
      </w:r>
      <w:proofErr w:type="gramStart"/>
      <w:r>
        <w:rPr>
          <w:rFonts w:ascii="Arial" w:hAnsi="Arial" w:cs="Arial"/>
        </w:rPr>
        <w:t>taking into account</w:t>
      </w:r>
      <w:proofErr w:type="gramEnd"/>
      <w:r>
        <w:rPr>
          <w:rFonts w:ascii="Arial" w:hAnsi="Arial" w:cs="Arial"/>
        </w:rPr>
        <w:t xml:space="preserve"> immaterial considerations, reaching irrational conclusions on facts or evaluation or giving legally inadequate reasons for the decision and procedural unfairness, constitute errors of law. </w:t>
      </w:r>
    </w:p>
    <w:p w:rsidR="0004519B" w:rsidRDefault="0004519B" w:rsidP="00FE14EE">
      <w:pPr>
        <w:numPr>
          <w:ilvl w:val="0"/>
          <w:numId w:val="2"/>
        </w:numPr>
        <w:spacing w:before="240" w:line="360" w:lineRule="auto"/>
        <w:jc w:val="both"/>
        <w:rPr>
          <w:rFonts w:ascii="Arial" w:hAnsi="Arial" w:cs="Arial"/>
          <w:b/>
          <w:u w:val="single"/>
        </w:rPr>
      </w:pPr>
      <w:r w:rsidRPr="00DC358B">
        <w:rPr>
          <w:rFonts w:ascii="Arial" w:hAnsi="Arial" w:cs="Arial"/>
        </w:rPr>
        <w:t xml:space="preserve">It is not an arguable error of law for an Immigration Judge to give too little weight or too much weight to a factor, unless irrationality is alleged. Nor is it an error of law for an Immigration Judge to fail to deal with every factual issue under argument. Disagreement with an Immigrations Judge’s factual conclusions,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that was not before him. </w:t>
      </w:r>
    </w:p>
    <w:p w:rsidR="0004519B" w:rsidRPr="002479DB" w:rsidRDefault="0004519B" w:rsidP="0004519B">
      <w:pPr>
        <w:jc w:val="both"/>
        <w:rPr>
          <w:rFonts w:ascii="Arial" w:hAnsi="Arial" w:cs="Arial"/>
        </w:rPr>
      </w:pPr>
      <w:r w:rsidRPr="002479DB">
        <w:rPr>
          <w:rFonts w:ascii="Arial" w:hAnsi="Arial" w:cs="Arial"/>
          <w:b/>
          <w:u w:val="single"/>
        </w:rPr>
        <w:t>Finding on Material Error</w:t>
      </w:r>
    </w:p>
    <w:p w:rsidR="0004519B" w:rsidRDefault="0004519B" w:rsidP="0004519B">
      <w:pPr>
        <w:numPr>
          <w:ilvl w:val="0"/>
          <w:numId w:val="2"/>
        </w:numPr>
        <w:spacing w:before="240" w:line="360" w:lineRule="auto"/>
        <w:jc w:val="both"/>
        <w:rPr>
          <w:rFonts w:ascii="Arial" w:hAnsi="Arial" w:cs="Arial"/>
        </w:rPr>
      </w:pPr>
      <w:r>
        <w:rPr>
          <w:rFonts w:ascii="Arial" w:hAnsi="Arial" w:cs="Arial"/>
        </w:rPr>
        <w:t xml:space="preserve">Having heard those submissions </w:t>
      </w:r>
      <w:r w:rsidR="00FE14EE">
        <w:rPr>
          <w:rFonts w:ascii="Arial" w:hAnsi="Arial" w:cs="Arial"/>
        </w:rPr>
        <w:t xml:space="preserve">I </w:t>
      </w:r>
      <w:r>
        <w:rPr>
          <w:rFonts w:ascii="Arial" w:hAnsi="Arial" w:cs="Arial"/>
        </w:rPr>
        <w:t xml:space="preserve">reached the conclusion that the Tribunal made </w:t>
      </w:r>
      <w:r w:rsidR="00FE14EE">
        <w:rPr>
          <w:rFonts w:ascii="Arial" w:hAnsi="Arial" w:cs="Arial"/>
        </w:rPr>
        <w:t xml:space="preserve">no </w:t>
      </w:r>
      <w:r>
        <w:rPr>
          <w:rFonts w:ascii="Arial" w:hAnsi="Arial" w:cs="Arial"/>
        </w:rPr>
        <w:t>material errors of law.</w:t>
      </w:r>
    </w:p>
    <w:p w:rsidR="0004519B" w:rsidRDefault="0004519B" w:rsidP="0004519B">
      <w:pPr>
        <w:numPr>
          <w:ilvl w:val="0"/>
          <w:numId w:val="2"/>
        </w:numPr>
        <w:spacing w:before="240" w:line="360" w:lineRule="auto"/>
        <w:jc w:val="both"/>
        <w:rPr>
          <w:rFonts w:ascii="Arial" w:hAnsi="Arial" w:cs="Arial"/>
        </w:rPr>
      </w:pPr>
      <w:r>
        <w:rPr>
          <w:rFonts w:ascii="Arial" w:hAnsi="Arial" w:cs="Arial"/>
        </w:rPr>
        <w:t xml:space="preserve">As to the duty to give reasons I </w:t>
      </w:r>
      <w:proofErr w:type="gramStart"/>
      <w:r>
        <w:rPr>
          <w:rFonts w:ascii="Arial" w:hAnsi="Arial" w:cs="Arial"/>
        </w:rPr>
        <w:t>take into account</w:t>
      </w:r>
      <w:proofErr w:type="gramEnd"/>
      <w:r>
        <w:rPr>
          <w:rFonts w:ascii="Arial" w:hAnsi="Arial" w:cs="Arial"/>
        </w:rPr>
        <w:t xml:space="preserve"> what was said by the Court of Appeal in MD (Turkey) </w:t>
      </w:r>
      <w:r>
        <w:rPr>
          <w:rFonts w:ascii="Arial" w:hAnsi="Arial" w:cs="Arial"/>
          <w:u w:val="single"/>
        </w:rPr>
        <w:t xml:space="preserve">[2017] EWCA </w:t>
      </w:r>
      <w:proofErr w:type="spellStart"/>
      <w:r>
        <w:rPr>
          <w:rFonts w:ascii="Arial" w:hAnsi="Arial" w:cs="Arial"/>
          <w:u w:val="single"/>
        </w:rPr>
        <w:t>Civ</w:t>
      </w:r>
      <w:proofErr w:type="spellEnd"/>
      <w:r>
        <w:rPr>
          <w:rFonts w:ascii="Arial" w:hAnsi="Arial" w:cs="Arial"/>
          <w:u w:val="single"/>
        </w:rPr>
        <w:t xml:space="preserve"> 1958 </w:t>
      </w:r>
      <w:r>
        <w:rPr>
          <w:rFonts w:ascii="Arial" w:hAnsi="Arial" w:cs="Arial"/>
        </w:rPr>
        <w:t>at paragraph 26:</w:t>
      </w:r>
    </w:p>
    <w:p w:rsidR="0004519B" w:rsidRDefault="0004519B" w:rsidP="0004519B">
      <w:pPr>
        <w:spacing w:before="240" w:line="360" w:lineRule="auto"/>
        <w:ind w:left="360"/>
        <w:jc w:val="both"/>
        <w:rPr>
          <w:rFonts w:ascii="Arial" w:hAnsi="Arial" w:cs="Arial"/>
          <w:i/>
          <w:sz w:val="22"/>
          <w:szCs w:val="22"/>
        </w:rPr>
      </w:pPr>
      <w:r>
        <w:rPr>
          <w:rFonts w:ascii="Arial" w:hAnsi="Arial" w:cs="Arial"/>
          <w:i/>
          <w:sz w:val="22"/>
          <w:szCs w:val="22"/>
        </w:rPr>
        <w:t xml:space="preserve">“The duty to give reasons requires that reasons must be proper, intelligible and adequate:  see the classic authority of this court in Re </w:t>
      </w:r>
      <w:proofErr w:type="spellStart"/>
      <w:r>
        <w:rPr>
          <w:rFonts w:ascii="Arial" w:hAnsi="Arial" w:cs="Arial"/>
          <w:i/>
          <w:sz w:val="22"/>
          <w:szCs w:val="22"/>
        </w:rPr>
        <w:t>Poyser</w:t>
      </w:r>
      <w:proofErr w:type="spellEnd"/>
      <w:r>
        <w:rPr>
          <w:rFonts w:ascii="Arial" w:hAnsi="Arial" w:cs="Arial"/>
          <w:i/>
          <w:sz w:val="22"/>
          <w:szCs w:val="22"/>
        </w:rPr>
        <w:t xml:space="preserve"> and Mills’ Arbitration [1964] 2 QB 467.  The only dispute in the present case relates to the last of those elements, that is the adequacy of the reasons given by the </w:t>
      </w:r>
      <w:proofErr w:type="spellStart"/>
      <w:r>
        <w:rPr>
          <w:rFonts w:ascii="Arial" w:hAnsi="Arial" w:cs="Arial"/>
          <w:i/>
          <w:sz w:val="22"/>
          <w:szCs w:val="22"/>
        </w:rPr>
        <w:t>FtT</w:t>
      </w:r>
      <w:proofErr w:type="spellEnd"/>
      <w:r>
        <w:rPr>
          <w:rFonts w:ascii="Arial" w:hAnsi="Arial" w:cs="Arial"/>
          <w:i/>
          <w:sz w:val="22"/>
          <w:szCs w:val="22"/>
        </w:rPr>
        <w:t xml:space="preserve"> for its decision allowing the appellant’s appeal.  It is important to appreciate that adequacy in this context is precisely that, no more and no less.  It is not a counsel of perfection.  Still less should it provide an opportunity to undertake a qualitative assessment of the reasons to see if they are wanting, perhaps even surprising, on their merits.  The purpose of the duty to give reasons is, in part, to enable the losing party to know why she has lost.  It is also to enable an appellate court or </w:t>
      </w:r>
      <w:r>
        <w:rPr>
          <w:rFonts w:ascii="Arial" w:hAnsi="Arial" w:cs="Arial"/>
          <w:i/>
          <w:sz w:val="22"/>
          <w:szCs w:val="22"/>
        </w:rPr>
        <w:lastRenderedPageBreak/>
        <w:t>tribunal to see what the reasons for the decision are so that they can be examined in case some error of approach has been committed.”</w:t>
      </w:r>
    </w:p>
    <w:p w:rsidR="00FE14EE" w:rsidRPr="00FE14EE" w:rsidRDefault="00FE14EE" w:rsidP="0004519B">
      <w:pPr>
        <w:numPr>
          <w:ilvl w:val="0"/>
          <w:numId w:val="2"/>
        </w:numPr>
        <w:spacing w:before="240" w:line="360" w:lineRule="auto"/>
        <w:jc w:val="both"/>
        <w:rPr>
          <w:rFonts w:ascii="Arial" w:hAnsi="Arial" w:cs="Arial"/>
          <w:u w:val="single"/>
        </w:rPr>
      </w:pPr>
      <w:r>
        <w:rPr>
          <w:rFonts w:ascii="Arial" w:hAnsi="Arial" w:cs="Arial"/>
        </w:rPr>
        <w:t xml:space="preserve">I deal firstly with the challenges raised by the Appellant to the </w:t>
      </w:r>
      <w:r w:rsidR="00150552">
        <w:rPr>
          <w:rFonts w:ascii="Arial" w:hAnsi="Arial" w:cs="Arial"/>
        </w:rPr>
        <w:t xml:space="preserve">decision </w:t>
      </w:r>
      <w:r>
        <w:rPr>
          <w:rFonts w:ascii="Arial" w:hAnsi="Arial" w:cs="Arial"/>
        </w:rPr>
        <w:t xml:space="preserve">which suggest that the Judge did not adequately deal with </w:t>
      </w:r>
      <w:r w:rsidRPr="00FE14EE">
        <w:rPr>
          <w:rFonts w:ascii="Arial" w:hAnsi="Arial" w:cs="Arial"/>
          <w:u w:val="single"/>
        </w:rPr>
        <w:t>AA (Article 15(c)) Iraq CG [2015] UKUT 544 (IAC)</w:t>
      </w:r>
      <w:r>
        <w:rPr>
          <w:rFonts w:ascii="Arial" w:hAnsi="Arial" w:cs="Arial"/>
          <w:u w:val="single"/>
        </w:rPr>
        <w:t xml:space="preserve"> </w:t>
      </w:r>
      <w:r>
        <w:rPr>
          <w:rFonts w:ascii="Arial" w:hAnsi="Arial" w:cs="Arial"/>
        </w:rPr>
        <w:t xml:space="preserve">in so far as it relates to Article 15(c). This was a case where the Judge had found that the Appellant originated from the IKR but did not believe the reasons she gave for leaving the country. He had heard evidence (paragraph 65) that she had a CSID card and therefore </w:t>
      </w:r>
      <w:proofErr w:type="gramStart"/>
      <w:r>
        <w:rPr>
          <w:rFonts w:ascii="Arial" w:hAnsi="Arial" w:cs="Arial"/>
        </w:rPr>
        <w:t>on the basis of</w:t>
      </w:r>
      <w:proofErr w:type="gramEnd"/>
      <w:r>
        <w:rPr>
          <w:rFonts w:ascii="Arial" w:hAnsi="Arial" w:cs="Arial"/>
        </w:rPr>
        <w:t xml:space="preserve"> those findings he was entitled to find that returning her to the IKR would not put her at risk under Article 15(c).</w:t>
      </w:r>
    </w:p>
    <w:p w:rsidR="00150552" w:rsidRDefault="007436E4" w:rsidP="0004519B">
      <w:pPr>
        <w:numPr>
          <w:ilvl w:val="0"/>
          <w:numId w:val="2"/>
        </w:numPr>
        <w:spacing w:before="240" w:line="360" w:lineRule="auto"/>
        <w:jc w:val="both"/>
        <w:rPr>
          <w:rFonts w:ascii="Arial" w:hAnsi="Arial" w:cs="Arial"/>
        </w:rPr>
      </w:pPr>
      <w:r w:rsidRPr="007436E4">
        <w:rPr>
          <w:rFonts w:ascii="Arial" w:hAnsi="Arial" w:cs="Arial"/>
        </w:rPr>
        <w:t xml:space="preserve">In relation </w:t>
      </w:r>
      <w:r>
        <w:rPr>
          <w:rFonts w:ascii="Arial" w:hAnsi="Arial" w:cs="Arial"/>
        </w:rPr>
        <w:t>to the challenge raised by the Respondent Mr Diwnycz frankly accepted that had the Judge not used the word ‘paramount’ in relation to the best interests of the British citizen child</w:t>
      </w:r>
      <w:r w:rsidR="00150552">
        <w:rPr>
          <w:rFonts w:ascii="Arial" w:hAnsi="Arial" w:cs="Arial"/>
        </w:rPr>
        <w:t>,</w:t>
      </w:r>
      <w:r>
        <w:rPr>
          <w:rFonts w:ascii="Arial" w:hAnsi="Arial" w:cs="Arial"/>
        </w:rPr>
        <w:t xml:space="preserve"> the Respondent would have had no basis on which to challenge his conclusion that by reference to</w:t>
      </w:r>
      <w:r w:rsidR="00150552">
        <w:rPr>
          <w:rFonts w:ascii="Arial" w:hAnsi="Arial" w:cs="Arial"/>
        </w:rPr>
        <w:t xml:space="preserve"> s 117B 6 it was not reasonable to require the Appellants child to be removed.</w:t>
      </w:r>
    </w:p>
    <w:p w:rsidR="00150552" w:rsidRDefault="00150552" w:rsidP="00150552">
      <w:pPr>
        <w:numPr>
          <w:ilvl w:val="0"/>
          <w:numId w:val="5"/>
        </w:numPr>
        <w:spacing w:before="120" w:after="120" w:line="360" w:lineRule="auto"/>
        <w:jc w:val="both"/>
        <w:rPr>
          <w:rFonts w:ascii="Arial" w:hAnsi="Arial" w:cs="Arial"/>
        </w:rPr>
      </w:pPr>
      <w:r>
        <w:rPr>
          <w:rFonts w:ascii="Arial" w:hAnsi="Arial" w:cs="Arial"/>
        </w:rPr>
        <w:t>That the Judge erred in setting out the law in relation to the best interests of children was not disputed by either party.</w:t>
      </w:r>
      <w:r w:rsidR="007436E4">
        <w:rPr>
          <w:rFonts w:ascii="Arial" w:hAnsi="Arial" w:cs="Arial"/>
        </w:rPr>
        <w:t xml:space="preserve"> </w:t>
      </w:r>
      <w:r>
        <w:rPr>
          <w:rFonts w:ascii="Arial" w:hAnsi="Arial" w:cs="Arial"/>
        </w:rPr>
        <w:t xml:space="preserve">In making the assessment of the best interests of the children </w:t>
      </w:r>
      <w:r w:rsidR="00FF1BDC">
        <w:rPr>
          <w:rFonts w:ascii="Arial" w:hAnsi="Arial" w:cs="Arial"/>
        </w:rPr>
        <w:t xml:space="preserve">he </w:t>
      </w:r>
      <w:proofErr w:type="gramStart"/>
      <w:r w:rsidR="00FF1BDC" w:rsidRPr="00050A4B">
        <w:rPr>
          <w:rFonts w:ascii="Arial" w:hAnsi="Arial" w:cs="Arial"/>
        </w:rPr>
        <w:t>made</w:t>
      </w:r>
      <w:r>
        <w:rPr>
          <w:rFonts w:ascii="Arial" w:hAnsi="Arial" w:cs="Arial"/>
        </w:rPr>
        <w:t xml:space="preserve"> reference</w:t>
      </w:r>
      <w:proofErr w:type="gramEnd"/>
      <w:r>
        <w:rPr>
          <w:rFonts w:ascii="Arial" w:hAnsi="Arial" w:cs="Arial"/>
        </w:rPr>
        <w:t xml:space="preserve"> at paragraph 68 to</w:t>
      </w:r>
      <w:r w:rsidRPr="00050A4B">
        <w:rPr>
          <w:rFonts w:ascii="Arial" w:hAnsi="Arial" w:cs="Arial"/>
        </w:rPr>
        <w:t xml:space="preserve"> </w:t>
      </w:r>
      <w:r w:rsidRPr="004423CD">
        <w:rPr>
          <w:rFonts w:ascii="Arial" w:hAnsi="Arial" w:cs="Arial"/>
          <w:bCs/>
          <w:u w:val="single"/>
        </w:rPr>
        <w:t xml:space="preserve">ZH (Tanzania) (FC) (Appellant) </w:t>
      </w:r>
      <w:r w:rsidRPr="004423CD">
        <w:rPr>
          <w:rFonts w:ascii="Arial" w:hAnsi="Arial" w:cs="Arial"/>
          <w:bCs/>
          <w:iCs/>
          <w:u w:val="single"/>
        </w:rPr>
        <w:t>v</w:t>
      </w:r>
      <w:r w:rsidRPr="004423CD">
        <w:rPr>
          <w:rFonts w:ascii="Arial" w:hAnsi="Arial" w:cs="Arial"/>
          <w:bCs/>
          <w:u w:val="single"/>
        </w:rPr>
        <w:t xml:space="preserve"> Secretary of State for the Home Department (Respondent) [2011] UKSC 4 </w:t>
      </w:r>
      <w:r w:rsidRPr="00050A4B">
        <w:rPr>
          <w:rFonts w:ascii="Arial" w:hAnsi="Arial" w:cs="Arial"/>
          <w:bCs/>
        </w:rPr>
        <w:t xml:space="preserve">where </w:t>
      </w:r>
      <w:r w:rsidRPr="00050A4B">
        <w:rPr>
          <w:rFonts w:ascii="Arial" w:hAnsi="Arial" w:cs="Arial"/>
        </w:rPr>
        <w:t xml:space="preserve">Lady Hale </w:t>
      </w:r>
      <w:bookmarkStart w:id="0" w:name="para23"/>
      <w:r w:rsidRPr="00050A4B">
        <w:rPr>
          <w:rFonts w:ascii="Arial" w:hAnsi="Arial" w:cs="Arial"/>
        </w:rPr>
        <w:t>noted Article 3(1) of the UNCRC</w:t>
      </w:r>
      <w:r>
        <w:rPr>
          <w:rFonts w:ascii="Arial" w:hAnsi="Arial" w:cs="Arial"/>
        </w:rPr>
        <w:t xml:space="preserve"> </w:t>
      </w:r>
      <w:bookmarkEnd w:id="0"/>
      <w:r w:rsidRPr="00050A4B">
        <w:rPr>
          <w:rFonts w:ascii="Arial" w:hAnsi="Arial" w:cs="Arial"/>
        </w:rPr>
        <w:t xml:space="preserve">which states that </w:t>
      </w:r>
      <w:r w:rsidRPr="00050A4B">
        <w:rPr>
          <w:rFonts w:ascii="Arial" w:hAnsi="Arial" w:cs="Arial"/>
          <w:i/>
        </w:rPr>
        <w:t xml:space="preserve">“in all actions concerning children, whether undertaken by … courts of law, administrative authorities or legislative bodies, the best interests of the child shall be a </w:t>
      </w:r>
      <w:r w:rsidRPr="00150552">
        <w:rPr>
          <w:rFonts w:ascii="Arial" w:hAnsi="Arial" w:cs="Arial"/>
          <w:b/>
          <w:i/>
        </w:rPr>
        <w:t xml:space="preserve">primary </w:t>
      </w:r>
      <w:r w:rsidRPr="00050A4B">
        <w:rPr>
          <w:rFonts w:ascii="Arial" w:hAnsi="Arial" w:cs="Arial"/>
          <w:i/>
        </w:rPr>
        <w:t>consideration."</w:t>
      </w:r>
      <w:r w:rsidRPr="00050A4B">
        <w:rPr>
          <w:rFonts w:ascii="Arial" w:hAnsi="Arial" w:cs="Arial"/>
        </w:rPr>
        <w:t xml:space="preserve"> </w:t>
      </w:r>
      <w:r>
        <w:rPr>
          <w:rFonts w:ascii="Arial" w:hAnsi="Arial" w:cs="Arial"/>
        </w:rPr>
        <w:t xml:space="preserve"> (my bold)</w:t>
      </w:r>
    </w:p>
    <w:p w:rsidR="00150552" w:rsidRPr="008426E1" w:rsidRDefault="00150552" w:rsidP="00150552">
      <w:pPr>
        <w:numPr>
          <w:ilvl w:val="0"/>
          <w:numId w:val="5"/>
        </w:numPr>
        <w:spacing w:line="360" w:lineRule="auto"/>
        <w:jc w:val="both"/>
        <w:rPr>
          <w:rFonts w:ascii="Arial" w:hAnsi="Arial" w:cs="Arial"/>
          <w:iCs/>
        </w:rPr>
      </w:pPr>
      <w:r w:rsidRPr="00D23A33">
        <w:rPr>
          <w:rFonts w:ascii="Arial" w:hAnsi="Arial" w:cs="Arial"/>
        </w:rPr>
        <w:t xml:space="preserve">Article 3 is now </w:t>
      </w:r>
      <w:r>
        <w:rPr>
          <w:rFonts w:ascii="Arial" w:hAnsi="Arial" w:cs="Arial"/>
        </w:rPr>
        <w:t>reflected</w:t>
      </w:r>
      <w:r w:rsidRPr="00D23A33">
        <w:rPr>
          <w:rFonts w:ascii="Arial" w:hAnsi="Arial" w:cs="Arial"/>
        </w:rPr>
        <w:t xml:space="preserve"> in section 55 of the Borders, Citizenship and Immigration Act 2009 which provides that, in relation, among other things, to immigration, asylum or nationality, the Secretary of State must </w:t>
      </w:r>
      <w:proofErr w:type="gramStart"/>
      <w:r w:rsidRPr="00D23A33">
        <w:rPr>
          <w:rFonts w:ascii="Arial" w:hAnsi="Arial" w:cs="Arial"/>
        </w:rPr>
        <w:t>make arrangements</w:t>
      </w:r>
      <w:proofErr w:type="gramEnd"/>
      <w:r w:rsidRPr="00D23A33">
        <w:rPr>
          <w:rFonts w:ascii="Arial" w:hAnsi="Arial" w:cs="Arial"/>
        </w:rPr>
        <w:t xml:space="preserve"> for ensuring that those functions </w:t>
      </w:r>
      <w:r w:rsidRPr="00D23A33">
        <w:rPr>
          <w:rFonts w:ascii="Arial" w:hAnsi="Arial" w:cs="Arial"/>
          <w:i/>
        </w:rPr>
        <w:t xml:space="preserve">"are discharged having regard to the need to safeguard and promote the welfare of children who are in the United Kingdom". </w:t>
      </w:r>
      <w:r w:rsidRPr="00D23A33">
        <w:rPr>
          <w:rFonts w:ascii="Arial" w:hAnsi="Arial" w:cs="Arial"/>
        </w:rPr>
        <w:t xml:space="preserve"> Lady Hale stated that </w:t>
      </w:r>
      <w:r w:rsidRPr="00D23A33">
        <w:rPr>
          <w:rFonts w:ascii="Arial" w:hAnsi="Arial" w:cs="Arial"/>
          <w:i/>
        </w:rPr>
        <w:t>“any decision which is taken without having regard to the need to safeguard and promote the welfare of any children involved will not be "in accordance with the law" for the purpose of article 8(2)”.</w:t>
      </w:r>
      <w:r w:rsidRPr="00D23A33">
        <w:rPr>
          <w:rFonts w:ascii="Arial" w:hAnsi="Arial" w:cs="Arial"/>
        </w:rPr>
        <w:t xml:space="preserve">  Although she noted that national authorities were expected to treat the best interests of a child as "</w:t>
      </w:r>
      <w:r w:rsidRPr="00D23A33">
        <w:rPr>
          <w:rFonts w:ascii="Arial" w:hAnsi="Arial" w:cs="Arial"/>
          <w:i/>
        </w:rPr>
        <w:t>a primary consideration",</w:t>
      </w:r>
      <w:r w:rsidRPr="00D23A33">
        <w:rPr>
          <w:rFonts w:ascii="Arial" w:hAnsi="Arial" w:cs="Arial"/>
        </w:rPr>
        <w:t xml:space="preserve"> she added </w:t>
      </w:r>
      <w:r w:rsidRPr="00D23A33">
        <w:rPr>
          <w:rFonts w:ascii="Arial" w:hAnsi="Arial" w:cs="Arial"/>
          <w:i/>
        </w:rPr>
        <w:t>“</w:t>
      </w:r>
      <w:r w:rsidRPr="00150552">
        <w:rPr>
          <w:rFonts w:ascii="Arial" w:hAnsi="Arial" w:cs="Arial"/>
          <w:b/>
          <w:i/>
        </w:rPr>
        <w:t xml:space="preserve">Of course, despite the </w:t>
      </w:r>
      <w:r w:rsidRPr="00150552">
        <w:rPr>
          <w:rFonts w:ascii="Arial" w:hAnsi="Arial" w:cs="Arial"/>
          <w:b/>
          <w:i/>
        </w:rPr>
        <w:lastRenderedPageBreak/>
        <w:t>looseness with which these terms are sometimes used, "a primary consideration" is not the same as "the primary consideration", still less as "the paramount consideration</w:t>
      </w:r>
      <w:proofErr w:type="gramStart"/>
      <w:r w:rsidRPr="00D23A33">
        <w:rPr>
          <w:rFonts w:ascii="Arial" w:hAnsi="Arial" w:cs="Arial"/>
          <w:i/>
        </w:rPr>
        <w:t>".</w:t>
      </w:r>
      <w:r>
        <w:rPr>
          <w:rFonts w:ascii="Arial" w:hAnsi="Arial" w:cs="Arial"/>
          <w:i/>
        </w:rPr>
        <w:t>(</w:t>
      </w:r>
      <w:proofErr w:type="gramEnd"/>
      <w:r>
        <w:rPr>
          <w:rFonts w:ascii="Arial" w:hAnsi="Arial" w:cs="Arial"/>
        </w:rPr>
        <w:t>my bold)</w:t>
      </w:r>
    </w:p>
    <w:p w:rsidR="00FE14EE" w:rsidRPr="00A433F4" w:rsidRDefault="00150552" w:rsidP="00952CD8">
      <w:pPr>
        <w:numPr>
          <w:ilvl w:val="0"/>
          <w:numId w:val="2"/>
        </w:numPr>
        <w:spacing w:before="240" w:line="360" w:lineRule="auto"/>
        <w:jc w:val="both"/>
        <w:rPr>
          <w:rFonts w:ascii="Arial" w:hAnsi="Arial" w:cs="Arial"/>
          <w:u w:val="single"/>
        </w:rPr>
      </w:pPr>
      <w:proofErr w:type="gramStart"/>
      <w:r w:rsidRPr="00A433F4">
        <w:rPr>
          <w:rFonts w:ascii="Arial" w:hAnsi="Arial" w:cs="Arial"/>
        </w:rPr>
        <w:t>Thus</w:t>
      </w:r>
      <w:proofErr w:type="gramEnd"/>
      <w:r w:rsidRPr="00A433F4">
        <w:rPr>
          <w:rFonts w:ascii="Arial" w:hAnsi="Arial" w:cs="Arial"/>
        </w:rPr>
        <w:t xml:space="preserve"> the best interests of the child are a primary consideration </w:t>
      </w:r>
      <w:r w:rsidRPr="00A433F4">
        <w:rPr>
          <w:rFonts w:ascii="Arial" w:hAnsi="Arial" w:cs="Arial"/>
          <w:u w:val="single"/>
        </w:rPr>
        <w:t>not</w:t>
      </w:r>
      <w:r w:rsidRPr="00A433F4">
        <w:rPr>
          <w:rFonts w:ascii="Arial" w:hAnsi="Arial" w:cs="Arial"/>
        </w:rPr>
        <w:t xml:space="preserve">, as the Judge asserted at paragraph 97, a paramount consideration. </w:t>
      </w:r>
      <w:proofErr w:type="gramStart"/>
      <w:r w:rsidR="000329A3" w:rsidRPr="00A433F4">
        <w:rPr>
          <w:rFonts w:ascii="Arial" w:hAnsi="Arial" w:cs="Arial"/>
        </w:rPr>
        <w:t>However</w:t>
      </w:r>
      <w:proofErr w:type="gramEnd"/>
      <w:r w:rsidR="000329A3" w:rsidRPr="00A433F4">
        <w:rPr>
          <w:rFonts w:ascii="Arial" w:hAnsi="Arial" w:cs="Arial"/>
        </w:rPr>
        <w:t xml:space="preserve"> I must go on to consider whether this error made a material difference to the outcome. </w:t>
      </w:r>
      <w:r w:rsidR="00A433F4" w:rsidRPr="00A433F4">
        <w:rPr>
          <w:rFonts w:ascii="Arial" w:hAnsi="Arial" w:cs="Arial"/>
        </w:rPr>
        <w:t xml:space="preserve">I must determine whether the Judge has made it tolerably clear that he has considered </w:t>
      </w:r>
      <w:proofErr w:type="gramStart"/>
      <w:r w:rsidR="00A433F4" w:rsidRPr="00A433F4">
        <w:rPr>
          <w:rFonts w:ascii="Arial" w:hAnsi="Arial" w:cs="Arial"/>
        </w:rPr>
        <w:t>all of</w:t>
      </w:r>
      <w:proofErr w:type="gramEnd"/>
      <w:r w:rsidR="00A433F4" w:rsidRPr="00A433F4">
        <w:rPr>
          <w:rFonts w:ascii="Arial" w:hAnsi="Arial" w:cs="Arial"/>
        </w:rPr>
        <w:t xml:space="preserve"> the relevant factors whether he has specifically identified them or not</w:t>
      </w:r>
      <w:r w:rsidR="00FF1BDC">
        <w:rPr>
          <w:rFonts w:ascii="Arial" w:hAnsi="Arial" w:cs="Arial"/>
        </w:rPr>
        <w:t xml:space="preserve"> and reached a conclusion that is sustainable</w:t>
      </w:r>
      <w:r w:rsidR="00A433F4" w:rsidRPr="00A433F4">
        <w:rPr>
          <w:rFonts w:ascii="Arial" w:hAnsi="Arial" w:cs="Arial"/>
        </w:rPr>
        <w:t>. I have come to the conclusion that on balance while the decision could have been written in a more structured way, identifying the best interests of the child before moving onto s 117B6 the Judge at paragraph 97-100 has considered all of the relevant factors,</w:t>
      </w:r>
      <w:r w:rsidR="00A433F4">
        <w:rPr>
          <w:rFonts w:ascii="Arial" w:hAnsi="Arial" w:cs="Arial"/>
        </w:rPr>
        <w:t xml:space="preserve"> While not explicitly identifying the best interests of the child</w:t>
      </w:r>
      <w:r w:rsidR="00FF1BDC">
        <w:rPr>
          <w:rFonts w:ascii="Arial" w:hAnsi="Arial" w:cs="Arial"/>
        </w:rPr>
        <w:t xml:space="preserve"> in his findings</w:t>
      </w:r>
      <w:r w:rsidR="00A433F4">
        <w:rPr>
          <w:rFonts w:ascii="Arial" w:hAnsi="Arial" w:cs="Arial"/>
        </w:rPr>
        <w:t xml:space="preserve"> it is possible to discern that the Judges places great weight on the age of the child and its need therefore for her mother, the Appellant </w:t>
      </w:r>
      <w:r w:rsidR="00FF1BDC">
        <w:rPr>
          <w:rFonts w:ascii="Arial" w:hAnsi="Arial" w:cs="Arial"/>
        </w:rPr>
        <w:t>,</w:t>
      </w:r>
      <w:r w:rsidR="00A433F4">
        <w:rPr>
          <w:rFonts w:ascii="Arial" w:hAnsi="Arial" w:cs="Arial"/>
        </w:rPr>
        <w:t xml:space="preserve">to be part of her upbringing. He places considerable weight on the </w:t>
      </w:r>
      <w:r w:rsidR="00FF1BDC">
        <w:rPr>
          <w:rFonts w:ascii="Arial" w:hAnsi="Arial" w:cs="Arial"/>
        </w:rPr>
        <w:t>benefits</w:t>
      </w:r>
      <w:r w:rsidR="00A433F4">
        <w:rPr>
          <w:rFonts w:ascii="Arial" w:hAnsi="Arial" w:cs="Arial"/>
        </w:rPr>
        <w:t xml:space="preserve"> of British citizenship. </w:t>
      </w:r>
      <w:proofErr w:type="gramStart"/>
      <w:r w:rsidR="00FF1BDC">
        <w:rPr>
          <w:rFonts w:ascii="Arial" w:hAnsi="Arial" w:cs="Arial"/>
        </w:rPr>
        <w:t>Indeed</w:t>
      </w:r>
      <w:proofErr w:type="gramEnd"/>
      <w:r w:rsidR="00FF1BDC">
        <w:rPr>
          <w:rFonts w:ascii="Arial" w:hAnsi="Arial" w:cs="Arial"/>
        </w:rPr>
        <w:t xml:space="preserve"> these were all matters that he was addressed on by both advocates. </w:t>
      </w:r>
      <w:r w:rsidR="00A433F4">
        <w:rPr>
          <w:rFonts w:ascii="Arial" w:hAnsi="Arial" w:cs="Arial"/>
        </w:rPr>
        <w:t xml:space="preserve">While </w:t>
      </w:r>
      <w:r w:rsidR="00FF1BDC">
        <w:rPr>
          <w:rFonts w:ascii="Arial" w:hAnsi="Arial" w:cs="Arial"/>
        </w:rPr>
        <w:t>the Judge makes no reference to the Respondents own policies</w:t>
      </w:r>
      <w:r w:rsidR="00A433F4">
        <w:rPr>
          <w:rFonts w:ascii="Arial" w:hAnsi="Arial" w:cs="Arial"/>
        </w:rPr>
        <w:t xml:space="preserve"> </w:t>
      </w:r>
      <w:r w:rsidR="000329A3" w:rsidRPr="00A433F4">
        <w:rPr>
          <w:rFonts w:ascii="Arial" w:hAnsi="Arial" w:cs="Arial"/>
        </w:rPr>
        <w:t xml:space="preserve">Mr Diwnycz </w:t>
      </w:r>
      <w:r w:rsidR="00FF1BDC">
        <w:rPr>
          <w:rFonts w:ascii="Arial" w:hAnsi="Arial" w:cs="Arial"/>
        </w:rPr>
        <w:t xml:space="preserve">frankly </w:t>
      </w:r>
      <w:r w:rsidR="000329A3" w:rsidRPr="00A433F4">
        <w:rPr>
          <w:rFonts w:ascii="Arial" w:hAnsi="Arial" w:cs="Arial"/>
        </w:rPr>
        <w:t xml:space="preserve">acknowledged that the </w:t>
      </w:r>
      <w:r w:rsidR="00A433F4" w:rsidRPr="00A433F4">
        <w:rPr>
          <w:rFonts w:ascii="Arial" w:hAnsi="Arial" w:cs="Arial"/>
        </w:rPr>
        <w:t>Respondents</w:t>
      </w:r>
      <w:r w:rsidR="000329A3" w:rsidRPr="00A433F4">
        <w:rPr>
          <w:rFonts w:ascii="Arial" w:hAnsi="Arial" w:cs="Arial"/>
        </w:rPr>
        <w:t xml:space="preserve"> own policy guidance was that it was never reasonable to require a British citizen child to be removed other than in cases involving criminality or a poor immigration history which did not apply here. </w:t>
      </w:r>
      <w:proofErr w:type="gramStart"/>
      <w:r w:rsidR="000329A3" w:rsidRPr="00A433F4">
        <w:rPr>
          <w:rFonts w:ascii="Arial" w:hAnsi="Arial" w:cs="Arial"/>
        </w:rPr>
        <w:t>Therefore</w:t>
      </w:r>
      <w:proofErr w:type="gramEnd"/>
      <w:r w:rsidR="000329A3" w:rsidRPr="00A433F4">
        <w:rPr>
          <w:rFonts w:ascii="Arial" w:hAnsi="Arial" w:cs="Arial"/>
        </w:rPr>
        <w:t xml:space="preserve"> it was open to the Judge to conclude that it was </w:t>
      </w:r>
      <w:r w:rsidR="00A433F4" w:rsidRPr="00A433F4">
        <w:rPr>
          <w:rFonts w:ascii="Arial" w:hAnsi="Arial" w:cs="Arial"/>
        </w:rPr>
        <w:t>not reasonable to require the child</w:t>
      </w:r>
      <w:r w:rsidR="00FF1BDC">
        <w:rPr>
          <w:rFonts w:ascii="Arial" w:hAnsi="Arial" w:cs="Arial"/>
        </w:rPr>
        <w:t xml:space="preserve"> to be removed and the error in setting out the law in relation to the best interests of the child made no material difference to the outcome of the case.</w:t>
      </w:r>
      <w:r w:rsidR="00A433F4" w:rsidRPr="00A433F4">
        <w:rPr>
          <w:rFonts w:ascii="Arial" w:hAnsi="Arial" w:cs="Arial"/>
        </w:rPr>
        <w:t xml:space="preserve"> </w:t>
      </w:r>
    </w:p>
    <w:p w:rsidR="0004519B" w:rsidRPr="00FF1BDC" w:rsidRDefault="00FF1BDC" w:rsidP="00952CD8">
      <w:pPr>
        <w:numPr>
          <w:ilvl w:val="0"/>
          <w:numId w:val="2"/>
        </w:numPr>
        <w:spacing w:before="240" w:line="360" w:lineRule="auto"/>
        <w:jc w:val="both"/>
        <w:rPr>
          <w:rFonts w:ascii="Arial" w:hAnsi="Arial" w:cs="Arial"/>
        </w:rPr>
      </w:pPr>
      <w:r w:rsidRPr="00FF1BDC">
        <w:rPr>
          <w:rFonts w:ascii="Arial" w:hAnsi="Arial" w:cs="Arial"/>
        </w:rPr>
        <w:t xml:space="preserve">I </w:t>
      </w:r>
      <w:r w:rsidR="0004519B" w:rsidRPr="00FF1BDC">
        <w:rPr>
          <w:rFonts w:ascii="Arial" w:hAnsi="Arial" w:cs="Arial"/>
        </w:rPr>
        <w:t>therefore satisfied that the Judge’s determination when read as a whole set out findings that were sustainable</w:t>
      </w:r>
      <w:r>
        <w:rPr>
          <w:rFonts w:ascii="Arial" w:hAnsi="Arial" w:cs="Arial"/>
        </w:rPr>
        <w:t>.</w:t>
      </w:r>
    </w:p>
    <w:p w:rsidR="0004519B" w:rsidRPr="00F44074" w:rsidRDefault="0004519B" w:rsidP="0004519B">
      <w:pPr>
        <w:spacing w:before="240" w:line="360" w:lineRule="auto"/>
        <w:jc w:val="both"/>
        <w:rPr>
          <w:rFonts w:ascii="Arial" w:hAnsi="Arial" w:cs="Arial"/>
          <w:b/>
        </w:rPr>
      </w:pPr>
      <w:r w:rsidRPr="00F44074">
        <w:rPr>
          <w:rFonts w:ascii="Arial" w:hAnsi="Arial" w:cs="Arial"/>
          <w:b/>
        </w:rPr>
        <w:t>CONCLUSION</w:t>
      </w:r>
      <w:bookmarkStart w:id="1" w:name="_GoBack"/>
      <w:bookmarkEnd w:id="1"/>
    </w:p>
    <w:p w:rsidR="0004519B" w:rsidRPr="00F44074" w:rsidRDefault="0004519B" w:rsidP="0004519B">
      <w:pPr>
        <w:numPr>
          <w:ilvl w:val="0"/>
          <w:numId w:val="2"/>
        </w:numPr>
        <w:spacing w:before="240" w:line="360" w:lineRule="auto"/>
        <w:jc w:val="both"/>
        <w:rPr>
          <w:rFonts w:ascii="Arial" w:hAnsi="Arial" w:cs="Arial"/>
          <w:b/>
        </w:rPr>
      </w:pPr>
      <w:r>
        <w:rPr>
          <w:rFonts w:ascii="Arial" w:hAnsi="Arial" w:cs="Arial"/>
          <w:b/>
        </w:rPr>
        <w:t>I</w:t>
      </w:r>
      <w:r w:rsidRPr="00F44074">
        <w:rPr>
          <w:rFonts w:ascii="Arial" w:hAnsi="Arial" w:cs="Arial"/>
          <w:b/>
        </w:rPr>
        <w:t xml:space="preserve"> therefore found that no errors of law have been established</w:t>
      </w:r>
      <w:r w:rsidR="00FF1BDC">
        <w:rPr>
          <w:rFonts w:ascii="Arial" w:hAnsi="Arial" w:cs="Arial"/>
          <w:b/>
        </w:rPr>
        <w:t xml:space="preserve"> by either the Respondent or the Appellant </w:t>
      </w:r>
      <w:r w:rsidRPr="00F44074">
        <w:rPr>
          <w:rFonts w:ascii="Arial" w:hAnsi="Arial" w:cs="Arial"/>
          <w:b/>
        </w:rPr>
        <w:t xml:space="preserve">and that the Judge’s determination should stand. </w:t>
      </w:r>
    </w:p>
    <w:p w:rsidR="001519CA" w:rsidRDefault="001519CA" w:rsidP="0004519B">
      <w:pPr>
        <w:spacing w:before="240" w:line="360" w:lineRule="auto"/>
        <w:jc w:val="both"/>
        <w:rPr>
          <w:rFonts w:ascii="Arial" w:hAnsi="Arial" w:cs="Arial"/>
          <w:b/>
        </w:rPr>
      </w:pPr>
    </w:p>
    <w:p w:rsidR="0004519B" w:rsidRPr="0052314A" w:rsidRDefault="0004519B" w:rsidP="0004519B">
      <w:pPr>
        <w:spacing w:before="240" w:line="360" w:lineRule="auto"/>
        <w:jc w:val="both"/>
        <w:rPr>
          <w:rFonts w:ascii="Arial" w:hAnsi="Arial" w:cs="Arial"/>
          <w:b/>
        </w:rPr>
      </w:pPr>
      <w:r w:rsidRPr="0052314A">
        <w:rPr>
          <w:rFonts w:ascii="Arial" w:hAnsi="Arial" w:cs="Arial"/>
          <w:b/>
        </w:rPr>
        <w:lastRenderedPageBreak/>
        <w:t>DECISION</w:t>
      </w:r>
    </w:p>
    <w:p w:rsidR="0004519B" w:rsidRDefault="0004519B" w:rsidP="0004519B">
      <w:pPr>
        <w:numPr>
          <w:ilvl w:val="0"/>
          <w:numId w:val="2"/>
        </w:numPr>
        <w:spacing w:before="240" w:line="360" w:lineRule="auto"/>
        <w:jc w:val="both"/>
        <w:rPr>
          <w:rFonts w:ascii="Arial" w:hAnsi="Arial" w:cs="Arial"/>
          <w:b/>
        </w:rPr>
      </w:pPr>
      <w:r>
        <w:rPr>
          <w:rFonts w:ascii="Arial" w:hAnsi="Arial" w:cs="Arial"/>
          <w:b/>
        </w:rPr>
        <w:t>The appeal</w:t>
      </w:r>
      <w:r w:rsidR="00D01590">
        <w:rPr>
          <w:rFonts w:ascii="Arial" w:hAnsi="Arial" w:cs="Arial"/>
          <w:b/>
        </w:rPr>
        <w:t>s</w:t>
      </w:r>
      <w:r>
        <w:rPr>
          <w:rFonts w:ascii="Arial" w:hAnsi="Arial" w:cs="Arial"/>
          <w:b/>
        </w:rPr>
        <w:t xml:space="preserve"> </w:t>
      </w:r>
      <w:r w:rsidR="00D01590">
        <w:rPr>
          <w:rFonts w:ascii="Arial" w:hAnsi="Arial" w:cs="Arial"/>
          <w:b/>
        </w:rPr>
        <w:t>are</w:t>
      </w:r>
      <w:r>
        <w:rPr>
          <w:rFonts w:ascii="Arial" w:hAnsi="Arial" w:cs="Arial"/>
          <w:b/>
        </w:rPr>
        <w:t xml:space="preserve"> dismissed. </w:t>
      </w:r>
    </w:p>
    <w:p w:rsidR="001519CA" w:rsidRDefault="001519CA" w:rsidP="0004519B">
      <w:pPr>
        <w:tabs>
          <w:tab w:val="left" w:pos="2520"/>
        </w:tabs>
        <w:spacing w:line="360" w:lineRule="auto"/>
        <w:rPr>
          <w:rFonts w:ascii="Arial" w:hAnsi="Arial" w:cs="Arial"/>
        </w:rPr>
      </w:pPr>
    </w:p>
    <w:p w:rsidR="0004519B" w:rsidRDefault="0004519B" w:rsidP="0004519B">
      <w:pPr>
        <w:tabs>
          <w:tab w:val="left" w:pos="2520"/>
        </w:tabs>
        <w:spacing w:line="360" w:lineRule="auto"/>
        <w:rPr>
          <w:rFonts w:ascii="Arial" w:hAnsi="Arial" w:cs="Arial"/>
        </w:rPr>
      </w:pPr>
      <w:r>
        <w:rPr>
          <w:rFonts w:ascii="Arial" w:hAnsi="Arial" w:cs="Arial"/>
        </w:rPr>
        <w:t xml:space="preserve">Signed                                                              Date </w:t>
      </w:r>
      <w:r w:rsidR="00D01590">
        <w:rPr>
          <w:rFonts w:ascii="Arial" w:hAnsi="Arial" w:cs="Arial"/>
        </w:rPr>
        <w:t xml:space="preserve">8.5.2018 </w:t>
      </w:r>
      <w:r>
        <w:rPr>
          <w:rFonts w:ascii="Arial" w:hAnsi="Arial" w:cs="Arial"/>
        </w:rPr>
        <w:t xml:space="preserve">    </w:t>
      </w:r>
    </w:p>
    <w:p w:rsidR="0004519B" w:rsidRDefault="0004519B" w:rsidP="0004519B">
      <w:pPr>
        <w:tabs>
          <w:tab w:val="left" w:pos="2520"/>
        </w:tabs>
        <w:spacing w:line="360" w:lineRule="auto"/>
        <w:rPr>
          <w:rFonts w:ascii="Arial" w:hAnsi="Arial" w:cs="Arial"/>
        </w:rPr>
      </w:pPr>
    </w:p>
    <w:p w:rsidR="0004519B" w:rsidRDefault="0004519B" w:rsidP="0004519B">
      <w:pPr>
        <w:tabs>
          <w:tab w:val="left" w:pos="2520"/>
        </w:tabs>
        <w:spacing w:line="360" w:lineRule="auto"/>
        <w:rPr>
          <w:rFonts w:ascii="Arial" w:hAnsi="Arial" w:cs="Arial"/>
        </w:rPr>
      </w:pPr>
    </w:p>
    <w:p w:rsidR="0004519B" w:rsidRPr="00B96515" w:rsidRDefault="0004519B" w:rsidP="0004519B">
      <w:pPr>
        <w:tabs>
          <w:tab w:val="left" w:pos="2520"/>
        </w:tabs>
        <w:spacing w:line="360" w:lineRule="auto"/>
        <w:rPr>
          <w:rFonts w:ascii="Arial" w:hAnsi="Arial" w:cs="Arial"/>
        </w:rPr>
      </w:pPr>
      <w:r>
        <w:rPr>
          <w:rFonts w:ascii="Arial" w:hAnsi="Arial" w:cs="Arial"/>
        </w:rPr>
        <w:t>Deputy Upper Tribunal Judge Birrell</w:t>
      </w: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D01590" w:rsidRDefault="00D01590" w:rsidP="0004519B">
      <w:pPr>
        <w:jc w:val="center"/>
        <w:rPr>
          <w:rFonts w:ascii="Book Antiqua" w:hAnsi="Book Antiqua" w:cs="Arial"/>
        </w:rPr>
      </w:pPr>
    </w:p>
    <w:p w:rsidR="0004519B" w:rsidRPr="00CF53A6" w:rsidRDefault="0004519B" w:rsidP="0004519B">
      <w:pPr>
        <w:rPr>
          <w:rFonts w:ascii="Book Antiqua" w:hAnsi="Book Antiqua" w:cs="Arial"/>
        </w:rPr>
      </w:pPr>
    </w:p>
    <w:p w:rsidR="0004519B" w:rsidRPr="00CF53A6" w:rsidRDefault="0004519B" w:rsidP="0004519B">
      <w:pPr>
        <w:rPr>
          <w:rFonts w:ascii="Book Antiqua" w:hAnsi="Book Antiqua" w:cs="Arial"/>
        </w:rPr>
      </w:pPr>
    </w:p>
    <w:p w:rsidR="0004519B" w:rsidRPr="00B74B3C" w:rsidRDefault="0004519B" w:rsidP="0004519B">
      <w:pPr>
        <w:spacing w:line="360" w:lineRule="auto"/>
        <w:rPr>
          <w:rFonts w:ascii="Arial" w:hAnsi="Arial" w:cs="Arial"/>
        </w:rPr>
      </w:pPr>
    </w:p>
    <w:p w:rsidR="00545B34" w:rsidRPr="00B74B3C" w:rsidRDefault="00545B34" w:rsidP="0004519B">
      <w:pPr>
        <w:tabs>
          <w:tab w:val="right" w:pos="9720"/>
        </w:tabs>
        <w:spacing w:line="360" w:lineRule="auto"/>
        <w:ind w:right="-82"/>
        <w:outlineLvl w:val="0"/>
        <w:rPr>
          <w:rFonts w:ascii="Arial" w:hAnsi="Arial" w:cs="Arial"/>
        </w:rPr>
      </w:pPr>
    </w:p>
    <w:sectPr w:rsidR="00545B34" w:rsidRPr="00B74B3C" w:rsidSect="00E74CF9">
      <w:headerReference w:type="default" r:id="rId8"/>
      <w:footerReference w:type="default" r:id="rId9"/>
      <w:footerReference w:type="first" r:id="rId10"/>
      <w:pgSz w:w="11906" w:h="16838"/>
      <w:pgMar w:top="851"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060C" w:rsidRDefault="00E0060C" w:rsidP="00100C3C">
      <w:r>
        <w:separator/>
      </w:r>
    </w:p>
  </w:endnote>
  <w:endnote w:type="continuationSeparator" w:id="0">
    <w:p w:rsidR="00E0060C" w:rsidRDefault="00E0060C"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7B1" w:rsidRPr="00E74CF9" w:rsidRDefault="006257B1">
    <w:pPr>
      <w:pStyle w:val="Footer"/>
      <w:jc w:val="center"/>
      <w:rPr>
        <w:rFonts w:ascii="Arial" w:hAnsi="Arial" w:cs="Arial"/>
      </w:rPr>
    </w:pPr>
    <w:r w:rsidRPr="00E74CF9">
      <w:rPr>
        <w:rFonts w:ascii="Arial" w:hAnsi="Arial" w:cs="Arial"/>
      </w:rPr>
      <w:fldChar w:fldCharType="begin"/>
    </w:r>
    <w:r w:rsidRPr="00E74CF9">
      <w:rPr>
        <w:rFonts w:ascii="Arial" w:hAnsi="Arial" w:cs="Arial"/>
      </w:rPr>
      <w:instrText xml:space="preserve"> PAGE   \* MERGEFORMAT </w:instrText>
    </w:r>
    <w:r w:rsidRPr="00E74CF9">
      <w:rPr>
        <w:rFonts w:ascii="Arial" w:hAnsi="Arial" w:cs="Arial"/>
      </w:rPr>
      <w:fldChar w:fldCharType="separate"/>
    </w:r>
    <w:r w:rsidR="00D142DB">
      <w:rPr>
        <w:rFonts w:ascii="Arial" w:hAnsi="Arial" w:cs="Arial"/>
        <w:noProof/>
      </w:rPr>
      <w:t>6</w:t>
    </w:r>
    <w:r w:rsidRPr="00E74CF9">
      <w:rPr>
        <w:rFonts w:ascii="Arial" w:hAnsi="Arial" w:cs="Arial"/>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7B1" w:rsidRPr="00E74CF9" w:rsidRDefault="006257B1" w:rsidP="006257B1">
    <w:pPr>
      <w:pStyle w:val="Footer"/>
      <w:jc w:val="center"/>
      <w:rPr>
        <w:rFonts w:ascii="Arial" w:hAnsi="Arial" w:cs="Arial"/>
        <w:b/>
      </w:rPr>
    </w:pPr>
    <w:r w:rsidRPr="00E74CF9">
      <w:rPr>
        <w:rFonts w:ascii="Arial" w:hAnsi="Arial"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060C" w:rsidRDefault="00E0060C" w:rsidP="00100C3C">
      <w:r>
        <w:separator/>
      </w:r>
    </w:p>
  </w:footnote>
  <w:footnote w:type="continuationSeparator" w:id="0">
    <w:p w:rsidR="00E0060C" w:rsidRDefault="00E0060C"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7B1" w:rsidRDefault="00E74CF9" w:rsidP="006257B1">
    <w:pPr>
      <w:pStyle w:val="Header"/>
      <w:jc w:val="right"/>
      <w:rPr>
        <w:rFonts w:ascii="Arial" w:hAnsi="Arial" w:cs="Arial"/>
        <w:sz w:val="16"/>
        <w:szCs w:val="16"/>
      </w:rPr>
    </w:pPr>
    <w:r>
      <w:rPr>
        <w:rFonts w:ascii="Arial" w:hAnsi="Arial" w:cs="Arial"/>
        <w:sz w:val="16"/>
        <w:szCs w:val="16"/>
      </w:rPr>
      <w:t xml:space="preserve">Appeal Number: </w:t>
    </w:r>
    <w:r w:rsidR="006257B1" w:rsidRPr="00E74CF9">
      <w:rPr>
        <w:rFonts w:ascii="Arial" w:hAnsi="Arial" w:cs="Arial"/>
        <w:sz w:val="16"/>
        <w:szCs w:val="16"/>
      </w:rPr>
      <w:t>PA/11534/2016</w:t>
    </w:r>
  </w:p>
  <w:p w:rsidR="00E74CF9" w:rsidRPr="00E74CF9" w:rsidRDefault="00E74CF9" w:rsidP="006257B1">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502"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995A864C"/>
    <w:lvl w:ilvl="0">
      <w:start w:val="17"/>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30740"/>
    <w:rsid w:val="000329A3"/>
    <w:rsid w:val="00032B1F"/>
    <w:rsid w:val="0004519B"/>
    <w:rsid w:val="00046C8C"/>
    <w:rsid w:val="00057D63"/>
    <w:rsid w:val="00087FA9"/>
    <w:rsid w:val="000A151F"/>
    <w:rsid w:val="000C7AB3"/>
    <w:rsid w:val="00100A74"/>
    <w:rsid w:val="00100C3C"/>
    <w:rsid w:val="00101152"/>
    <w:rsid w:val="001103E5"/>
    <w:rsid w:val="00125BE8"/>
    <w:rsid w:val="00150552"/>
    <w:rsid w:val="001519CA"/>
    <w:rsid w:val="00156F09"/>
    <w:rsid w:val="00193D40"/>
    <w:rsid w:val="001C525B"/>
    <w:rsid w:val="001D0D8E"/>
    <w:rsid w:val="001D0EA7"/>
    <w:rsid w:val="001E400D"/>
    <w:rsid w:val="001F7535"/>
    <w:rsid w:val="00206AD6"/>
    <w:rsid w:val="00207C3C"/>
    <w:rsid w:val="002479DB"/>
    <w:rsid w:val="00250580"/>
    <w:rsid w:val="0025433B"/>
    <w:rsid w:val="002606C4"/>
    <w:rsid w:val="00281BE7"/>
    <w:rsid w:val="00286604"/>
    <w:rsid w:val="00286813"/>
    <w:rsid w:val="002C57F5"/>
    <w:rsid w:val="002D3A23"/>
    <w:rsid w:val="00337E31"/>
    <w:rsid w:val="00366195"/>
    <w:rsid w:val="00376746"/>
    <w:rsid w:val="0038281F"/>
    <w:rsid w:val="00394B69"/>
    <w:rsid w:val="003A4F86"/>
    <w:rsid w:val="003B4C45"/>
    <w:rsid w:val="003E1CC7"/>
    <w:rsid w:val="003E368E"/>
    <w:rsid w:val="003F7CE3"/>
    <w:rsid w:val="00440EE7"/>
    <w:rsid w:val="00451F8E"/>
    <w:rsid w:val="004B4D22"/>
    <w:rsid w:val="004C3399"/>
    <w:rsid w:val="004E5F20"/>
    <w:rsid w:val="00503FAE"/>
    <w:rsid w:val="0052314A"/>
    <w:rsid w:val="0052555D"/>
    <w:rsid w:val="00535119"/>
    <w:rsid w:val="00544C99"/>
    <w:rsid w:val="00545B34"/>
    <w:rsid w:val="005537BC"/>
    <w:rsid w:val="00576476"/>
    <w:rsid w:val="00586795"/>
    <w:rsid w:val="005949C8"/>
    <w:rsid w:val="005D6496"/>
    <w:rsid w:val="005F7BFE"/>
    <w:rsid w:val="00622E11"/>
    <w:rsid w:val="006257B1"/>
    <w:rsid w:val="0068187C"/>
    <w:rsid w:val="006840CD"/>
    <w:rsid w:val="006A6CBF"/>
    <w:rsid w:val="006B3761"/>
    <w:rsid w:val="006B4EEE"/>
    <w:rsid w:val="006C1E5F"/>
    <w:rsid w:val="006D4FF0"/>
    <w:rsid w:val="006F1422"/>
    <w:rsid w:val="006F6689"/>
    <w:rsid w:val="00703BAB"/>
    <w:rsid w:val="0071333E"/>
    <w:rsid w:val="007258A2"/>
    <w:rsid w:val="007311FD"/>
    <w:rsid w:val="007344E6"/>
    <w:rsid w:val="007436E4"/>
    <w:rsid w:val="00755830"/>
    <w:rsid w:val="007702AD"/>
    <w:rsid w:val="007921BE"/>
    <w:rsid w:val="0079558F"/>
    <w:rsid w:val="007A76EA"/>
    <w:rsid w:val="007C3085"/>
    <w:rsid w:val="00802508"/>
    <w:rsid w:val="008045DC"/>
    <w:rsid w:val="00850890"/>
    <w:rsid w:val="008743FA"/>
    <w:rsid w:val="008768BA"/>
    <w:rsid w:val="0088245D"/>
    <w:rsid w:val="0088490A"/>
    <w:rsid w:val="008E5837"/>
    <w:rsid w:val="009014D6"/>
    <w:rsid w:val="00912ADE"/>
    <w:rsid w:val="00951A7F"/>
    <w:rsid w:val="00952CD8"/>
    <w:rsid w:val="00963C62"/>
    <w:rsid w:val="00981029"/>
    <w:rsid w:val="00987890"/>
    <w:rsid w:val="00991B39"/>
    <w:rsid w:val="009C17A7"/>
    <w:rsid w:val="009C1C65"/>
    <w:rsid w:val="009C4477"/>
    <w:rsid w:val="009C7AD9"/>
    <w:rsid w:val="009E3C93"/>
    <w:rsid w:val="00A033BF"/>
    <w:rsid w:val="00A318AF"/>
    <w:rsid w:val="00A433F4"/>
    <w:rsid w:val="00A52BA2"/>
    <w:rsid w:val="00A72A15"/>
    <w:rsid w:val="00A75FBA"/>
    <w:rsid w:val="00A822BE"/>
    <w:rsid w:val="00A84ABA"/>
    <w:rsid w:val="00A94A10"/>
    <w:rsid w:val="00AC1C4E"/>
    <w:rsid w:val="00AD1956"/>
    <w:rsid w:val="00AD1D26"/>
    <w:rsid w:val="00AD6AA7"/>
    <w:rsid w:val="00B17E67"/>
    <w:rsid w:val="00B20F7E"/>
    <w:rsid w:val="00B234FF"/>
    <w:rsid w:val="00B45ED8"/>
    <w:rsid w:val="00B66B6A"/>
    <w:rsid w:val="00B74B3C"/>
    <w:rsid w:val="00B96515"/>
    <w:rsid w:val="00BA7D3F"/>
    <w:rsid w:val="00BF1784"/>
    <w:rsid w:val="00C02574"/>
    <w:rsid w:val="00C11224"/>
    <w:rsid w:val="00C51FA3"/>
    <w:rsid w:val="00C736F6"/>
    <w:rsid w:val="00C76422"/>
    <w:rsid w:val="00C8431F"/>
    <w:rsid w:val="00C91439"/>
    <w:rsid w:val="00C914E4"/>
    <w:rsid w:val="00CD37F5"/>
    <w:rsid w:val="00CD4491"/>
    <w:rsid w:val="00CE46A0"/>
    <w:rsid w:val="00CF53A6"/>
    <w:rsid w:val="00CF5698"/>
    <w:rsid w:val="00D01590"/>
    <w:rsid w:val="00D142DB"/>
    <w:rsid w:val="00D15FB3"/>
    <w:rsid w:val="00D16669"/>
    <w:rsid w:val="00D23A33"/>
    <w:rsid w:val="00D44CE1"/>
    <w:rsid w:val="00D45AD5"/>
    <w:rsid w:val="00D55991"/>
    <w:rsid w:val="00D903CC"/>
    <w:rsid w:val="00D905E2"/>
    <w:rsid w:val="00DB10ED"/>
    <w:rsid w:val="00DB2691"/>
    <w:rsid w:val="00DB4A2E"/>
    <w:rsid w:val="00DC358B"/>
    <w:rsid w:val="00DD3D9E"/>
    <w:rsid w:val="00DF0A76"/>
    <w:rsid w:val="00DF7CE8"/>
    <w:rsid w:val="00E0060C"/>
    <w:rsid w:val="00E11EC2"/>
    <w:rsid w:val="00E204FA"/>
    <w:rsid w:val="00E40F9B"/>
    <w:rsid w:val="00E41B40"/>
    <w:rsid w:val="00E44430"/>
    <w:rsid w:val="00E50FC7"/>
    <w:rsid w:val="00E620CF"/>
    <w:rsid w:val="00E74CF9"/>
    <w:rsid w:val="00E92C51"/>
    <w:rsid w:val="00EA79DE"/>
    <w:rsid w:val="00ED7E31"/>
    <w:rsid w:val="00F254CF"/>
    <w:rsid w:val="00F44074"/>
    <w:rsid w:val="00F55A1F"/>
    <w:rsid w:val="00F56A71"/>
    <w:rsid w:val="00F73763"/>
    <w:rsid w:val="00F751BB"/>
    <w:rsid w:val="00F833C5"/>
    <w:rsid w:val="00FA0924"/>
    <w:rsid w:val="00FA7013"/>
    <w:rsid w:val="00FB3AB3"/>
    <w:rsid w:val="00FE14EE"/>
    <w:rsid w:val="00FE2F1A"/>
    <w:rsid w:val="00FF1BDC"/>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3"/>
    <o:shapelayout v:ext="edit">
      <o:idmap v:ext="edit" data="1"/>
    </o:shapelayout>
  </w:shapeDefaults>
  <w:decimalSymbol w:val="."/>
  <w:listSeparator w:val=","/>
  <w14:docId w14:val="3828C1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402555">
      <w:bodyDiv w:val="1"/>
      <w:marLeft w:val="0"/>
      <w:marRight w:val="0"/>
      <w:marTop w:val="0"/>
      <w:marBottom w:val="0"/>
      <w:divBdr>
        <w:top w:val="none" w:sz="0" w:space="0" w:color="auto"/>
        <w:left w:val="none" w:sz="0" w:space="0" w:color="auto"/>
        <w:bottom w:val="none" w:sz="0" w:space="0" w:color="auto"/>
        <w:right w:val="none" w:sz="0" w:space="0" w:color="auto"/>
      </w:divBdr>
    </w:div>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1698</Words>
  <Characters>8388</Characters>
  <Application>Microsoft Office Word</Application>
  <DocSecurity>0</DocSecurity>
  <Lines>69</Lines>
  <Paragraphs>20</Paragraphs>
  <ScaleCrop>false</ScaleCrop>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2018-07-12T10:52:00Z</dcterms:created>
  <dcterms:modified xsi:type="dcterms:W3CDTF">2018-07-12T10:52:00Z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