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94CF0" w:rsidP="00C321B5">
      <w:pPr>
        <w:jc w:val="center"/>
        <w:rPr>
          <w:rFonts w:ascii="Book Antiqua" w:hAnsi="Book Antiqua" w:cs="Arial"/>
          <w:sz w:val="16"/>
          <w:szCs w:val="16"/>
        </w:rPr>
      </w:pPr>
      <w:r w:rsidRPr="007B347D">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33303">
        <w:rPr>
          <w:rFonts w:ascii="Book Antiqua" w:hAnsi="Book Antiqua" w:cs="Arial"/>
          <w:b/>
        </w:rPr>
        <w:t xml:space="preserve">   </w:t>
      </w:r>
      <w:proofErr w:type="gramEnd"/>
      <w:r w:rsidR="00C33303">
        <w:rPr>
          <w:rFonts w:ascii="Book Antiqua" w:hAnsi="Book Antiqua" w:cs="Arial"/>
          <w:b/>
        </w:rPr>
        <w:t xml:space="preserve">                  </w:t>
      </w:r>
      <w:r w:rsidR="00B3524D" w:rsidRPr="00E91953">
        <w:rPr>
          <w:rFonts w:ascii="Book Antiqua" w:hAnsi="Book Antiqua" w:cs="Arial"/>
          <w:b/>
        </w:rPr>
        <w:t>Appeal Number</w:t>
      </w:r>
      <w:r w:rsidR="00D53769" w:rsidRPr="00E91953">
        <w:rPr>
          <w:rFonts w:ascii="Book Antiqua" w:hAnsi="Book Antiqua" w:cs="Arial"/>
          <w:b/>
        </w:rPr>
        <w:t>:</w:t>
      </w:r>
      <w:r w:rsidR="00B3524D" w:rsidRPr="00F5664C">
        <w:rPr>
          <w:rFonts w:ascii="Book Antiqua" w:hAnsi="Book Antiqua" w:cs="Arial"/>
        </w:rPr>
        <w:t xml:space="preserve"> </w:t>
      </w:r>
      <w:r w:rsidR="00E91953">
        <w:rPr>
          <w:rFonts w:ascii="Book Antiqua" w:hAnsi="Book Antiqua"/>
          <w:b/>
        </w:rPr>
        <w:t>PA/</w:t>
      </w:r>
      <w:r w:rsidR="004809E6">
        <w:rPr>
          <w:rFonts w:ascii="Book Antiqua" w:hAnsi="Book Antiqua"/>
          <w:b/>
        </w:rPr>
        <w:t>11586</w:t>
      </w:r>
      <w:r w:rsidR="00E91953">
        <w:rPr>
          <w:rFonts w:ascii="Book Antiqua" w:hAnsi="Book Antiqua"/>
          <w:b/>
        </w:rPr>
        <w:t>/201</w:t>
      </w:r>
      <w:r w:rsidR="004809E6">
        <w:rPr>
          <w:rFonts w:ascii="Book Antiqua" w:hAnsi="Book Antiqua"/>
          <w:b/>
        </w:rPr>
        <w:t>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84467" w:rsidTr="00C33303">
        <w:tc>
          <w:tcPr>
            <w:tcW w:w="5103"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E91953">
              <w:rPr>
                <w:rFonts w:ascii="Book Antiqua" w:hAnsi="Book Antiqua" w:cs="Arial"/>
                <w:b/>
              </w:rPr>
              <w:t>Manchester CJC</w:t>
            </w:r>
          </w:p>
        </w:tc>
        <w:tc>
          <w:tcPr>
            <w:tcW w:w="4535" w:type="dxa"/>
            <w:shd w:val="clear" w:color="auto" w:fill="auto"/>
          </w:tcPr>
          <w:p w:rsidR="00D22636" w:rsidRPr="00384467" w:rsidRDefault="00C33303"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rsidTr="00C33303">
        <w:tc>
          <w:tcPr>
            <w:tcW w:w="5103"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On </w:t>
            </w:r>
            <w:r w:rsidR="00E91953">
              <w:rPr>
                <w:rFonts w:ascii="Book Antiqua" w:hAnsi="Book Antiqua" w:cs="Arial"/>
                <w:b/>
              </w:rPr>
              <w:t xml:space="preserve">March </w:t>
            </w:r>
            <w:r w:rsidR="00620B80">
              <w:rPr>
                <w:rFonts w:ascii="Book Antiqua" w:hAnsi="Book Antiqua" w:cs="Arial"/>
                <w:b/>
              </w:rPr>
              <w:t>5</w:t>
            </w:r>
            <w:r w:rsidR="00A91420">
              <w:rPr>
                <w:rFonts w:ascii="Book Antiqua" w:hAnsi="Book Antiqua" w:cs="Arial"/>
                <w:b/>
              </w:rPr>
              <w:t>, 2019</w:t>
            </w:r>
          </w:p>
        </w:tc>
        <w:tc>
          <w:tcPr>
            <w:tcW w:w="4535" w:type="dxa"/>
            <w:shd w:val="clear" w:color="auto" w:fill="auto"/>
          </w:tcPr>
          <w:p w:rsidR="00D22636" w:rsidRPr="00384467" w:rsidRDefault="00C33303" w:rsidP="00384467">
            <w:pPr>
              <w:jc w:val="both"/>
              <w:rPr>
                <w:rFonts w:ascii="Book Antiqua" w:hAnsi="Book Antiqua" w:cs="Arial"/>
                <w:b/>
              </w:rPr>
            </w:pPr>
            <w:r>
              <w:rPr>
                <w:rFonts w:ascii="Book Antiqua" w:hAnsi="Book Antiqua" w:cs="Arial"/>
                <w:b/>
              </w:rPr>
              <w:t xml:space="preserve"> </w:t>
            </w:r>
            <w:r w:rsidR="00B94CF0">
              <w:rPr>
                <w:rFonts w:ascii="Book Antiqua" w:hAnsi="Book Antiqua" w:cs="Arial"/>
                <w:b/>
              </w:rPr>
              <w:t>On March 8, 2019</w:t>
            </w:r>
          </w:p>
        </w:tc>
      </w:tr>
      <w:tr w:rsidR="00D22636" w:rsidRPr="00384467" w:rsidTr="00C33303">
        <w:tc>
          <w:tcPr>
            <w:tcW w:w="5103" w:type="dxa"/>
            <w:shd w:val="clear" w:color="auto" w:fill="auto"/>
          </w:tcPr>
          <w:p w:rsidR="00D22636" w:rsidRPr="00384467" w:rsidRDefault="00D22636" w:rsidP="00384467">
            <w:pPr>
              <w:jc w:val="both"/>
              <w:rPr>
                <w:rFonts w:ascii="Book Antiqua" w:hAnsi="Book Antiqua" w:cs="Arial"/>
                <w:b/>
              </w:rPr>
            </w:pPr>
          </w:p>
        </w:tc>
        <w:tc>
          <w:tcPr>
            <w:tcW w:w="4535" w:type="dxa"/>
            <w:shd w:val="clear" w:color="auto" w:fill="auto"/>
          </w:tcPr>
          <w:p w:rsidR="00D22636" w:rsidRPr="00384467" w:rsidRDefault="00D22636" w:rsidP="0038446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Default="000A32A2" w:rsidP="004D2A6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A154D5">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Pr="00F5664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620B80" w:rsidRDefault="00620B80" w:rsidP="00620B80">
      <w:pPr>
        <w:jc w:val="center"/>
        <w:rPr>
          <w:rFonts w:ascii="Book Antiqua" w:hAnsi="Book Antiqua" w:cs="Arial"/>
          <w:b/>
          <w:caps/>
        </w:rPr>
      </w:pPr>
      <w:r>
        <w:rPr>
          <w:rFonts w:ascii="Book Antiqua" w:hAnsi="Book Antiqua" w:cs="Arial"/>
          <w:b/>
          <w:caps/>
        </w:rPr>
        <w:t xml:space="preserve">MR </w:t>
      </w:r>
      <w:r w:rsidR="004809E6">
        <w:rPr>
          <w:rFonts w:ascii="Book Antiqua" w:hAnsi="Book Antiqua" w:cs="Arial"/>
          <w:b/>
          <w:caps/>
        </w:rPr>
        <w:t>DOGA GORKEM BILENGOLU</w:t>
      </w:r>
    </w:p>
    <w:p w:rsidR="008E5A03" w:rsidRPr="00C33303" w:rsidRDefault="00620B80" w:rsidP="00620B80">
      <w:pPr>
        <w:jc w:val="center"/>
        <w:rPr>
          <w:rFonts w:ascii="Book Antiqua" w:hAnsi="Book Antiqua" w:cs="Arial"/>
        </w:rPr>
      </w:pPr>
      <w:r w:rsidRPr="00C33303">
        <w:rPr>
          <w:rFonts w:ascii="Book Antiqua" w:hAnsi="Book Antiqua" w:cs="Arial"/>
          <w:caps/>
        </w:rPr>
        <w:t>(ANONYMITY DIRECTION NOT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8E5A03" w:rsidRPr="00620B80" w:rsidRDefault="00620B80" w:rsidP="00620B80">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8E5A03" w:rsidRPr="00F5664C" w:rsidRDefault="00DE7DB7" w:rsidP="008E5A03">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20B80">
        <w:rPr>
          <w:rFonts w:ascii="Book Antiqua" w:hAnsi="Book Antiqua" w:cs="Arial"/>
        </w:rPr>
        <w:t xml:space="preserve">Mr </w:t>
      </w:r>
      <w:proofErr w:type="spellStart"/>
      <w:r w:rsidR="004809E6">
        <w:rPr>
          <w:rFonts w:ascii="Book Antiqua" w:hAnsi="Book Antiqua" w:cs="Arial"/>
        </w:rPr>
        <w:t>Harkhurst</w:t>
      </w:r>
      <w:proofErr w:type="spellEnd"/>
      <w:r w:rsidR="00620B80">
        <w:rPr>
          <w:rFonts w:ascii="Book Antiqua" w:hAnsi="Book Antiqua" w:cs="Arial"/>
        </w:rPr>
        <w:t xml:space="preserve">, </w:t>
      </w:r>
      <w:r w:rsidR="007B1637">
        <w:rPr>
          <w:rFonts w:ascii="Book Antiqua" w:hAnsi="Book Antiqua" w:cs="Arial"/>
        </w:rPr>
        <w:t>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20B80">
        <w:rPr>
          <w:rFonts w:ascii="Book Antiqua" w:hAnsi="Book Antiqua" w:cs="Arial"/>
        </w:rPr>
        <w:t>Mr Tan,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Default="00402B9E" w:rsidP="00402B9E">
      <w:pPr>
        <w:tabs>
          <w:tab w:val="left" w:pos="2520"/>
        </w:tabs>
        <w:jc w:val="center"/>
        <w:rPr>
          <w:rFonts w:ascii="Book Antiqua" w:hAnsi="Book Antiqua" w:cs="Arial"/>
          <w:b/>
          <w:u w:val="single"/>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7B1637" w:rsidRPr="00F5664C" w:rsidRDefault="007B1637" w:rsidP="00402B9E">
      <w:pPr>
        <w:tabs>
          <w:tab w:val="left" w:pos="2520"/>
        </w:tabs>
        <w:jc w:val="center"/>
        <w:rPr>
          <w:rFonts w:ascii="Book Antiqua" w:hAnsi="Book Antiqua" w:cs="Arial"/>
        </w:rPr>
      </w:pPr>
    </w:p>
    <w:p w:rsidR="004809E6" w:rsidRDefault="004809E6" w:rsidP="004809E6">
      <w:pPr>
        <w:widowControl w:val="0"/>
        <w:numPr>
          <w:ilvl w:val="0"/>
          <w:numId w:val="3"/>
        </w:numPr>
        <w:rPr>
          <w:rFonts w:ascii="Book Antiqua" w:hAnsi="Book Antiqua"/>
        </w:rPr>
      </w:pPr>
      <w:r>
        <w:rPr>
          <w:rFonts w:ascii="Book Antiqua" w:hAnsi="Book Antiqua"/>
        </w:rPr>
        <w:t>The appellant</w:t>
      </w:r>
      <w:r w:rsidR="00EB133F">
        <w:rPr>
          <w:rFonts w:ascii="Book Antiqua" w:hAnsi="Book Antiqua"/>
        </w:rPr>
        <w:t>, a Turkish national,</w:t>
      </w:r>
      <w:r>
        <w:rPr>
          <w:rFonts w:ascii="Book Antiqua" w:hAnsi="Book Antiqua"/>
        </w:rPr>
        <w:t xml:space="preserve"> entered the United Kingdom with his wife and son on a tourist visa on February 5, 2018. He claimed asylum on political grounds on April 10, 2018. The respondent refused his application on September 18, 2019 under paragraphs 336 and 339M/339F HC 395.</w:t>
      </w:r>
    </w:p>
    <w:p w:rsidR="004809E6" w:rsidRDefault="004809E6" w:rsidP="004809E6">
      <w:pPr>
        <w:ind w:left="567"/>
        <w:rPr>
          <w:rFonts w:ascii="Book Antiqua" w:hAnsi="Book Antiqua"/>
        </w:rPr>
      </w:pPr>
    </w:p>
    <w:p w:rsidR="004809E6" w:rsidRDefault="004809E6" w:rsidP="004809E6">
      <w:pPr>
        <w:widowControl w:val="0"/>
        <w:numPr>
          <w:ilvl w:val="0"/>
          <w:numId w:val="3"/>
        </w:numPr>
        <w:rPr>
          <w:rFonts w:ascii="Book Antiqua" w:hAnsi="Book Antiqua"/>
        </w:rPr>
      </w:pPr>
      <w:r>
        <w:rPr>
          <w:rFonts w:ascii="Book Antiqua" w:hAnsi="Book Antiqua"/>
        </w:rPr>
        <w:t xml:space="preserve">The appellant appealed that decision on October 2, 2018 under section 82(1) of the Nationality, Immigration and Asylum Act 2002. </w:t>
      </w:r>
    </w:p>
    <w:p w:rsidR="004809E6" w:rsidRDefault="004809E6" w:rsidP="004809E6">
      <w:pPr>
        <w:pStyle w:val="ListParagraph"/>
        <w:rPr>
          <w:rFonts w:ascii="Book Antiqua" w:hAnsi="Book Antiqua"/>
          <w:sz w:val="24"/>
        </w:rPr>
      </w:pPr>
    </w:p>
    <w:p w:rsidR="004809E6" w:rsidRDefault="004809E6" w:rsidP="004809E6">
      <w:pPr>
        <w:widowControl w:val="0"/>
        <w:numPr>
          <w:ilvl w:val="0"/>
          <w:numId w:val="3"/>
        </w:numPr>
        <w:rPr>
          <w:rFonts w:ascii="Book Antiqua" w:hAnsi="Book Antiqua"/>
        </w:rPr>
      </w:pPr>
      <w:r>
        <w:rPr>
          <w:rFonts w:ascii="Book Antiqua" w:hAnsi="Book Antiqua"/>
        </w:rPr>
        <w:t xml:space="preserve">His appeal was heard by Judge of the First-tier Tribunal SJ Clarke on October 31, 2018 and in a decision promulgated on November 22, 2018 the Judge dismissed the appellant’s appeal on all grounds. </w:t>
      </w:r>
    </w:p>
    <w:p w:rsidR="004809E6" w:rsidRDefault="004809E6" w:rsidP="004809E6">
      <w:pPr>
        <w:pStyle w:val="ListParagraph"/>
        <w:rPr>
          <w:rFonts w:ascii="Book Antiqua" w:hAnsi="Book Antiqua"/>
          <w:sz w:val="24"/>
        </w:rPr>
      </w:pPr>
    </w:p>
    <w:p w:rsidR="004809E6" w:rsidRDefault="004809E6" w:rsidP="004809E6">
      <w:pPr>
        <w:widowControl w:val="0"/>
        <w:numPr>
          <w:ilvl w:val="0"/>
          <w:numId w:val="3"/>
        </w:numPr>
        <w:rPr>
          <w:rFonts w:ascii="Book Antiqua" w:hAnsi="Book Antiqua"/>
        </w:rPr>
      </w:pPr>
      <w:r>
        <w:rPr>
          <w:rFonts w:ascii="Book Antiqua" w:hAnsi="Book Antiqua"/>
        </w:rPr>
        <w:t xml:space="preserve">Grounds of appeal were lodged on December 6, 2018 in which it was argued that the Judge had materially erred in the assessment of whether the appellant had a significant political profile and whether the appellant would be viewed as a draft evader. </w:t>
      </w:r>
    </w:p>
    <w:p w:rsidR="004809E6" w:rsidRDefault="004809E6" w:rsidP="004809E6">
      <w:pPr>
        <w:pStyle w:val="ListParagraph"/>
        <w:rPr>
          <w:rFonts w:ascii="Book Antiqua" w:hAnsi="Book Antiqua"/>
          <w:sz w:val="24"/>
        </w:rPr>
      </w:pPr>
    </w:p>
    <w:p w:rsidR="004809E6" w:rsidRDefault="004809E6" w:rsidP="004809E6">
      <w:pPr>
        <w:widowControl w:val="0"/>
        <w:numPr>
          <w:ilvl w:val="0"/>
          <w:numId w:val="3"/>
        </w:numPr>
        <w:rPr>
          <w:rFonts w:ascii="Book Antiqua" w:hAnsi="Book Antiqua"/>
        </w:rPr>
      </w:pPr>
      <w:r>
        <w:rPr>
          <w:rFonts w:ascii="Book Antiqua" w:hAnsi="Book Antiqua"/>
        </w:rPr>
        <w:t xml:space="preserve">Permission to appeal was granted by Judge of the First-tier Tribunal Parkes on January 3, 2019. </w:t>
      </w:r>
    </w:p>
    <w:p w:rsidR="004809E6" w:rsidRDefault="004809E6" w:rsidP="004809E6">
      <w:pPr>
        <w:pStyle w:val="ListParagraph"/>
        <w:rPr>
          <w:rFonts w:ascii="Book Antiqua" w:hAnsi="Book Antiqua"/>
          <w:sz w:val="24"/>
        </w:rPr>
      </w:pPr>
    </w:p>
    <w:p w:rsidR="00D1102F" w:rsidRDefault="004809E6" w:rsidP="004809E6">
      <w:pPr>
        <w:widowControl w:val="0"/>
        <w:numPr>
          <w:ilvl w:val="0"/>
          <w:numId w:val="3"/>
        </w:numPr>
        <w:rPr>
          <w:rFonts w:ascii="Book Antiqua" w:hAnsi="Book Antiqua"/>
        </w:rPr>
      </w:pPr>
      <w:r>
        <w:rPr>
          <w:rFonts w:ascii="Book Antiqua" w:hAnsi="Book Antiqua"/>
        </w:rPr>
        <w:t>No anonymity order is made.</w:t>
      </w:r>
    </w:p>
    <w:p w:rsidR="00527F99" w:rsidRPr="00527F99" w:rsidRDefault="000B6C45" w:rsidP="00527F99">
      <w:pPr>
        <w:spacing w:before="240"/>
        <w:ind w:firstLine="567"/>
        <w:jc w:val="both"/>
        <w:rPr>
          <w:rFonts w:ascii="Book Antiqua" w:hAnsi="Book Antiqua" w:cs="Arial"/>
          <w:b/>
          <w:u w:val="single"/>
        </w:rPr>
      </w:pPr>
      <w:r>
        <w:rPr>
          <w:rFonts w:ascii="Book Antiqua" w:hAnsi="Book Antiqua" w:cs="Arial"/>
          <w:b/>
          <w:u w:val="single"/>
        </w:rPr>
        <w:t>SUBMISSION</w:t>
      </w:r>
      <w:r w:rsidR="00527F99">
        <w:rPr>
          <w:rFonts w:ascii="Book Antiqua" w:hAnsi="Book Antiqua" w:cs="Arial"/>
          <w:b/>
          <w:u w:val="single"/>
        </w:rPr>
        <w:t>S</w:t>
      </w:r>
    </w:p>
    <w:p w:rsidR="004809E6" w:rsidRPr="00F73986" w:rsidRDefault="004809E6" w:rsidP="004809E6">
      <w:pPr>
        <w:numPr>
          <w:ilvl w:val="0"/>
          <w:numId w:val="3"/>
        </w:numPr>
        <w:spacing w:before="240"/>
        <w:jc w:val="both"/>
        <w:rPr>
          <w:rFonts w:ascii="Book Antiqua" w:hAnsi="Book Antiqua" w:cs="Arial"/>
        </w:rPr>
      </w:pPr>
      <w:r>
        <w:rPr>
          <w:rFonts w:ascii="Book Antiqua" w:hAnsi="Book Antiqua"/>
        </w:rPr>
        <w:t xml:space="preserve">Mr Hawkhurst adopted the grounds of appeal and submitted the Judge’s decision lacked consistent reasoning or any adequate reasoning. He invited the Tribunal to examine paragraph 14 where the Judge accepted the appellant was kicked and beaten but did not view this as torture. The appellant had been detained on five occasions and he submitted the fact he was part of a demonstration meant he was liable to be detained. On the issue of draft </w:t>
      </w:r>
      <w:proofErr w:type="gramStart"/>
      <w:r>
        <w:rPr>
          <w:rFonts w:ascii="Book Antiqua" w:hAnsi="Book Antiqua"/>
        </w:rPr>
        <w:t>evasion</w:t>
      </w:r>
      <w:proofErr w:type="gramEnd"/>
      <w:r>
        <w:rPr>
          <w:rFonts w:ascii="Book Antiqua" w:hAnsi="Book Antiqua"/>
        </w:rPr>
        <w:t xml:space="preserve"> the Judge found he could have paid the exemption fee but the Judge overlooked the fact he had no income and would be unable to do so. </w:t>
      </w:r>
    </w:p>
    <w:p w:rsidR="004809E6" w:rsidRPr="004809E6" w:rsidRDefault="004809E6" w:rsidP="003C5363">
      <w:pPr>
        <w:numPr>
          <w:ilvl w:val="0"/>
          <w:numId w:val="3"/>
        </w:numPr>
        <w:spacing w:before="240"/>
        <w:jc w:val="both"/>
        <w:rPr>
          <w:rFonts w:ascii="Book Antiqua" w:hAnsi="Book Antiqua" w:cs="Arial"/>
        </w:rPr>
      </w:pPr>
      <w:r>
        <w:rPr>
          <w:rFonts w:ascii="Book Antiqua" w:hAnsi="Book Antiqua" w:cs="Arial"/>
        </w:rPr>
        <w:t xml:space="preserve">Mr Tan opposed the application. </w:t>
      </w:r>
      <w:r>
        <w:rPr>
          <w:rFonts w:ascii="Book Antiqua" w:hAnsi="Book Antiqua"/>
        </w:rPr>
        <w:t xml:space="preserve">Whilst the Judge accepted the appellant had </w:t>
      </w:r>
      <w:proofErr w:type="gramStart"/>
      <w:r>
        <w:rPr>
          <w:rFonts w:ascii="Book Antiqua" w:hAnsi="Book Antiqua"/>
        </w:rPr>
        <w:t>a number of</w:t>
      </w:r>
      <w:proofErr w:type="gramEnd"/>
      <w:r>
        <w:rPr>
          <w:rFonts w:ascii="Book Antiqua" w:hAnsi="Book Antiqua"/>
        </w:rPr>
        <w:t xml:space="preserve"> run ins with the authorities he submitted that as he had been released within 24 hours the authorities did not retain any interest in him because if they did then he would not have been released so quickly and in any event not all of his detentions contained a political element. The Judge went on to consider the risk on return from paragraph 25 onwards. If the appellant did not have “risk” profile then there was no reason why the authorities would take any interest in him were he to be returned.</w:t>
      </w:r>
    </w:p>
    <w:p w:rsidR="00BD63A5" w:rsidRPr="00F73986" w:rsidRDefault="004809E6" w:rsidP="003C5363">
      <w:pPr>
        <w:numPr>
          <w:ilvl w:val="0"/>
          <w:numId w:val="3"/>
        </w:numPr>
        <w:spacing w:before="240"/>
        <w:jc w:val="both"/>
        <w:rPr>
          <w:rFonts w:ascii="Book Antiqua" w:hAnsi="Book Antiqua" w:cs="Arial"/>
        </w:rPr>
      </w:pPr>
      <w:proofErr w:type="gramStart"/>
      <w:r>
        <w:rPr>
          <w:rFonts w:ascii="Book Antiqua" w:hAnsi="Book Antiqua"/>
        </w:rPr>
        <w:t>With regard to</w:t>
      </w:r>
      <w:proofErr w:type="gramEnd"/>
      <w:r>
        <w:rPr>
          <w:rFonts w:ascii="Book Antiqua" w:hAnsi="Book Antiqua"/>
        </w:rPr>
        <w:t xml:space="preserve"> the issue of d</w:t>
      </w:r>
      <w:r w:rsidRPr="00194A50">
        <w:rPr>
          <w:rFonts w:ascii="Book Antiqua" w:hAnsi="Book Antiqua"/>
        </w:rPr>
        <w:t xml:space="preserve">raft evasion </w:t>
      </w:r>
      <w:r>
        <w:rPr>
          <w:rFonts w:ascii="Book Antiqua" w:hAnsi="Book Antiqua"/>
        </w:rPr>
        <w:t xml:space="preserve">he submitted the Judge dealt with this in paragraphs </w:t>
      </w:r>
      <w:r w:rsidRPr="00194A50">
        <w:rPr>
          <w:rFonts w:ascii="Book Antiqua" w:hAnsi="Book Antiqua"/>
        </w:rPr>
        <w:t>15</w:t>
      </w:r>
      <w:r>
        <w:rPr>
          <w:rFonts w:ascii="Book Antiqua" w:hAnsi="Book Antiqua"/>
        </w:rPr>
        <w:t xml:space="preserve">, </w:t>
      </w:r>
      <w:r w:rsidRPr="00194A50">
        <w:rPr>
          <w:rFonts w:ascii="Book Antiqua" w:hAnsi="Book Antiqua"/>
        </w:rPr>
        <w:t xml:space="preserve">17 and 21 </w:t>
      </w:r>
      <w:r>
        <w:rPr>
          <w:rFonts w:ascii="Book Antiqua" w:hAnsi="Book Antiqua"/>
        </w:rPr>
        <w:t xml:space="preserve">of the decision. The Judge found the appellant had previously </w:t>
      </w:r>
      <w:r w:rsidRPr="00194A50">
        <w:rPr>
          <w:rFonts w:ascii="Book Antiqua" w:hAnsi="Book Antiqua"/>
        </w:rPr>
        <w:t>sourced finances and ha</w:t>
      </w:r>
      <w:r>
        <w:rPr>
          <w:rFonts w:ascii="Book Antiqua" w:hAnsi="Book Antiqua"/>
        </w:rPr>
        <w:t>d</w:t>
      </w:r>
      <w:r w:rsidRPr="00194A50">
        <w:rPr>
          <w:rFonts w:ascii="Book Antiqua" w:hAnsi="Book Antiqua"/>
        </w:rPr>
        <w:t xml:space="preserve"> access to </w:t>
      </w:r>
      <w:r>
        <w:rPr>
          <w:rFonts w:ascii="Book Antiqua" w:hAnsi="Book Antiqua"/>
        </w:rPr>
        <w:t xml:space="preserve">support in the United Kingdom and given the </w:t>
      </w:r>
      <w:r w:rsidRPr="00194A50">
        <w:rPr>
          <w:rFonts w:ascii="Book Antiqua" w:hAnsi="Book Antiqua"/>
        </w:rPr>
        <w:t xml:space="preserve">level of payment </w:t>
      </w:r>
      <w:r>
        <w:rPr>
          <w:rFonts w:ascii="Book Antiqua" w:hAnsi="Book Antiqua"/>
        </w:rPr>
        <w:t>wa</w:t>
      </w:r>
      <w:r w:rsidRPr="00194A50">
        <w:rPr>
          <w:rFonts w:ascii="Book Antiqua" w:hAnsi="Book Antiqua"/>
        </w:rPr>
        <w:t xml:space="preserve">s low </w:t>
      </w:r>
      <w:r>
        <w:rPr>
          <w:rFonts w:ascii="Book Antiqua" w:hAnsi="Book Antiqua"/>
        </w:rPr>
        <w:t xml:space="preserve">Mr Tan submitted the Judge’s </w:t>
      </w:r>
      <w:r w:rsidRPr="00194A50">
        <w:rPr>
          <w:rFonts w:ascii="Book Antiqua" w:hAnsi="Book Antiqua"/>
        </w:rPr>
        <w:t xml:space="preserve">findings </w:t>
      </w:r>
      <w:r>
        <w:rPr>
          <w:rFonts w:ascii="Book Antiqua" w:hAnsi="Book Antiqua"/>
        </w:rPr>
        <w:t xml:space="preserve">were </w:t>
      </w:r>
      <w:r w:rsidRPr="00194A50">
        <w:rPr>
          <w:rFonts w:ascii="Book Antiqua" w:hAnsi="Book Antiqua"/>
        </w:rPr>
        <w:t>open to him</w:t>
      </w:r>
      <w:r>
        <w:rPr>
          <w:rFonts w:ascii="Book Antiqua" w:hAnsi="Book Antiqua"/>
        </w:rPr>
        <w:t>/her</w:t>
      </w:r>
      <w:r w:rsidRPr="00194A50">
        <w:rPr>
          <w:rFonts w:ascii="Book Antiqua" w:hAnsi="Book Antiqua"/>
        </w:rPr>
        <w:t xml:space="preserve">. </w:t>
      </w:r>
    </w:p>
    <w:p w:rsidR="000B6C45" w:rsidRDefault="00082381" w:rsidP="000B6C45">
      <w:pPr>
        <w:numPr>
          <w:ilvl w:val="0"/>
          <w:numId w:val="3"/>
        </w:numPr>
        <w:spacing w:before="240"/>
        <w:jc w:val="both"/>
        <w:rPr>
          <w:rFonts w:ascii="Book Antiqua" w:hAnsi="Book Antiqua" w:cs="Arial"/>
        </w:rPr>
      </w:pPr>
      <w:r>
        <w:rPr>
          <w:rFonts w:ascii="Book Antiqua" w:hAnsi="Book Antiqua" w:cs="Arial"/>
        </w:rPr>
        <w:t xml:space="preserve">I reserved my decision. </w:t>
      </w:r>
    </w:p>
    <w:p w:rsidR="00527F99" w:rsidRPr="00527F99" w:rsidRDefault="00527F99" w:rsidP="00527F99">
      <w:pPr>
        <w:spacing w:before="240"/>
        <w:ind w:left="567"/>
        <w:jc w:val="both"/>
        <w:rPr>
          <w:rFonts w:ascii="Book Antiqua" w:hAnsi="Book Antiqua" w:cs="Arial"/>
          <w:b/>
          <w:u w:val="single"/>
        </w:rPr>
      </w:pPr>
      <w:r w:rsidRPr="00527F99">
        <w:rPr>
          <w:rFonts w:ascii="Book Antiqua" w:hAnsi="Book Antiqua" w:cs="Arial"/>
          <w:b/>
          <w:u w:val="single"/>
        </w:rPr>
        <w:t>FINDINGS</w:t>
      </w:r>
    </w:p>
    <w:p w:rsidR="007B59E6" w:rsidRDefault="00EB133F" w:rsidP="00911478">
      <w:pPr>
        <w:numPr>
          <w:ilvl w:val="0"/>
          <w:numId w:val="3"/>
        </w:numPr>
        <w:spacing w:before="240"/>
        <w:jc w:val="both"/>
        <w:rPr>
          <w:rFonts w:ascii="Book Antiqua" w:hAnsi="Book Antiqua" w:cs="Arial"/>
        </w:rPr>
      </w:pPr>
      <w:r>
        <w:rPr>
          <w:rFonts w:ascii="Book Antiqua" w:hAnsi="Book Antiqua" w:cs="Arial"/>
        </w:rPr>
        <w:t xml:space="preserve">The appellant provided an account of being detained on five separate occasions. </w:t>
      </w:r>
      <w:r w:rsidR="008B5401">
        <w:rPr>
          <w:rFonts w:ascii="Book Antiqua" w:hAnsi="Book Antiqua" w:cs="Arial"/>
        </w:rPr>
        <w:t>None of those detentions led to a period in detention of more than 24 hours. The first two of his detentions were connected because having been arrested in May 20</w:t>
      </w:r>
      <w:r w:rsidR="00702EB7">
        <w:rPr>
          <w:rFonts w:ascii="Book Antiqua" w:hAnsi="Book Antiqua" w:cs="Arial"/>
        </w:rPr>
        <w:t>1</w:t>
      </w:r>
      <w:r w:rsidR="008B5401">
        <w:rPr>
          <w:rFonts w:ascii="Book Antiqua" w:hAnsi="Book Antiqua" w:cs="Arial"/>
        </w:rPr>
        <w:t xml:space="preserve">3 he was charged with three criminal offences and required to attend court. It seems he did not attend court and he was later detained in 2014 </w:t>
      </w:r>
      <w:r w:rsidR="00702EB7">
        <w:rPr>
          <w:rFonts w:ascii="Book Antiqua" w:hAnsi="Book Antiqua" w:cs="Arial"/>
        </w:rPr>
        <w:t xml:space="preserve">for none attendance </w:t>
      </w:r>
      <w:r w:rsidR="008B5401">
        <w:rPr>
          <w:rFonts w:ascii="Book Antiqua" w:hAnsi="Book Antiqua" w:cs="Arial"/>
        </w:rPr>
        <w:t xml:space="preserve">albeit he was released after 24 hours. The third incident concerned a dispute between himself and his landlord and he was questioned and detained for less than 24 hours. The fourth incident concerned him handing </w:t>
      </w:r>
      <w:proofErr w:type="spellStart"/>
      <w:r w:rsidR="008B5401">
        <w:rPr>
          <w:rFonts w:ascii="Book Antiqua" w:hAnsi="Book Antiqua" w:cs="Arial"/>
        </w:rPr>
        <w:t>our</w:t>
      </w:r>
      <w:proofErr w:type="spellEnd"/>
      <w:r w:rsidR="008B5401">
        <w:rPr>
          <w:rFonts w:ascii="Book Antiqua" w:hAnsi="Book Antiqua" w:cs="Arial"/>
        </w:rPr>
        <w:t xml:space="preserve"> leaflets and </w:t>
      </w:r>
      <w:r w:rsidR="007B59E6">
        <w:rPr>
          <w:rFonts w:ascii="Book Antiqua" w:hAnsi="Book Antiqua" w:cs="Arial"/>
        </w:rPr>
        <w:t>he was</w:t>
      </w:r>
      <w:r w:rsidR="008B5401">
        <w:rPr>
          <w:rFonts w:ascii="Book Antiqua" w:hAnsi="Book Antiqua" w:cs="Arial"/>
        </w:rPr>
        <w:t xml:space="preserve"> released. The final incident related to an argument he had with a policeman. </w:t>
      </w:r>
    </w:p>
    <w:p w:rsidR="007B59E6" w:rsidRDefault="008B5401" w:rsidP="00911478">
      <w:pPr>
        <w:numPr>
          <w:ilvl w:val="0"/>
          <w:numId w:val="3"/>
        </w:numPr>
        <w:spacing w:before="240"/>
        <w:jc w:val="both"/>
        <w:rPr>
          <w:rFonts w:ascii="Book Antiqua" w:hAnsi="Book Antiqua" w:cs="Arial"/>
        </w:rPr>
      </w:pPr>
      <w:r>
        <w:rPr>
          <w:rFonts w:ascii="Book Antiqua" w:hAnsi="Book Antiqua" w:cs="Arial"/>
        </w:rPr>
        <w:lastRenderedPageBreak/>
        <w:t xml:space="preserve">On the face of it two of the incidents had political overtones to them and it </w:t>
      </w:r>
      <w:r w:rsidR="007B59E6">
        <w:rPr>
          <w:rFonts w:ascii="Book Antiqua" w:hAnsi="Book Antiqua" w:cs="Arial"/>
        </w:rPr>
        <w:t>is just</w:t>
      </w:r>
      <w:r>
        <w:rPr>
          <w:rFonts w:ascii="Book Antiqua" w:hAnsi="Book Antiqua" w:cs="Arial"/>
        </w:rPr>
        <w:t xml:space="preserve"> arguable the incident with the landlord may also have had a political connection</w:t>
      </w:r>
      <w:r w:rsidR="007B59E6">
        <w:rPr>
          <w:rFonts w:ascii="Book Antiqua" w:hAnsi="Book Antiqua" w:cs="Arial"/>
        </w:rPr>
        <w:t xml:space="preserve"> due to the complaint lodged by the landlord.</w:t>
      </w:r>
      <w:r>
        <w:rPr>
          <w:rFonts w:ascii="Book Antiqua" w:hAnsi="Book Antiqua" w:cs="Arial"/>
        </w:rPr>
        <w:t xml:space="preserve"> </w:t>
      </w:r>
    </w:p>
    <w:p w:rsidR="00A66D4C" w:rsidRDefault="008B5401" w:rsidP="00911478">
      <w:pPr>
        <w:numPr>
          <w:ilvl w:val="0"/>
          <w:numId w:val="3"/>
        </w:numPr>
        <w:spacing w:before="240"/>
        <w:jc w:val="both"/>
        <w:rPr>
          <w:rFonts w:ascii="Book Antiqua" w:hAnsi="Book Antiqua" w:cs="Arial"/>
        </w:rPr>
      </w:pPr>
      <w:r>
        <w:rPr>
          <w:rFonts w:ascii="Book Antiqua" w:hAnsi="Book Antiqua" w:cs="Arial"/>
        </w:rPr>
        <w:t xml:space="preserve">The appellant stated he was beaten and kicked by the police </w:t>
      </w:r>
      <w:r w:rsidR="0055328B">
        <w:rPr>
          <w:rFonts w:ascii="Book Antiqua" w:hAnsi="Book Antiqua" w:cs="Arial"/>
        </w:rPr>
        <w:t xml:space="preserve">on some </w:t>
      </w:r>
      <w:r w:rsidR="007B59E6">
        <w:rPr>
          <w:rFonts w:ascii="Book Antiqua" w:hAnsi="Book Antiqua" w:cs="Arial"/>
        </w:rPr>
        <w:t xml:space="preserve">but not </w:t>
      </w:r>
      <w:proofErr w:type="gramStart"/>
      <w:r w:rsidR="007B59E6">
        <w:rPr>
          <w:rFonts w:ascii="Book Antiqua" w:hAnsi="Book Antiqua" w:cs="Arial"/>
        </w:rPr>
        <w:t xml:space="preserve">all </w:t>
      </w:r>
      <w:r w:rsidR="0055328B">
        <w:rPr>
          <w:rFonts w:ascii="Book Antiqua" w:hAnsi="Book Antiqua" w:cs="Arial"/>
        </w:rPr>
        <w:t>of the</w:t>
      </w:r>
      <w:r w:rsidR="007B59E6">
        <w:rPr>
          <w:rFonts w:ascii="Book Antiqua" w:hAnsi="Book Antiqua" w:cs="Arial"/>
        </w:rPr>
        <w:t>se</w:t>
      </w:r>
      <w:proofErr w:type="gramEnd"/>
      <w:r w:rsidR="0055328B">
        <w:rPr>
          <w:rFonts w:ascii="Book Antiqua" w:hAnsi="Book Antiqua" w:cs="Arial"/>
        </w:rPr>
        <w:t xml:space="preserve"> occasions. </w:t>
      </w:r>
    </w:p>
    <w:p w:rsidR="007B59E6" w:rsidRDefault="0055328B" w:rsidP="00911478">
      <w:pPr>
        <w:numPr>
          <w:ilvl w:val="0"/>
          <w:numId w:val="3"/>
        </w:numPr>
        <w:spacing w:before="240"/>
        <w:jc w:val="both"/>
        <w:rPr>
          <w:rFonts w:ascii="Book Antiqua" w:hAnsi="Book Antiqua" w:cs="Arial"/>
        </w:rPr>
      </w:pPr>
      <w:r>
        <w:rPr>
          <w:rFonts w:ascii="Book Antiqua" w:hAnsi="Book Antiqua" w:cs="Arial"/>
        </w:rPr>
        <w:t xml:space="preserve">The first ground of appeal challenged the Judge’s finding in paragraph 14. Mr </w:t>
      </w:r>
      <w:proofErr w:type="spellStart"/>
      <w:r>
        <w:rPr>
          <w:rFonts w:ascii="Book Antiqua" w:hAnsi="Book Antiqua" w:cs="Arial"/>
        </w:rPr>
        <w:t>Harkhurst</w:t>
      </w:r>
      <w:proofErr w:type="spellEnd"/>
      <w:r>
        <w:rPr>
          <w:rFonts w:ascii="Book Antiqua" w:hAnsi="Book Antiqua" w:cs="Arial"/>
        </w:rPr>
        <w:t xml:space="preserve"> argued that the treatment </w:t>
      </w:r>
      <w:r w:rsidR="007B59E6">
        <w:rPr>
          <w:rFonts w:ascii="Book Antiqua" w:hAnsi="Book Antiqua" w:cs="Arial"/>
        </w:rPr>
        <w:t>the appellant</w:t>
      </w:r>
      <w:r>
        <w:rPr>
          <w:rFonts w:ascii="Book Antiqua" w:hAnsi="Book Antiqua" w:cs="Arial"/>
        </w:rPr>
        <w:t xml:space="preserve"> received amounted to torture but having read the interview record I am satisfied that the Judge’s description of the appellant’s claim was correct. The appellant </w:t>
      </w:r>
      <w:r w:rsidR="007B59E6">
        <w:rPr>
          <w:rFonts w:ascii="Book Antiqua" w:hAnsi="Book Antiqua" w:cs="Arial"/>
        </w:rPr>
        <w:t xml:space="preserve">never claimed </w:t>
      </w:r>
      <w:r>
        <w:rPr>
          <w:rFonts w:ascii="Book Antiqua" w:hAnsi="Book Antiqua" w:cs="Arial"/>
        </w:rPr>
        <w:t xml:space="preserve">he was tortured but claimed the police mistreated him on occasions. </w:t>
      </w:r>
    </w:p>
    <w:p w:rsidR="007B59E6" w:rsidRDefault="0055328B" w:rsidP="00911478">
      <w:pPr>
        <w:numPr>
          <w:ilvl w:val="0"/>
          <w:numId w:val="3"/>
        </w:numPr>
        <w:spacing w:before="240"/>
        <w:jc w:val="both"/>
        <w:rPr>
          <w:rFonts w:ascii="Book Antiqua" w:hAnsi="Book Antiqua" w:cs="Arial"/>
        </w:rPr>
      </w:pPr>
      <w:r>
        <w:rPr>
          <w:rFonts w:ascii="Book Antiqua" w:hAnsi="Book Antiqua" w:cs="Arial"/>
        </w:rPr>
        <w:t xml:space="preserve">In his own interview, he accepted he was at best a low-level supporter of HDP. This </w:t>
      </w:r>
      <w:r w:rsidR="007B59E6">
        <w:rPr>
          <w:rFonts w:ascii="Book Antiqua" w:hAnsi="Book Antiqua" w:cs="Arial"/>
        </w:rPr>
        <w:t xml:space="preserve">first </w:t>
      </w:r>
      <w:r>
        <w:rPr>
          <w:rFonts w:ascii="Book Antiqua" w:hAnsi="Book Antiqua" w:cs="Arial"/>
        </w:rPr>
        <w:t xml:space="preserve">ground of appeal is misleading as the grounds </w:t>
      </w:r>
      <w:r w:rsidR="007B59E6">
        <w:rPr>
          <w:rFonts w:ascii="Book Antiqua" w:hAnsi="Book Antiqua" w:cs="Arial"/>
        </w:rPr>
        <w:t>gave the impression all his arrests were politically motivated</w:t>
      </w:r>
      <w:r>
        <w:rPr>
          <w:rFonts w:ascii="Book Antiqua" w:hAnsi="Book Antiqua" w:cs="Arial"/>
        </w:rPr>
        <w:t xml:space="preserve">. This was not the case. </w:t>
      </w:r>
    </w:p>
    <w:p w:rsidR="007B59E6" w:rsidRDefault="0055328B" w:rsidP="00911478">
      <w:pPr>
        <w:numPr>
          <w:ilvl w:val="0"/>
          <w:numId w:val="3"/>
        </w:numPr>
        <w:spacing w:before="240"/>
        <w:jc w:val="both"/>
        <w:rPr>
          <w:rFonts w:ascii="Book Antiqua" w:hAnsi="Book Antiqua" w:cs="Arial"/>
        </w:rPr>
      </w:pPr>
      <w:r>
        <w:rPr>
          <w:rFonts w:ascii="Book Antiqua" w:hAnsi="Book Antiqua" w:cs="Arial"/>
        </w:rPr>
        <w:t xml:space="preserve">The Judge recognised the arrests for what they were and the fact </w:t>
      </w:r>
      <w:r w:rsidR="007B59E6">
        <w:rPr>
          <w:rFonts w:ascii="Book Antiqua" w:hAnsi="Book Antiqua" w:cs="Arial"/>
        </w:rPr>
        <w:t>the appellant</w:t>
      </w:r>
      <w:r>
        <w:rPr>
          <w:rFonts w:ascii="Book Antiqua" w:hAnsi="Book Antiqua" w:cs="Arial"/>
        </w:rPr>
        <w:t xml:space="preserve"> was released within 24 hours of each detention put</w:t>
      </w:r>
      <w:r w:rsidR="007B59E6">
        <w:rPr>
          <w:rFonts w:ascii="Book Antiqua" w:hAnsi="Book Antiqua" w:cs="Arial"/>
        </w:rPr>
        <w:t>s</w:t>
      </w:r>
      <w:r>
        <w:rPr>
          <w:rFonts w:ascii="Book Antiqua" w:hAnsi="Book Antiqua" w:cs="Arial"/>
        </w:rPr>
        <w:t xml:space="preserve"> his arrests into </w:t>
      </w:r>
      <w:r w:rsidR="00017608">
        <w:rPr>
          <w:rFonts w:ascii="Book Antiqua" w:hAnsi="Book Antiqua" w:cs="Arial"/>
        </w:rPr>
        <w:t>perspective</w:t>
      </w:r>
      <w:r>
        <w:rPr>
          <w:rFonts w:ascii="Book Antiqua" w:hAnsi="Book Antiqua" w:cs="Arial"/>
        </w:rPr>
        <w:t xml:space="preserve"> as does the reasons for his arrest-only two arose from attendance at a demonstration or through political activity. </w:t>
      </w:r>
    </w:p>
    <w:p w:rsidR="0055328B" w:rsidRDefault="0055328B" w:rsidP="00911478">
      <w:pPr>
        <w:numPr>
          <w:ilvl w:val="0"/>
          <w:numId w:val="3"/>
        </w:numPr>
        <w:spacing w:before="240"/>
        <w:jc w:val="both"/>
        <w:rPr>
          <w:rFonts w:ascii="Book Antiqua" w:hAnsi="Book Antiqua" w:cs="Arial"/>
        </w:rPr>
      </w:pPr>
      <w:r>
        <w:rPr>
          <w:rFonts w:ascii="Book Antiqua" w:hAnsi="Book Antiqua" w:cs="Arial"/>
        </w:rPr>
        <w:t xml:space="preserve">The Judge applied the case law of </w:t>
      </w:r>
      <w:r>
        <w:rPr>
          <w:rFonts w:ascii="Book Antiqua" w:hAnsi="Book Antiqua" w:cs="Arial"/>
          <w:u w:val="single"/>
        </w:rPr>
        <w:t>IK (Returnees-records-IFA) Turkey CG</w:t>
      </w:r>
      <w:r>
        <w:rPr>
          <w:rFonts w:ascii="Book Antiqua" w:hAnsi="Book Antiqua" w:cs="Arial"/>
        </w:rPr>
        <w:t xml:space="preserve"> [2004] UKIAT 00312 at paragraphs 24 and 25 and concluded he would not be at risk on return because they had not sought to detain him for any significant period previously. </w:t>
      </w:r>
      <w:r w:rsidR="007B59E6">
        <w:rPr>
          <w:rFonts w:ascii="Book Antiqua" w:hAnsi="Book Antiqua" w:cs="Arial"/>
        </w:rPr>
        <w:t xml:space="preserve">This finding was open to the Judge. </w:t>
      </w:r>
    </w:p>
    <w:p w:rsidR="007B59E6" w:rsidRDefault="0055328B" w:rsidP="00911478">
      <w:pPr>
        <w:numPr>
          <w:ilvl w:val="0"/>
          <w:numId w:val="3"/>
        </w:numPr>
        <w:spacing w:before="240"/>
        <w:jc w:val="both"/>
        <w:rPr>
          <w:rFonts w:ascii="Book Antiqua" w:hAnsi="Book Antiqua" w:cs="Arial"/>
        </w:rPr>
      </w:pPr>
      <w:r>
        <w:rPr>
          <w:rFonts w:ascii="Book Antiqua" w:hAnsi="Book Antiqua" w:cs="Arial"/>
        </w:rPr>
        <w:t>The second ground of appeal centred around the fact he had not done his national service. The grounds of appeal referred to a time limit for payment of an exemption fee</w:t>
      </w:r>
      <w:r w:rsidR="007B59E6">
        <w:rPr>
          <w:rFonts w:ascii="Book Antiqua" w:hAnsi="Book Antiqua" w:cs="Arial"/>
        </w:rPr>
        <w:t>,</w:t>
      </w:r>
      <w:r>
        <w:rPr>
          <w:rFonts w:ascii="Book Antiqua" w:hAnsi="Book Antiqua" w:cs="Arial"/>
        </w:rPr>
        <w:t xml:space="preserve"> but Mr </w:t>
      </w:r>
      <w:proofErr w:type="spellStart"/>
      <w:r>
        <w:rPr>
          <w:rFonts w:ascii="Book Antiqua" w:hAnsi="Book Antiqua" w:cs="Arial"/>
        </w:rPr>
        <w:t>Harkhurst</w:t>
      </w:r>
      <w:proofErr w:type="spellEnd"/>
      <w:r>
        <w:rPr>
          <w:rFonts w:ascii="Book Antiqua" w:hAnsi="Book Antiqua" w:cs="Arial"/>
        </w:rPr>
        <w:t xml:space="preserve"> accepted there was no time limit to make the payment. </w:t>
      </w:r>
    </w:p>
    <w:p w:rsidR="0055328B" w:rsidRDefault="0055328B" w:rsidP="00911478">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Harkhurst</w:t>
      </w:r>
      <w:proofErr w:type="spellEnd"/>
      <w:r>
        <w:rPr>
          <w:rFonts w:ascii="Book Antiqua" w:hAnsi="Book Antiqua" w:cs="Arial"/>
        </w:rPr>
        <w:t xml:space="preserve"> submitted the appellant was at risk of prison because he could not make the payment. The Judge </w:t>
      </w:r>
      <w:r w:rsidR="007B59E6">
        <w:rPr>
          <w:rFonts w:ascii="Book Antiqua" w:hAnsi="Book Antiqua" w:cs="Arial"/>
        </w:rPr>
        <w:t>considered</w:t>
      </w:r>
      <w:r>
        <w:rPr>
          <w:rFonts w:ascii="Book Antiqua" w:hAnsi="Book Antiqua" w:cs="Arial"/>
        </w:rPr>
        <w:t xml:space="preserve"> that the appellant had been able to raise considerable funds to come to the United Kingdom and currently enjoyed the support of family in the United Kingdom. </w:t>
      </w:r>
      <w:r w:rsidR="007700C7">
        <w:rPr>
          <w:rFonts w:ascii="Book Antiqua" w:hAnsi="Book Antiqua" w:cs="Arial"/>
        </w:rPr>
        <w:t xml:space="preserve">Mr Tan pointed out the sum to be paid was low (£2,143) and submitted the Judge’s approach was correct. </w:t>
      </w:r>
    </w:p>
    <w:p w:rsidR="007700C7" w:rsidRDefault="007700C7" w:rsidP="00911478">
      <w:pPr>
        <w:numPr>
          <w:ilvl w:val="0"/>
          <w:numId w:val="3"/>
        </w:numPr>
        <w:spacing w:before="240"/>
        <w:jc w:val="both"/>
        <w:rPr>
          <w:rFonts w:ascii="Book Antiqua" w:hAnsi="Book Antiqua" w:cs="Arial"/>
        </w:rPr>
      </w:pPr>
      <w:r>
        <w:rPr>
          <w:rFonts w:ascii="Book Antiqua" w:hAnsi="Book Antiqua" w:cs="Arial"/>
        </w:rPr>
        <w:t>The Judge referred to case law and then examined why the appellant had not undertaken his military service. He had not claimed he had any moral aversion to military service in his screening interview although when he attended his substantive interview</w:t>
      </w:r>
      <w:r w:rsidR="007B59E6">
        <w:rPr>
          <w:rFonts w:ascii="Book Antiqua" w:hAnsi="Book Antiqua" w:cs="Arial"/>
        </w:rPr>
        <w:t>,</w:t>
      </w:r>
      <w:r>
        <w:rPr>
          <w:rFonts w:ascii="Book Antiqua" w:hAnsi="Book Antiqua" w:cs="Arial"/>
        </w:rPr>
        <w:t xml:space="preserve"> he claimed it was wrong to kill someone just because someone told him to kill someone. </w:t>
      </w:r>
    </w:p>
    <w:p w:rsidR="007700C7" w:rsidRDefault="007700C7" w:rsidP="00911478">
      <w:pPr>
        <w:numPr>
          <w:ilvl w:val="0"/>
          <w:numId w:val="3"/>
        </w:numPr>
        <w:spacing w:before="240"/>
        <w:jc w:val="both"/>
        <w:rPr>
          <w:rFonts w:ascii="Book Antiqua" w:hAnsi="Book Antiqua" w:cs="Arial"/>
        </w:rPr>
      </w:pPr>
      <w:r w:rsidRPr="007700C7">
        <w:rPr>
          <w:rFonts w:ascii="Book Antiqua" w:hAnsi="Book Antiqua" w:cs="Arial"/>
        </w:rPr>
        <w:t>Whilst the punishment for draft evasion can be prison there is always the option of making the payment</w:t>
      </w:r>
      <w:r w:rsidR="007B59E6">
        <w:rPr>
          <w:rFonts w:ascii="Book Antiqua" w:hAnsi="Book Antiqua" w:cs="Arial"/>
        </w:rPr>
        <w:t xml:space="preserve"> and the level of imprisonment can vary. </w:t>
      </w:r>
    </w:p>
    <w:p w:rsidR="007700C7" w:rsidRDefault="007700C7" w:rsidP="00911478">
      <w:pPr>
        <w:numPr>
          <w:ilvl w:val="0"/>
          <w:numId w:val="3"/>
        </w:numPr>
        <w:spacing w:before="240"/>
        <w:jc w:val="both"/>
        <w:rPr>
          <w:rFonts w:ascii="Book Antiqua" w:hAnsi="Book Antiqua" w:cs="Arial"/>
        </w:rPr>
      </w:pPr>
      <w:r>
        <w:rPr>
          <w:rFonts w:ascii="Book Antiqua" w:hAnsi="Book Antiqua" w:cs="Arial"/>
        </w:rPr>
        <w:t xml:space="preserve">The Judge considered whether a period in prison could amount to persecution or a breach of article 3 ECHR. He referred to two cases in paragraph 18 and 19 in rejecting this claim. </w:t>
      </w:r>
    </w:p>
    <w:p w:rsidR="007700C7" w:rsidRDefault="007700C7" w:rsidP="00911478">
      <w:pPr>
        <w:numPr>
          <w:ilvl w:val="0"/>
          <w:numId w:val="3"/>
        </w:numPr>
        <w:spacing w:before="240"/>
        <w:jc w:val="both"/>
        <w:rPr>
          <w:rFonts w:ascii="Book Antiqua" w:hAnsi="Book Antiqua" w:cs="Arial"/>
        </w:rPr>
      </w:pPr>
      <w:r>
        <w:rPr>
          <w:rFonts w:ascii="Book Antiqua" w:hAnsi="Book Antiqua" w:cs="Arial"/>
        </w:rPr>
        <w:lastRenderedPageBreak/>
        <w:t xml:space="preserve">There are the following </w:t>
      </w:r>
      <w:r w:rsidR="007B59E6">
        <w:rPr>
          <w:rFonts w:ascii="Book Antiqua" w:hAnsi="Book Antiqua" w:cs="Arial"/>
        </w:rPr>
        <w:t xml:space="preserve">Country Guidance </w:t>
      </w:r>
      <w:r>
        <w:rPr>
          <w:rFonts w:ascii="Book Antiqua" w:hAnsi="Book Antiqua" w:cs="Arial"/>
        </w:rPr>
        <w:t xml:space="preserve">cases which are also on the point and support the Judge’s conclusion returning him would not breach the refugee convention or article 3 ECHR. </w:t>
      </w:r>
    </w:p>
    <w:p w:rsidR="007700C7" w:rsidRDefault="007700C7" w:rsidP="00911478">
      <w:pPr>
        <w:numPr>
          <w:ilvl w:val="0"/>
          <w:numId w:val="3"/>
        </w:numPr>
        <w:spacing w:before="240"/>
        <w:jc w:val="both"/>
        <w:rPr>
          <w:rFonts w:ascii="Book Antiqua" w:hAnsi="Book Antiqua" w:cs="Arial"/>
        </w:rPr>
      </w:pPr>
      <w:r w:rsidRPr="007700C7">
        <w:rPr>
          <w:rFonts w:ascii="Book Antiqua" w:hAnsi="Book Antiqua" w:cs="Arial"/>
        </w:rPr>
        <w:t xml:space="preserve">In </w:t>
      </w:r>
      <w:r w:rsidRPr="007700C7">
        <w:rPr>
          <w:rFonts w:ascii="Book Antiqua" w:hAnsi="Book Antiqua" w:cs="Arial"/>
          <w:bCs/>
          <w:u w:val="single"/>
        </w:rPr>
        <w:t>FA (Military Service-Prison Conditions) Turkey CG</w:t>
      </w:r>
      <w:r w:rsidRPr="007700C7">
        <w:rPr>
          <w:rFonts w:ascii="Book Antiqua" w:hAnsi="Book Antiqua" w:cs="Arial"/>
          <w:bCs/>
        </w:rPr>
        <w:t xml:space="preserve"> [2002] UKIAT 0111</w:t>
      </w:r>
      <w:r w:rsidRPr="007700C7">
        <w:rPr>
          <w:rFonts w:ascii="Book Antiqua" w:hAnsi="Book Antiqua" w:cs="Arial"/>
        </w:rPr>
        <w:t xml:space="preserve"> the appellant’s claim depended on the conditions that he would suffer as a draft evader if he were sentenced.  The Tribunal noted that Article 63.1(a) of the Turkish Military Penal Code imposed a sliding scale for draft evasion ranging from a possible sentence of one month's imprisonment for those who report within seven days to between six months to three years in a house of correction for those arrested after a period of three months.  The Tribunal did not doubt that the conditions would not be pleasant. However, the Tribunal was not satisfied that they would be such as to amount to persecution.  </w:t>
      </w:r>
    </w:p>
    <w:p w:rsidR="007700C7" w:rsidRDefault="007700C7" w:rsidP="00911478">
      <w:pPr>
        <w:numPr>
          <w:ilvl w:val="0"/>
          <w:numId w:val="3"/>
        </w:numPr>
        <w:spacing w:before="240"/>
        <w:jc w:val="both"/>
        <w:rPr>
          <w:rFonts w:ascii="Book Antiqua" w:hAnsi="Book Antiqua" w:cs="Arial"/>
        </w:rPr>
      </w:pPr>
      <w:r w:rsidRPr="007700C7">
        <w:rPr>
          <w:rFonts w:ascii="Book Antiqua" w:hAnsi="Book Antiqua" w:cs="Arial"/>
        </w:rPr>
        <w:t xml:space="preserve">In </w:t>
      </w:r>
      <w:r w:rsidRPr="007700C7">
        <w:rPr>
          <w:rFonts w:ascii="Book Antiqua" w:hAnsi="Book Antiqua" w:cs="Arial"/>
          <w:bCs/>
          <w:u w:val="single"/>
        </w:rPr>
        <w:t>GS (Article 3-Persecution-Military Service) Turkey CG</w:t>
      </w:r>
      <w:r w:rsidRPr="007700C7">
        <w:rPr>
          <w:rFonts w:ascii="Book Antiqua" w:hAnsi="Book Antiqua" w:cs="Arial"/>
          <w:bCs/>
        </w:rPr>
        <w:t xml:space="preserve"> [2004] UKIAT 00041</w:t>
      </w:r>
      <w:r w:rsidRPr="007700C7">
        <w:rPr>
          <w:rFonts w:ascii="Book Antiqua" w:hAnsi="Book Antiqua" w:cs="Arial"/>
        </w:rPr>
        <w:t xml:space="preserve"> the appellant was a military draft evader.  The Tribunal noted the CIPU report which stated that there was a sliding scale of imprisonment for draft evasion.  However, a Dutch Ministry of Foreign Affairs Report indicated that military judges in general impose minimum sentences. The sentences for desertion are higher than those for evasion and registration/examination or enlistment, but </w:t>
      </w:r>
      <w:proofErr w:type="gramStart"/>
      <w:r w:rsidRPr="007700C7">
        <w:rPr>
          <w:rFonts w:ascii="Book Antiqua" w:hAnsi="Book Antiqua" w:cs="Arial"/>
        </w:rPr>
        <w:t>as a general rule</w:t>
      </w:r>
      <w:proofErr w:type="gramEnd"/>
      <w:r w:rsidRPr="007700C7">
        <w:rPr>
          <w:rFonts w:ascii="Book Antiqua" w:hAnsi="Book Antiqua" w:cs="Arial"/>
        </w:rPr>
        <w:t>, normal prison sentences of less than one year can be commuted into a fine.  The appeal was dismissed.</w:t>
      </w:r>
    </w:p>
    <w:p w:rsidR="007700C7" w:rsidRDefault="007700C7" w:rsidP="00911478">
      <w:pPr>
        <w:numPr>
          <w:ilvl w:val="0"/>
          <w:numId w:val="3"/>
        </w:numPr>
        <w:spacing w:before="240"/>
        <w:jc w:val="both"/>
        <w:rPr>
          <w:rFonts w:ascii="Book Antiqua" w:hAnsi="Book Antiqua" w:cs="Arial"/>
        </w:rPr>
      </w:pPr>
      <w:r>
        <w:rPr>
          <w:rFonts w:ascii="Book Antiqua" w:hAnsi="Book Antiqua" w:cs="Arial"/>
        </w:rPr>
        <w:t>Given the above</w:t>
      </w:r>
      <w:r w:rsidR="007B59E6">
        <w:rPr>
          <w:rFonts w:ascii="Book Antiqua" w:hAnsi="Book Antiqua" w:cs="Arial"/>
        </w:rPr>
        <w:t xml:space="preserve"> cases</w:t>
      </w:r>
      <w:r>
        <w:rPr>
          <w:rFonts w:ascii="Book Antiqua" w:hAnsi="Book Antiqua" w:cs="Arial"/>
        </w:rPr>
        <w:t xml:space="preserve">, the fact he was entitled to an exemption at the outset and the fact he </w:t>
      </w:r>
      <w:r w:rsidR="007B59E6">
        <w:rPr>
          <w:rFonts w:ascii="Book Antiqua" w:hAnsi="Book Antiqua" w:cs="Arial"/>
        </w:rPr>
        <w:t>could</w:t>
      </w:r>
      <w:r>
        <w:rPr>
          <w:rFonts w:ascii="Book Antiqua" w:hAnsi="Book Antiqua" w:cs="Arial"/>
        </w:rPr>
        <w:t xml:space="preserve"> pay </w:t>
      </w:r>
      <w:r w:rsidR="007B59E6">
        <w:rPr>
          <w:rFonts w:ascii="Book Antiqua" w:hAnsi="Book Antiqua" w:cs="Arial"/>
        </w:rPr>
        <w:t>the exemption</w:t>
      </w:r>
      <w:r>
        <w:rPr>
          <w:rFonts w:ascii="Book Antiqua" w:hAnsi="Book Antiqua" w:cs="Arial"/>
        </w:rPr>
        <w:t xml:space="preserve"> fee I find the Judge was entitled to reach the conclusion he did. </w:t>
      </w:r>
      <w:r w:rsidR="007B59E6">
        <w:rPr>
          <w:rFonts w:ascii="Book Antiqua" w:hAnsi="Book Antiqua" w:cs="Arial"/>
        </w:rPr>
        <w:t xml:space="preserve">There is no error in law on this issue. </w:t>
      </w:r>
    </w:p>
    <w:p w:rsidR="002B2A0A" w:rsidRDefault="002B2A0A" w:rsidP="00864126">
      <w:pPr>
        <w:jc w:val="both"/>
        <w:rPr>
          <w:rFonts w:ascii="Book Antiqua" w:hAnsi="Book Antiqua" w:cs="Arial"/>
          <w:b/>
          <w:u w:val="single"/>
        </w:rPr>
      </w:pPr>
    </w:p>
    <w:p w:rsidR="002B2A0A" w:rsidRDefault="002B2A0A" w:rsidP="00864126">
      <w:pPr>
        <w:jc w:val="both"/>
        <w:rPr>
          <w:rFonts w:ascii="Book Antiqua" w:hAnsi="Book Antiqua" w:cs="Arial"/>
          <w:b/>
          <w:u w:val="single"/>
        </w:rPr>
      </w:pPr>
    </w:p>
    <w:p w:rsidR="002B2A0A" w:rsidRDefault="002B2A0A" w:rsidP="00864126">
      <w:pPr>
        <w:jc w:val="both"/>
        <w:rPr>
          <w:rFonts w:ascii="Book Antiqua" w:hAnsi="Book Antiqua" w:cs="Arial"/>
          <w:b/>
          <w:u w:val="single"/>
        </w:rPr>
      </w:pPr>
    </w:p>
    <w:p w:rsidR="00864126" w:rsidRPr="00816182" w:rsidRDefault="00864126" w:rsidP="00864126">
      <w:pPr>
        <w:jc w:val="both"/>
        <w:rPr>
          <w:rFonts w:ascii="Book Antiqua" w:hAnsi="Book Antiqua" w:cs="Arial"/>
          <w:b/>
          <w:u w:val="single"/>
        </w:rPr>
      </w:pPr>
      <w:r w:rsidRPr="00816182">
        <w:rPr>
          <w:rFonts w:ascii="Book Antiqua" w:hAnsi="Book Antiqua" w:cs="Arial"/>
          <w:b/>
          <w:u w:val="single"/>
        </w:rPr>
        <w:t>Notice of Decision</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r>
        <w:rPr>
          <w:rFonts w:ascii="Book Antiqua" w:hAnsi="Book Antiqua" w:cs="Arial"/>
        </w:rPr>
        <w:t>The</w:t>
      </w:r>
      <w:r w:rsidR="00A91420">
        <w:rPr>
          <w:rFonts w:ascii="Book Antiqua" w:hAnsi="Book Antiqua" w:cs="Arial"/>
        </w:rPr>
        <w:t xml:space="preserve">re is </w:t>
      </w:r>
      <w:r w:rsidR="00A66D4C">
        <w:rPr>
          <w:rFonts w:ascii="Book Antiqua" w:hAnsi="Book Antiqua" w:cs="Arial"/>
        </w:rPr>
        <w:t xml:space="preserve">no </w:t>
      </w:r>
      <w:r w:rsidR="00A91420">
        <w:rPr>
          <w:rFonts w:ascii="Book Antiqua" w:hAnsi="Book Antiqua" w:cs="Arial"/>
        </w:rPr>
        <w:t xml:space="preserve">error in law.  </w:t>
      </w:r>
      <w:r w:rsidR="00772D15">
        <w:rPr>
          <w:rFonts w:ascii="Book Antiqua" w:hAnsi="Book Antiqua" w:cs="Arial"/>
        </w:rPr>
        <w:t>I</w:t>
      </w:r>
      <w:r w:rsidR="00FA7129">
        <w:rPr>
          <w:rFonts w:ascii="Book Antiqua" w:hAnsi="Book Antiqua" w:cs="Arial"/>
        </w:rPr>
        <w:t xml:space="preserve"> </w:t>
      </w:r>
      <w:r w:rsidR="00A66D4C">
        <w:rPr>
          <w:rFonts w:ascii="Book Antiqua" w:hAnsi="Book Antiqua" w:cs="Arial"/>
        </w:rPr>
        <w:t xml:space="preserve">uphold </w:t>
      </w:r>
      <w:r w:rsidR="00772D15">
        <w:rPr>
          <w:rFonts w:ascii="Book Antiqua" w:hAnsi="Book Antiqua" w:cs="Arial"/>
        </w:rPr>
        <w:t>the original decision</w:t>
      </w:r>
      <w:r w:rsidR="00FA7129">
        <w:rPr>
          <w:rFonts w:ascii="Book Antiqua" w:hAnsi="Book Antiqua" w:cs="Arial"/>
        </w:rPr>
        <w:t>.</w:t>
      </w:r>
    </w:p>
    <w:p w:rsidR="00864126" w:rsidRDefault="00864126" w:rsidP="00864126">
      <w:pPr>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154D5">
        <w:rPr>
          <w:rFonts w:ascii="Book Antiqua" w:hAnsi="Book Antiqua" w:cs="Arial"/>
        </w:rPr>
        <w:tab/>
      </w:r>
      <w:r w:rsidR="00FA7129">
        <w:rPr>
          <w:rFonts w:ascii="Book Antiqua" w:hAnsi="Book Antiqua" w:cs="Arial"/>
        </w:rPr>
        <w:t>05/03</w:t>
      </w:r>
      <w:r w:rsidR="00A154D5">
        <w:rPr>
          <w:rFonts w:ascii="Book Antiqua" w:hAnsi="Book Antiqua" w:cs="Arial"/>
        </w:rPr>
        <w:t>/2019</w:t>
      </w:r>
    </w:p>
    <w:p w:rsidR="00864126" w:rsidRPr="00F5664C" w:rsidRDefault="00864126" w:rsidP="00864126">
      <w:pPr>
        <w:tabs>
          <w:tab w:val="left" w:pos="2520"/>
        </w:tabs>
        <w:jc w:val="both"/>
        <w:rPr>
          <w:rFonts w:ascii="Book Antiqua" w:hAnsi="Book Antiqua" w:cs="Arial"/>
        </w:rPr>
      </w:pPr>
    </w:p>
    <w:p w:rsidR="00864126" w:rsidRDefault="00864126" w:rsidP="00864126">
      <w:pPr>
        <w:tabs>
          <w:tab w:val="left" w:pos="2520"/>
        </w:tabs>
        <w:jc w:val="both"/>
        <w:rPr>
          <w:rFonts w:ascii="Book Antiqua" w:hAnsi="Book Antiqua" w:cs="Arial"/>
        </w:rPr>
      </w:pPr>
    </w:p>
    <w:p w:rsidR="00A154D5" w:rsidRDefault="00B94CF0" w:rsidP="00864126">
      <w:pPr>
        <w:tabs>
          <w:tab w:val="left" w:pos="2520"/>
        </w:tabs>
        <w:jc w:val="both"/>
        <w:rPr>
          <w:rFonts w:ascii="Book Antiqua" w:hAnsi="Book Antiqua" w:cs="Arial"/>
        </w:rPr>
      </w:pPr>
      <w:r w:rsidRPr="00A154D5">
        <w:rPr>
          <w:rFonts w:ascii="Book Antiqua" w:hAnsi="Book Antiqua"/>
          <w:noProof/>
        </w:rPr>
        <w:drawing>
          <wp:inline distT="0" distB="0" distL="0" distR="0">
            <wp:extent cx="1247775"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7775" cy="714375"/>
                    </a:xfrm>
                    <a:prstGeom prst="rect">
                      <a:avLst/>
                    </a:prstGeom>
                    <a:noFill/>
                    <a:ln>
                      <a:noFill/>
                    </a:ln>
                  </pic:spPr>
                </pic:pic>
              </a:graphicData>
            </a:graphic>
          </wp:inline>
        </w:drawing>
      </w:r>
    </w:p>
    <w:p w:rsidR="00A154D5" w:rsidRPr="00F5664C" w:rsidRDefault="00A154D5" w:rsidP="00864126">
      <w:pPr>
        <w:tabs>
          <w:tab w:val="left" w:pos="2520"/>
        </w:tabs>
        <w:jc w:val="both"/>
        <w:rPr>
          <w:rFonts w:ascii="Book Antiqua" w:hAnsi="Book Antiqua" w:cs="Arial"/>
        </w:rPr>
      </w:pPr>
    </w:p>
    <w:p w:rsidR="00772D15" w:rsidRDefault="00864126" w:rsidP="00772D15">
      <w:pPr>
        <w:tabs>
          <w:tab w:val="left" w:pos="2520"/>
        </w:tabs>
        <w:jc w:val="both"/>
        <w:rPr>
          <w:rFonts w:ascii="Book Antiqua" w:hAnsi="Book Antiqua" w:cs="Arial"/>
        </w:rPr>
      </w:pPr>
      <w:r>
        <w:rPr>
          <w:rFonts w:ascii="Book Antiqua" w:hAnsi="Book Antiqua" w:cs="Arial"/>
        </w:rPr>
        <w:t xml:space="preserve">Deputy Upper Tribunal </w:t>
      </w:r>
      <w:r w:rsidR="00A154D5">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rsidR="00A66D4C" w:rsidRDefault="00A66D4C" w:rsidP="00772D15">
      <w:pPr>
        <w:tabs>
          <w:tab w:val="left" w:pos="2520"/>
        </w:tabs>
        <w:jc w:val="both"/>
        <w:rPr>
          <w:rFonts w:ascii="Book Antiqua" w:hAnsi="Book Antiqua" w:cs="Arial"/>
        </w:rPr>
      </w:pPr>
    </w:p>
    <w:p w:rsidR="007700C7" w:rsidRDefault="007700C7" w:rsidP="00A66D4C">
      <w:pPr>
        <w:tabs>
          <w:tab w:val="left" w:pos="2520"/>
        </w:tabs>
        <w:rPr>
          <w:rFonts w:ascii="Book Antiqua" w:hAnsi="Book Antiqua" w:cs="Arial"/>
          <w:b/>
          <w:u w:val="single"/>
        </w:rPr>
      </w:pPr>
    </w:p>
    <w:p w:rsidR="00B6611F" w:rsidRDefault="00B6611F" w:rsidP="00A66D4C">
      <w:pPr>
        <w:tabs>
          <w:tab w:val="left" w:pos="2520"/>
        </w:tabs>
        <w:rPr>
          <w:rFonts w:ascii="Book Antiqua" w:hAnsi="Book Antiqua" w:cs="Arial"/>
          <w:b/>
          <w:u w:val="single"/>
        </w:rPr>
      </w:pPr>
    </w:p>
    <w:p w:rsidR="00B6611F" w:rsidRDefault="00B6611F" w:rsidP="00A66D4C">
      <w:pPr>
        <w:tabs>
          <w:tab w:val="left" w:pos="2520"/>
        </w:tabs>
        <w:rPr>
          <w:rFonts w:ascii="Book Antiqua" w:hAnsi="Book Antiqua" w:cs="Arial"/>
          <w:b/>
          <w:u w:val="single"/>
        </w:rPr>
      </w:pPr>
    </w:p>
    <w:p w:rsidR="00B6611F" w:rsidRDefault="00B6611F" w:rsidP="00A66D4C">
      <w:pPr>
        <w:tabs>
          <w:tab w:val="left" w:pos="2520"/>
        </w:tabs>
        <w:rPr>
          <w:rFonts w:ascii="Book Antiqua" w:hAnsi="Book Antiqua" w:cs="Arial"/>
          <w:b/>
          <w:u w:val="single"/>
        </w:rPr>
      </w:pPr>
    </w:p>
    <w:p w:rsidR="00B6611F" w:rsidRDefault="00B6611F" w:rsidP="00A66D4C">
      <w:pPr>
        <w:tabs>
          <w:tab w:val="left" w:pos="2520"/>
        </w:tabs>
        <w:rPr>
          <w:rFonts w:ascii="Book Antiqua" w:hAnsi="Book Antiqua" w:cs="Arial"/>
          <w:b/>
          <w:u w:val="single"/>
        </w:rPr>
      </w:pPr>
      <w:bookmarkStart w:id="0" w:name="_GoBack"/>
      <w:bookmarkEnd w:id="0"/>
    </w:p>
    <w:p w:rsidR="00A66D4C" w:rsidRPr="00A66D4C" w:rsidRDefault="00A66D4C" w:rsidP="00A66D4C">
      <w:pPr>
        <w:tabs>
          <w:tab w:val="left" w:pos="2520"/>
        </w:tabs>
        <w:rPr>
          <w:rFonts w:ascii="Book Antiqua" w:hAnsi="Book Antiqua" w:cs="Arial"/>
          <w:b/>
          <w:u w:val="single"/>
        </w:rPr>
      </w:pPr>
      <w:r w:rsidRPr="00A66D4C">
        <w:rPr>
          <w:rFonts w:ascii="Book Antiqua" w:hAnsi="Book Antiqua" w:cs="Arial"/>
          <w:b/>
          <w:u w:val="single"/>
        </w:rPr>
        <w:lastRenderedPageBreak/>
        <w:t>TO THE RESPONDENT</w:t>
      </w:r>
    </w:p>
    <w:p w:rsidR="00A66D4C" w:rsidRDefault="00A66D4C" w:rsidP="00A66D4C">
      <w:pPr>
        <w:tabs>
          <w:tab w:val="left" w:pos="2520"/>
        </w:tabs>
        <w:rPr>
          <w:rFonts w:ascii="Book Antiqua" w:hAnsi="Book Antiqua" w:cs="Arial"/>
        </w:rPr>
      </w:pPr>
      <w:r w:rsidRPr="00A66D4C">
        <w:rPr>
          <w:rFonts w:ascii="Book Antiqua" w:hAnsi="Book Antiqua" w:cs="Arial"/>
          <w:b/>
          <w:u w:val="single"/>
        </w:rPr>
        <w:t>FEE AWARD</w:t>
      </w:r>
    </w:p>
    <w:p w:rsidR="00A66D4C" w:rsidRDefault="00A66D4C" w:rsidP="00A66D4C">
      <w:pPr>
        <w:tabs>
          <w:tab w:val="left" w:pos="2520"/>
        </w:tabs>
        <w:rPr>
          <w:rFonts w:ascii="Book Antiqua" w:hAnsi="Book Antiqua" w:cs="Arial"/>
        </w:rPr>
      </w:pPr>
    </w:p>
    <w:p w:rsidR="00A66D4C" w:rsidRDefault="00A66D4C" w:rsidP="00A66D4C">
      <w:pPr>
        <w:tabs>
          <w:tab w:val="left" w:pos="2520"/>
        </w:tabs>
        <w:rPr>
          <w:rFonts w:ascii="Book Antiqua" w:hAnsi="Book Antiqua" w:cs="Arial"/>
        </w:rPr>
      </w:pPr>
      <w:r>
        <w:rPr>
          <w:rFonts w:ascii="Book Antiqua" w:hAnsi="Book Antiqua" w:cs="Arial"/>
        </w:rPr>
        <w:t xml:space="preserve"> I do not make a fee award because I have dismissed the appeal. </w:t>
      </w:r>
    </w:p>
    <w:p w:rsidR="00A66D4C" w:rsidRDefault="00A66D4C" w:rsidP="00A66D4C">
      <w:pPr>
        <w:tabs>
          <w:tab w:val="left" w:pos="2520"/>
        </w:tabs>
        <w:rPr>
          <w:rFonts w:ascii="Book Antiqua" w:hAnsi="Book Antiqua" w:cs="Arial"/>
        </w:rPr>
      </w:pPr>
    </w:p>
    <w:p w:rsidR="00A66D4C" w:rsidRDefault="00A66D4C" w:rsidP="00A66D4C">
      <w:pPr>
        <w:tabs>
          <w:tab w:val="left" w:pos="2520"/>
        </w:tabs>
        <w:rPr>
          <w:rFonts w:ascii="Book Antiqua" w:hAnsi="Book Antiqua" w:cs="Arial"/>
        </w:rPr>
      </w:pPr>
    </w:p>
    <w:p w:rsidR="00A66D4C" w:rsidRPr="00F5664C" w:rsidRDefault="00A66D4C" w:rsidP="00A66D4C">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t>05/03/2019</w:t>
      </w:r>
    </w:p>
    <w:p w:rsidR="00A66D4C" w:rsidRPr="00F5664C" w:rsidRDefault="00A66D4C" w:rsidP="00A66D4C">
      <w:pPr>
        <w:tabs>
          <w:tab w:val="left" w:pos="2520"/>
        </w:tabs>
        <w:jc w:val="both"/>
        <w:rPr>
          <w:rFonts w:ascii="Book Antiqua" w:hAnsi="Book Antiqua" w:cs="Arial"/>
        </w:rPr>
      </w:pPr>
    </w:p>
    <w:p w:rsidR="00A66D4C" w:rsidRDefault="00A66D4C" w:rsidP="00A66D4C">
      <w:pPr>
        <w:tabs>
          <w:tab w:val="left" w:pos="2520"/>
        </w:tabs>
        <w:jc w:val="both"/>
        <w:rPr>
          <w:rFonts w:ascii="Book Antiqua" w:hAnsi="Book Antiqua" w:cs="Arial"/>
        </w:rPr>
      </w:pPr>
    </w:p>
    <w:p w:rsidR="00A66D4C" w:rsidRDefault="00B94CF0" w:rsidP="00A66D4C">
      <w:pPr>
        <w:tabs>
          <w:tab w:val="left" w:pos="2520"/>
        </w:tabs>
        <w:jc w:val="both"/>
        <w:rPr>
          <w:rFonts w:ascii="Book Antiqua" w:hAnsi="Book Antiqua" w:cs="Arial"/>
        </w:rPr>
      </w:pPr>
      <w:r w:rsidRPr="00A154D5">
        <w:rPr>
          <w:rFonts w:ascii="Book Antiqua" w:hAnsi="Book Antiqua"/>
          <w:noProof/>
        </w:rPr>
        <w:drawing>
          <wp:inline distT="0" distB="0" distL="0" distR="0">
            <wp:extent cx="1247775" cy="714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7775" cy="714375"/>
                    </a:xfrm>
                    <a:prstGeom prst="rect">
                      <a:avLst/>
                    </a:prstGeom>
                    <a:noFill/>
                    <a:ln>
                      <a:noFill/>
                    </a:ln>
                  </pic:spPr>
                </pic:pic>
              </a:graphicData>
            </a:graphic>
          </wp:inline>
        </w:drawing>
      </w:r>
    </w:p>
    <w:p w:rsidR="00A66D4C" w:rsidRPr="00F5664C" w:rsidRDefault="00A66D4C" w:rsidP="00A66D4C">
      <w:pPr>
        <w:tabs>
          <w:tab w:val="left" w:pos="2520"/>
        </w:tabs>
        <w:jc w:val="both"/>
        <w:rPr>
          <w:rFonts w:ascii="Book Antiqua" w:hAnsi="Book Antiqua" w:cs="Arial"/>
        </w:rPr>
      </w:pPr>
    </w:p>
    <w:p w:rsidR="00A66D4C" w:rsidRPr="00A66D4C" w:rsidRDefault="00A66D4C" w:rsidP="00A66D4C">
      <w:pPr>
        <w:tabs>
          <w:tab w:val="left" w:pos="2520"/>
        </w:tabs>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proofErr w:type="spellStart"/>
      <w:r>
        <w:rPr>
          <w:rFonts w:ascii="Book Antiqua" w:hAnsi="Book Antiqua" w:cs="Arial"/>
        </w:rPr>
        <w:t>Alis</w:t>
      </w:r>
      <w:proofErr w:type="spellEnd"/>
    </w:p>
    <w:sectPr w:rsidR="00A66D4C" w:rsidRPr="00A66D4C" w:rsidSect="00C33303">
      <w:headerReference w:type="default" r:id="rId10"/>
      <w:footerReference w:type="default" r:id="rId11"/>
      <w:headerReference w:type="first" r:id="rId12"/>
      <w:footerReference w:type="first" r:id="rId13"/>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078" w:rsidRDefault="00AB3078">
      <w:r>
        <w:separator/>
      </w:r>
    </w:p>
  </w:endnote>
  <w:endnote w:type="continuationSeparator" w:id="0">
    <w:p w:rsidR="00AB3078" w:rsidRDefault="00AB3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2B2A0A" w:rsidRDefault="00CF253F" w:rsidP="00593795">
    <w:pPr>
      <w:pStyle w:val="Footer"/>
      <w:jc w:val="center"/>
      <w:rPr>
        <w:rFonts w:ascii="Book Antiqua" w:hAnsi="Book Antiqua" w:cs="Arial"/>
      </w:rPr>
    </w:pPr>
    <w:r w:rsidRPr="002B2A0A">
      <w:rPr>
        <w:rStyle w:val="PageNumber"/>
        <w:rFonts w:ascii="Book Antiqua" w:hAnsi="Book Antiqua" w:cs="Arial"/>
      </w:rPr>
      <w:fldChar w:fldCharType="begin"/>
    </w:r>
    <w:r w:rsidRPr="002B2A0A">
      <w:rPr>
        <w:rStyle w:val="PageNumber"/>
        <w:rFonts w:ascii="Book Antiqua" w:hAnsi="Book Antiqua" w:cs="Arial"/>
      </w:rPr>
      <w:instrText xml:space="preserve"> PAGE </w:instrText>
    </w:r>
    <w:r w:rsidRPr="002B2A0A">
      <w:rPr>
        <w:rStyle w:val="PageNumber"/>
        <w:rFonts w:ascii="Book Antiqua" w:hAnsi="Book Antiqua" w:cs="Arial"/>
      </w:rPr>
      <w:fldChar w:fldCharType="separate"/>
    </w:r>
    <w:r w:rsidR="00B91BF3">
      <w:rPr>
        <w:rStyle w:val="PageNumber"/>
        <w:rFonts w:ascii="Book Antiqua" w:hAnsi="Book Antiqua" w:cs="Arial"/>
        <w:noProof/>
      </w:rPr>
      <w:t>5</w:t>
    </w:r>
    <w:r w:rsidRPr="002B2A0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A12860">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078" w:rsidRDefault="00AB3078">
      <w:r>
        <w:separator/>
      </w:r>
    </w:p>
  </w:footnote>
  <w:footnote w:type="continuationSeparator" w:id="0">
    <w:p w:rsidR="00AB3078" w:rsidRDefault="00AB3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91953">
      <w:rPr>
        <w:rFonts w:ascii="Book Antiqua" w:hAnsi="Book Antiqua" w:cs="Arial"/>
        <w:sz w:val="16"/>
        <w:szCs w:val="16"/>
      </w:rPr>
      <w:t>PA</w:t>
    </w:r>
    <w:r w:rsidR="004D2A64">
      <w:rPr>
        <w:rFonts w:ascii="Book Antiqua" w:hAnsi="Book Antiqua" w:cs="Arial"/>
        <w:sz w:val="16"/>
        <w:szCs w:val="16"/>
      </w:rPr>
      <w:t>/</w:t>
    </w:r>
    <w:r w:rsidR="007700C7">
      <w:rPr>
        <w:rFonts w:ascii="Book Antiqua" w:hAnsi="Book Antiqua" w:cs="Arial"/>
        <w:sz w:val="16"/>
        <w:szCs w:val="16"/>
      </w:rPr>
      <w:t>11586</w:t>
    </w:r>
    <w:r w:rsidR="004D2A64">
      <w:rPr>
        <w:rFonts w:ascii="Book Antiqua" w:hAnsi="Book Antiqua" w:cs="Arial"/>
        <w:sz w:val="16"/>
        <w:szCs w:val="16"/>
      </w:rPr>
      <w:t>/201</w:t>
    </w:r>
    <w:r w:rsidR="007700C7">
      <w:rPr>
        <w:rFonts w:ascii="Book Antiqua" w:hAnsi="Book Antiqua" w:cs="Arial"/>
        <w:sz w:val="16"/>
        <w:szCs w:val="16"/>
      </w:rPr>
      <w:t>8</w:t>
    </w:r>
  </w:p>
  <w:p w:rsidR="002B2A0A" w:rsidRPr="00F5664C" w:rsidRDefault="002B2A0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3"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7421E87"/>
    <w:multiLevelType w:val="hybridMultilevel"/>
    <w:tmpl w:val="30ACBF96"/>
    <w:lvl w:ilvl="0" w:tplc="7952C5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1F5BD5"/>
    <w:multiLevelType w:val="hybridMultilevel"/>
    <w:tmpl w:val="24761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8B95D7B"/>
    <w:multiLevelType w:val="multilevel"/>
    <w:tmpl w:val="1A802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D3C3114"/>
    <w:multiLevelType w:val="hybridMultilevel"/>
    <w:tmpl w:val="E7369564"/>
    <w:lvl w:ilvl="0" w:tplc="E2160C64">
      <w:start w:val="1"/>
      <w:numFmt w:val="decimal"/>
      <w:lvlText w:val="%1."/>
      <w:lvlJc w:val="left"/>
      <w:pPr>
        <w:tabs>
          <w:tab w:val="num" w:pos="810"/>
        </w:tabs>
        <w:ind w:left="810" w:hanging="450"/>
      </w:pPr>
      <w:rPr>
        <w:rFonts w:hint="default"/>
      </w:rPr>
    </w:lvl>
    <w:lvl w:ilvl="1" w:tplc="92CE5CC0">
      <w:start w:val="1"/>
      <w:numFmt w:val="lowerRoman"/>
      <w:lvlText w:val="(%2)"/>
      <w:lvlJc w:val="left"/>
      <w:pPr>
        <w:tabs>
          <w:tab w:val="num" w:pos="1800"/>
        </w:tabs>
        <w:ind w:left="1800" w:hanging="720"/>
      </w:pPr>
      <w:rPr>
        <w:rFonts w:hint="default"/>
        <w:i w:val="0"/>
      </w:rPr>
    </w:lvl>
    <w:lvl w:ilvl="2" w:tplc="0809001B">
      <w:start w:val="1"/>
      <w:numFmt w:val="lowerRoman"/>
      <w:lvlText w:val="%3."/>
      <w:lvlJc w:val="right"/>
      <w:pPr>
        <w:tabs>
          <w:tab w:val="num" w:pos="2160"/>
        </w:tabs>
        <w:ind w:left="2160" w:hanging="180"/>
      </w:pPr>
    </w:lvl>
    <w:lvl w:ilvl="3" w:tplc="EA404ED6">
      <w:start w:val="1"/>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9"/>
  </w:num>
  <w:num w:numId="3">
    <w:abstractNumId w:val="6"/>
  </w:num>
  <w:num w:numId="4">
    <w:abstractNumId w:val="16"/>
  </w:num>
  <w:num w:numId="5">
    <w:abstractNumId w:val="26"/>
  </w:num>
  <w:num w:numId="6">
    <w:abstractNumId w:val="17"/>
  </w:num>
  <w:num w:numId="7">
    <w:abstractNumId w:val="24"/>
  </w:num>
  <w:num w:numId="8">
    <w:abstractNumId w:val="13"/>
  </w:num>
  <w:num w:numId="9">
    <w:abstractNumId w:val="11"/>
  </w:num>
  <w:num w:numId="10">
    <w:abstractNumId w:val="22"/>
  </w:num>
  <w:num w:numId="11">
    <w:abstractNumId w:val="21"/>
  </w:num>
  <w:num w:numId="12">
    <w:abstractNumId w:val="5"/>
  </w:num>
  <w:num w:numId="13">
    <w:abstractNumId w:val="20"/>
  </w:num>
  <w:num w:numId="14">
    <w:abstractNumId w:val="3"/>
  </w:num>
  <w:num w:numId="15">
    <w:abstractNumId w:val="8"/>
  </w:num>
  <w:num w:numId="16">
    <w:abstractNumId w:val="10"/>
  </w:num>
  <w:num w:numId="17">
    <w:abstractNumId w:val="18"/>
  </w:num>
  <w:num w:numId="18">
    <w:abstractNumId w:val="14"/>
  </w:num>
  <w:num w:numId="19">
    <w:abstractNumId w:val="15"/>
  </w:num>
  <w:num w:numId="20">
    <w:abstractNumId w:val="23"/>
  </w:num>
  <w:num w:numId="21">
    <w:abstractNumId w:val="2"/>
  </w:num>
  <w:num w:numId="22">
    <w:abstractNumId w:val="7"/>
  </w:num>
  <w:num w:numId="23">
    <w:abstractNumId w:val="0"/>
  </w:num>
  <w:num w:numId="24">
    <w:abstractNumId w:val="1"/>
  </w:num>
  <w:num w:numId="25">
    <w:abstractNumId w:val="12"/>
  </w:num>
  <w:num w:numId="26">
    <w:abstractNumId w:val="25"/>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0829197-2C76-49DC-8D05-52FD994539DA}"/>
    <w:docVar w:name="dgnword-eventsink" w:val="1356992134672"/>
  </w:docVars>
  <w:rsids>
    <w:rsidRoot w:val="004D2A64"/>
    <w:rsid w:val="00000621"/>
    <w:rsid w:val="000036C2"/>
    <w:rsid w:val="0000577C"/>
    <w:rsid w:val="00017608"/>
    <w:rsid w:val="00033D3D"/>
    <w:rsid w:val="000369F5"/>
    <w:rsid w:val="00071A7E"/>
    <w:rsid w:val="000746C0"/>
    <w:rsid w:val="00074D1D"/>
    <w:rsid w:val="00082381"/>
    <w:rsid w:val="00087037"/>
    <w:rsid w:val="00092580"/>
    <w:rsid w:val="000A32A2"/>
    <w:rsid w:val="000B6C45"/>
    <w:rsid w:val="000C202A"/>
    <w:rsid w:val="000D5D94"/>
    <w:rsid w:val="00100ABA"/>
    <w:rsid w:val="001165A7"/>
    <w:rsid w:val="001274BC"/>
    <w:rsid w:val="00151BB7"/>
    <w:rsid w:val="00161ACB"/>
    <w:rsid w:val="00167D3A"/>
    <w:rsid w:val="001A1E2C"/>
    <w:rsid w:val="001E12F7"/>
    <w:rsid w:val="001F2716"/>
    <w:rsid w:val="0020133A"/>
    <w:rsid w:val="00207617"/>
    <w:rsid w:val="00257248"/>
    <w:rsid w:val="00283659"/>
    <w:rsid w:val="00284E94"/>
    <w:rsid w:val="00291D5E"/>
    <w:rsid w:val="002B2A0A"/>
    <w:rsid w:val="002C4E73"/>
    <w:rsid w:val="002D68BF"/>
    <w:rsid w:val="00305FBC"/>
    <w:rsid w:val="0031653F"/>
    <w:rsid w:val="003233FC"/>
    <w:rsid w:val="00334945"/>
    <w:rsid w:val="00336CBF"/>
    <w:rsid w:val="00342AF0"/>
    <w:rsid w:val="003546C8"/>
    <w:rsid w:val="00376F8F"/>
    <w:rsid w:val="00384467"/>
    <w:rsid w:val="00392D87"/>
    <w:rsid w:val="003A7CF2"/>
    <w:rsid w:val="003C0DF3"/>
    <w:rsid w:val="003C5363"/>
    <w:rsid w:val="003C5CE5"/>
    <w:rsid w:val="003E267B"/>
    <w:rsid w:val="003E4B44"/>
    <w:rsid w:val="003E6EE6"/>
    <w:rsid w:val="003E7CD1"/>
    <w:rsid w:val="00402B9E"/>
    <w:rsid w:val="00422905"/>
    <w:rsid w:val="00423932"/>
    <w:rsid w:val="004249CB"/>
    <w:rsid w:val="0044127D"/>
    <w:rsid w:val="004448DB"/>
    <w:rsid w:val="00444D3D"/>
    <w:rsid w:val="00446C9A"/>
    <w:rsid w:val="00456521"/>
    <w:rsid w:val="0047469D"/>
    <w:rsid w:val="00477193"/>
    <w:rsid w:val="004809E6"/>
    <w:rsid w:val="004852B5"/>
    <w:rsid w:val="00493D72"/>
    <w:rsid w:val="004A1848"/>
    <w:rsid w:val="004B45B9"/>
    <w:rsid w:val="004D2A64"/>
    <w:rsid w:val="00507FEC"/>
    <w:rsid w:val="00510F0E"/>
    <w:rsid w:val="00516E48"/>
    <w:rsid w:val="00523546"/>
    <w:rsid w:val="00527F99"/>
    <w:rsid w:val="00541D19"/>
    <w:rsid w:val="005479E1"/>
    <w:rsid w:val="0055328B"/>
    <w:rsid w:val="005570FD"/>
    <w:rsid w:val="005575EA"/>
    <w:rsid w:val="00564626"/>
    <w:rsid w:val="0057790C"/>
    <w:rsid w:val="00577DF1"/>
    <w:rsid w:val="00585D73"/>
    <w:rsid w:val="00593795"/>
    <w:rsid w:val="005A75FF"/>
    <w:rsid w:val="005B4942"/>
    <w:rsid w:val="005B7789"/>
    <w:rsid w:val="005E0FF3"/>
    <w:rsid w:val="00615580"/>
    <w:rsid w:val="00620B80"/>
    <w:rsid w:val="00622725"/>
    <w:rsid w:val="006313D3"/>
    <w:rsid w:val="00640E14"/>
    <w:rsid w:val="0065791C"/>
    <w:rsid w:val="00677176"/>
    <w:rsid w:val="0069017E"/>
    <w:rsid w:val="00690B8A"/>
    <w:rsid w:val="006D1DFA"/>
    <w:rsid w:val="006D506B"/>
    <w:rsid w:val="006D5949"/>
    <w:rsid w:val="006E3C90"/>
    <w:rsid w:val="006E4664"/>
    <w:rsid w:val="006F08DA"/>
    <w:rsid w:val="00702EB7"/>
    <w:rsid w:val="00704B61"/>
    <w:rsid w:val="00713C92"/>
    <w:rsid w:val="00715327"/>
    <w:rsid w:val="00742A8D"/>
    <w:rsid w:val="0075191E"/>
    <w:rsid w:val="007552A9"/>
    <w:rsid w:val="00761858"/>
    <w:rsid w:val="00762FE7"/>
    <w:rsid w:val="00767D59"/>
    <w:rsid w:val="007700C7"/>
    <w:rsid w:val="0077063B"/>
    <w:rsid w:val="00772D15"/>
    <w:rsid w:val="00776E97"/>
    <w:rsid w:val="00780FD7"/>
    <w:rsid w:val="007912AD"/>
    <w:rsid w:val="007A1F28"/>
    <w:rsid w:val="007B0824"/>
    <w:rsid w:val="007B1637"/>
    <w:rsid w:val="007B59E6"/>
    <w:rsid w:val="00805FA5"/>
    <w:rsid w:val="008303B8"/>
    <w:rsid w:val="00833DCE"/>
    <w:rsid w:val="00841581"/>
    <w:rsid w:val="00842418"/>
    <w:rsid w:val="00864126"/>
    <w:rsid w:val="00871D34"/>
    <w:rsid w:val="008A7EA0"/>
    <w:rsid w:val="008B270C"/>
    <w:rsid w:val="008B5401"/>
    <w:rsid w:val="008C3D3D"/>
    <w:rsid w:val="008D4131"/>
    <w:rsid w:val="008E5A03"/>
    <w:rsid w:val="008F1932"/>
    <w:rsid w:val="008F294D"/>
    <w:rsid w:val="00911478"/>
    <w:rsid w:val="00916A58"/>
    <w:rsid w:val="00921062"/>
    <w:rsid w:val="0093083E"/>
    <w:rsid w:val="009451FF"/>
    <w:rsid w:val="00954AB4"/>
    <w:rsid w:val="009553DD"/>
    <w:rsid w:val="00955B0E"/>
    <w:rsid w:val="00966ECF"/>
    <w:rsid w:val="009727A3"/>
    <w:rsid w:val="00987774"/>
    <w:rsid w:val="00991A68"/>
    <w:rsid w:val="009A11E8"/>
    <w:rsid w:val="009A43A1"/>
    <w:rsid w:val="009D1EE0"/>
    <w:rsid w:val="009E4E62"/>
    <w:rsid w:val="009F5220"/>
    <w:rsid w:val="009F7C4D"/>
    <w:rsid w:val="00A12860"/>
    <w:rsid w:val="00A15234"/>
    <w:rsid w:val="00A154D5"/>
    <w:rsid w:val="00A201AB"/>
    <w:rsid w:val="00A31C8B"/>
    <w:rsid w:val="00A54733"/>
    <w:rsid w:val="00A66D4C"/>
    <w:rsid w:val="00A845DC"/>
    <w:rsid w:val="00A91420"/>
    <w:rsid w:val="00A97AEE"/>
    <w:rsid w:val="00AB3078"/>
    <w:rsid w:val="00AC5CF6"/>
    <w:rsid w:val="00AC7862"/>
    <w:rsid w:val="00B144FA"/>
    <w:rsid w:val="00B16F58"/>
    <w:rsid w:val="00B30648"/>
    <w:rsid w:val="00B322F4"/>
    <w:rsid w:val="00B3524D"/>
    <w:rsid w:val="00B40F69"/>
    <w:rsid w:val="00B46616"/>
    <w:rsid w:val="00B4758F"/>
    <w:rsid w:val="00B57A65"/>
    <w:rsid w:val="00B610E3"/>
    <w:rsid w:val="00B61205"/>
    <w:rsid w:val="00B617C4"/>
    <w:rsid w:val="00B626FA"/>
    <w:rsid w:val="00B6611F"/>
    <w:rsid w:val="00B66D87"/>
    <w:rsid w:val="00B7040A"/>
    <w:rsid w:val="00B80C0D"/>
    <w:rsid w:val="00B91BF3"/>
    <w:rsid w:val="00B947BF"/>
    <w:rsid w:val="00B94CF0"/>
    <w:rsid w:val="00B96FA0"/>
    <w:rsid w:val="00BB2AA8"/>
    <w:rsid w:val="00BD4196"/>
    <w:rsid w:val="00BD63A5"/>
    <w:rsid w:val="00BE4FE1"/>
    <w:rsid w:val="00BF22CA"/>
    <w:rsid w:val="00C0355E"/>
    <w:rsid w:val="00C26032"/>
    <w:rsid w:val="00C265B0"/>
    <w:rsid w:val="00C321B5"/>
    <w:rsid w:val="00C33303"/>
    <w:rsid w:val="00C345E1"/>
    <w:rsid w:val="00C74D85"/>
    <w:rsid w:val="00C9551E"/>
    <w:rsid w:val="00C977BA"/>
    <w:rsid w:val="00CB6E35"/>
    <w:rsid w:val="00CD4AEB"/>
    <w:rsid w:val="00CE1A46"/>
    <w:rsid w:val="00CE44D7"/>
    <w:rsid w:val="00CE66AC"/>
    <w:rsid w:val="00CF253F"/>
    <w:rsid w:val="00CF56B4"/>
    <w:rsid w:val="00D1102F"/>
    <w:rsid w:val="00D20F09"/>
    <w:rsid w:val="00D22636"/>
    <w:rsid w:val="00D40FD9"/>
    <w:rsid w:val="00D42256"/>
    <w:rsid w:val="00D53769"/>
    <w:rsid w:val="00D67604"/>
    <w:rsid w:val="00D73ADD"/>
    <w:rsid w:val="00D74CFD"/>
    <w:rsid w:val="00D85C13"/>
    <w:rsid w:val="00D91BE3"/>
    <w:rsid w:val="00D94AFC"/>
    <w:rsid w:val="00DB70AE"/>
    <w:rsid w:val="00DB7231"/>
    <w:rsid w:val="00DD07FC"/>
    <w:rsid w:val="00DD5071"/>
    <w:rsid w:val="00DD5C39"/>
    <w:rsid w:val="00DE26AF"/>
    <w:rsid w:val="00DE7DB7"/>
    <w:rsid w:val="00E00A0A"/>
    <w:rsid w:val="00E07F57"/>
    <w:rsid w:val="00E121E4"/>
    <w:rsid w:val="00E4586A"/>
    <w:rsid w:val="00E50BCE"/>
    <w:rsid w:val="00E61292"/>
    <w:rsid w:val="00E76309"/>
    <w:rsid w:val="00E77C4D"/>
    <w:rsid w:val="00E81D01"/>
    <w:rsid w:val="00E90C08"/>
    <w:rsid w:val="00E91953"/>
    <w:rsid w:val="00EA4F85"/>
    <w:rsid w:val="00EB133F"/>
    <w:rsid w:val="00EB38EB"/>
    <w:rsid w:val="00EC154C"/>
    <w:rsid w:val="00ED305F"/>
    <w:rsid w:val="00ED3481"/>
    <w:rsid w:val="00EE45D8"/>
    <w:rsid w:val="00F004CD"/>
    <w:rsid w:val="00F12507"/>
    <w:rsid w:val="00F22EDA"/>
    <w:rsid w:val="00F26555"/>
    <w:rsid w:val="00F3224D"/>
    <w:rsid w:val="00F33E0E"/>
    <w:rsid w:val="00F3723B"/>
    <w:rsid w:val="00F5664C"/>
    <w:rsid w:val="00F64613"/>
    <w:rsid w:val="00F72B81"/>
    <w:rsid w:val="00F73986"/>
    <w:rsid w:val="00FA7129"/>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75A9B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72"/>
    <w:qFormat/>
    <w:rsid w:val="000B6C45"/>
    <w:pPr>
      <w:widowControl w:val="0"/>
      <w:ind w:left="720"/>
    </w:pPr>
    <w:rPr>
      <w:rFonts w:eastAsia="ヒラギノ角ゴ Pro W3"/>
      <w:color w:val="000000"/>
      <w:sz w:val="20"/>
      <w:lang w:eastAsia="en-US"/>
    </w:rPr>
  </w:style>
  <w:style w:type="paragraph" w:customStyle="1" w:styleId="Normal1">
    <w:name w:val="Normal1"/>
    <w:basedOn w:val="Normal"/>
    <w:rsid w:val="00E919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51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019AD-0A72-40F6-BCB8-BFFA3310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1467</Words>
  <Characters>7115</Characters>
  <Application>Microsoft Office Word</Application>
  <DocSecurity>0</DocSecurity>
  <Lines>59</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2019-04-23T16:17:00Z</dcterms:created>
  <dcterms:modified xsi:type="dcterms:W3CDTF">2019-04-23T16:17:00Z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