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600AA" w14:textId="77777777" w:rsidR="00E273DE" w:rsidRDefault="00E273DE" w:rsidP="00E613E4">
      <w:pPr>
        <w:tabs>
          <w:tab w:val="right" w:pos="9720"/>
        </w:tabs>
        <w:spacing w:line="360" w:lineRule="auto"/>
        <w:ind w:right="-82"/>
        <w:outlineLvl w:val="0"/>
        <w:rPr>
          <w:rFonts w:ascii="Arial" w:hAnsi="Arial" w:cs="Arial"/>
          <w:b/>
          <w:color w:val="000000"/>
        </w:rPr>
      </w:pPr>
    </w:p>
    <w:p w14:paraId="009C9514" w14:textId="3B668313" w:rsidR="00E273DE" w:rsidRDefault="00E273DE" w:rsidP="00E273DE">
      <w:pPr>
        <w:tabs>
          <w:tab w:val="right" w:pos="9720"/>
        </w:tabs>
        <w:spacing w:line="360" w:lineRule="auto"/>
        <w:ind w:right="-82"/>
        <w:jc w:val="center"/>
        <w:outlineLvl w:val="0"/>
        <w:rPr>
          <w:rFonts w:ascii="Arial" w:hAnsi="Arial" w:cs="Arial"/>
          <w:b/>
          <w:color w:val="000000"/>
        </w:rPr>
      </w:pPr>
      <w:r w:rsidRPr="00E44430">
        <w:rPr>
          <w:noProof/>
        </w:rPr>
        <w:drawing>
          <wp:inline distT="0" distB="0" distL="0" distR="0" wp14:anchorId="0F7A2DDC" wp14:editId="1A9BE741">
            <wp:extent cx="1460500" cy="1123950"/>
            <wp:effectExtent l="0" t="0" r="635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8" cstate="print">
                      <a:extLst>
                        <a:ext uri="{28A0092B-C50C-407E-A947-70E740481C1C}">
                          <a14:useLocalDpi xmlns:a14="http://schemas.microsoft.com/office/drawing/2010/main" val="0"/>
                        </a:ext>
                      </a:extLst>
                    </a:blip>
                    <a:srcRect r="81479" b="-7669"/>
                    <a:stretch>
                      <a:fillRect/>
                    </a:stretch>
                  </pic:blipFill>
                  <pic:spPr bwMode="auto">
                    <a:xfrm>
                      <a:off x="0" y="0"/>
                      <a:ext cx="1460500" cy="1123950"/>
                    </a:xfrm>
                    <a:prstGeom prst="rect">
                      <a:avLst/>
                    </a:prstGeom>
                    <a:noFill/>
                    <a:ln>
                      <a:noFill/>
                    </a:ln>
                  </pic:spPr>
                </pic:pic>
              </a:graphicData>
            </a:graphic>
          </wp:inline>
        </w:drawing>
      </w:r>
    </w:p>
    <w:p w14:paraId="0E04E517" w14:textId="120FD58B" w:rsidR="00E613E4" w:rsidRPr="00B74B3C" w:rsidRDefault="00E613E4" w:rsidP="00E613E4">
      <w:pPr>
        <w:tabs>
          <w:tab w:val="right" w:pos="9720"/>
        </w:tabs>
        <w:spacing w:line="360" w:lineRule="auto"/>
        <w:ind w:right="-82"/>
        <w:outlineLvl w:val="0"/>
        <w:rPr>
          <w:rFonts w:ascii="Arial" w:hAnsi="Arial" w:cs="Arial"/>
          <w:b/>
          <w:color w:val="000000"/>
        </w:rPr>
      </w:pPr>
      <w:r w:rsidRPr="00B74B3C">
        <w:rPr>
          <w:rFonts w:ascii="Arial" w:hAnsi="Arial" w:cs="Arial"/>
          <w:b/>
          <w:color w:val="000000"/>
        </w:rPr>
        <w:t xml:space="preserve">Upper Tribunal </w:t>
      </w:r>
    </w:p>
    <w:p w14:paraId="6CD553AF" w14:textId="22F6EFAD" w:rsidR="00E613E4" w:rsidRPr="009835A5" w:rsidRDefault="00E613E4" w:rsidP="00E613E4">
      <w:pPr>
        <w:tabs>
          <w:tab w:val="right" w:pos="9720"/>
        </w:tabs>
        <w:spacing w:line="360" w:lineRule="auto"/>
        <w:ind w:right="-82"/>
        <w:rPr>
          <w:rFonts w:ascii="Arial" w:hAnsi="Arial" w:cs="Arial"/>
          <w:b/>
          <w:color w:val="000000"/>
        </w:rPr>
      </w:pPr>
      <w:r w:rsidRPr="00B74B3C">
        <w:rPr>
          <w:rFonts w:ascii="Arial" w:hAnsi="Arial" w:cs="Arial"/>
          <w:b/>
          <w:color w:val="000000"/>
        </w:rPr>
        <w:t>(Immigration and Asylum Chamber)</w:t>
      </w:r>
      <w:r w:rsidR="00D07F4E">
        <w:rPr>
          <w:rFonts w:ascii="Arial" w:hAnsi="Arial" w:cs="Arial"/>
          <w:b/>
          <w:color w:val="000000"/>
        </w:rPr>
        <w:tab/>
      </w:r>
      <w:r w:rsidRPr="00440EE7">
        <w:rPr>
          <w:rFonts w:ascii="Arial" w:hAnsi="Arial" w:cs="Arial"/>
          <w:b/>
          <w:color w:val="000000"/>
        </w:rPr>
        <w:t xml:space="preserve">Appeal Number: </w:t>
      </w:r>
      <w:r w:rsidR="009835A5" w:rsidRPr="009835A5">
        <w:rPr>
          <w:rFonts w:ascii="Arial" w:hAnsi="Arial" w:cs="Arial"/>
          <w:b/>
        </w:rPr>
        <w:t>PA/11598/2017</w:t>
      </w:r>
    </w:p>
    <w:p w14:paraId="4EF8407B" w14:textId="77777777" w:rsidR="00E613E4" w:rsidRPr="00B74B3C" w:rsidRDefault="00E613E4" w:rsidP="00E613E4">
      <w:pPr>
        <w:spacing w:line="360" w:lineRule="auto"/>
        <w:jc w:val="center"/>
        <w:rPr>
          <w:rFonts w:ascii="Arial" w:hAnsi="Arial" w:cs="Arial"/>
          <w:color w:val="000000"/>
        </w:rPr>
      </w:pPr>
    </w:p>
    <w:p w14:paraId="24CE9BB5" w14:textId="4CBF71C9" w:rsidR="00E613E4" w:rsidRDefault="00E613E4" w:rsidP="00E613E4">
      <w:pPr>
        <w:spacing w:line="360" w:lineRule="auto"/>
        <w:jc w:val="center"/>
        <w:outlineLvl w:val="0"/>
        <w:rPr>
          <w:rFonts w:ascii="Arial" w:hAnsi="Arial" w:cs="Arial"/>
          <w:b/>
          <w:color w:val="000000"/>
          <w:u w:val="single"/>
        </w:rPr>
      </w:pPr>
      <w:r w:rsidRPr="00B74B3C">
        <w:rPr>
          <w:rFonts w:ascii="Arial" w:hAnsi="Arial" w:cs="Arial"/>
          <w:b/>
          <w:color w:val="000000"/>
          <w:u w:val="single"/>
        </w:rPr>
        <w:t>THE IMMIGRATION ACTS</w:t>
      </w:r>
    </w:p>
    <w:p w14:paraId="677D0D59" w14:textId="77777777" w:rsidR="00D07F4E" w:rsidRPr="00B74B3C" w:rsidRDefault="00D07F4E" w:rsidP="00E613E4">
      <w:pPr>
        <w:spacing w:line="360" w:lineRule="auto"/>
        <w:jc w:val="center"/>
        <w:outlineLvl w:val="0"/>
        <w:rPr>
          <w:rFonts w:ascii="Arial" w:hAnsi="Arial" w:cs="Arial"/>
          <w:b/>
          <w:color w:val="000000"/>
          <w:u w:val="single"/>
        </w:rPr>
      </w:pPr>
    </w:p>
    <w:tbl>
      <w:tblPr>
        <w:tblW w:w="0" w:type="auto"/>
        <w:tblLook w:val="01E0" w:firstRow="1" w:lastRow="1" w:firstColumn="1" w:lastColumn="1" w:noHBand="0" w:noVBand="0"/>
      </w:tblPr>
      <w:tblGrid>
        <w:gridCol w:w="4673"/>
        <w:gridCol w:w="4343"/>
      </w:tblGrid>
      <w:tr w:rsidR="00E613E4" w:rsidRPr="00B74B3C" w14:paraId="03A0CA21" w14:textId="77777777" w:rsidTr="00355BEE">
        <w:tc>
          <w:tcPr>
            <w:tcW w:w="4673" w:type="dxa"/>
          </w:tcPr>
          <w:p w14:paraId="25382D3F" w14:textId="43B0C29F" w:rsidR="00E613E4" w:rsidRPr="0083360D" w:rsidRDefault="00E613E4" w:rsidP="00DA1D16">
            <w:pPr>
              <w:spacing w:line="360" w:lineRule="auto"/>
              <w:jc w:val="both"/>
              <w:rPr>
                <w:rFonts w:ascii="Arial" w:hAnsi="Arial" w:cs="Arial"/>
                <w:b/>
              </w:rPr>
            </w:pPr>
            <w:r w:rsidRPr="0083360D">
              <w:rPr>
                <w:rFonts w:ascii="Arial" w:hAnsi="Arial" w:cs="Arial"/>
                <w:b/>
              </w:rPr>
              <w:t xml:space="preserve">Heard at </w:t>
            </w:r>
            <w:r w:rsidR="009835A5">
              <w:rPr>
                <w:rFonts w:ascii="Arial" w:hAnsi="Arial" w:cs="Arial"/>
                <w:b/>
              </w:rPr>
              <w:t>Liverpool Civil Justice Cen</w:t>
            </w:r>
            <w:r w:rsidR="00355BEE">
              <w:rPr>
                <w:rFonts w:ascii="Arial" w:hAnsi="Arial" w:cs="Arial"/>
                <w:b/>
              </w:rPr>
              <w:t>t</w:t>
            </w:r>
            <w:r w:rsidR="009835A5">
              <w:rPr>
                <w:rFonts w:ascii="Arial" w:hAnsi="Arial" w:cs="Arial"/>
                <w:b/>
              </w:rPr>
              <w:t>re</w:t>
            </w:r>
            <w:r w:rsidRPr="0083360D">
              <w:rPr>
                <w:rFonts w:ascii="Arial" w:hAnsi="Arial" w:cs="Arial"/>
                <w:b/>
              </w:rPr>
              <w:t xml:space="preserve">  </w:t>
            </w:r>
          </w:p>
        </w:tc>
        <w:tc>
          <w:tcPr>
            <w:tcW w:w="4343" w:type="dxa"/>
          </w:tcPr>
          <w:p w14:paraId="772C9017" w14:textId="13DA2783" w:rsidR="00E613E4" w:rsidRPr="00B74B3C" w:rsidRDefault="00E613E4" w:rsidP="00DA1D16">
            <w:pPr>
              <w:spacing w:line="360" w:lineRule="auto"/>
              <w:jc w:val="both"/>
              <w:rPr>
                <w:rFonts w:ascii="Arial" w:hAnsi="Arial" w:cs="Arial"/>
                <w:b/>
                <w:color w:val="000000"/>
              </w:rPr>
            </w:pPr>
            <w:r>
              <w:rPr>
                <w:rFonts w:ascii="Arial" w:hAnsi="Arial" w:cs="Arial"/>
                <w:b/>
                <w:color w:val="000000"/>
              </w:rPr>
              <w:t>Decision</w:t>
            </w:r>
            <w:r w:rsidR="00355BEE">
              <w:rPr>
                <w:rFonts w:ascii="Arial" w:hAnsi="Arial" w:cs="Arial"/>
                <w:b/>
                <w:color w:val="000000"/>
              </w:rPr>
              <w:t xml:space="preserve"> &amp; Reasons</w:t>
            </w:r>
            <w:r w:rsidRPr="00B74B3C">
              <w:rPr>
                <w:rFonts w:ascii="Arial" w:hAnsi="Arial" w:cs="Arial"/>
                <w:b/>
                <w:color w:val="000000"/>
              </w:rPr>
              <w:t xml:space="preserve"> Promulgated</w:t>
            </w:r>
          </w:p>
        </w:tc>
      </w:tr>
      <w:tr w:rsidR="00E613E4" w:rsidRPr="00B74B3C" w14:paraId="5D4964DF" w14:textId="77777777" w:rsidTr="00355BEE">
        <w:tc>
          <w:tcPr>
            <w:tcW w:w="4673" w:type="dxa"/>
          </w:tcPr>
          <w:p w14:paraId="4A770C8F" w14:textId="5BCFEE50" w:rsidR="00E613E4" w:rsidRPr="0083360D" w:rsidRDefault="00E613E4" w:rsidP="00DA1D16">
            <w:pPr>
              <w:spacing w:line="360" w:lineRule="auto"/>
              <w:jc w:val="both"/>
              <w:rPr>
                <w:rFonts w:ascii="Arial" w:hAnsi="Arial" w:cs="Arial"/>
                <w:b/>
              </w:rPr>
            </w:pPr>
            <w:r w:rsidRPr="0083360D">
              <w:rPr>
                <w:rFonts w:ascii="Arial" w:hAnsi="Arial" w:cs="Arial"/>
                <w:b/>
              </w:rPr>
              <w:t xml:space="preserve">On </w:t>
            </w:r>
            <w:r w:rsidR="009835A5" w:rsidRPr="009835A5">
              <w:rPr>
                <w:rFonts w:ascii="Arial" w:hAnsi="Arial" w:cs="Arial"/>
                <w:b/>
              </w:rPr>
              <w:t>4 July</w:t>
            </w:r>
            <w:r w:rsidR="009835A5">
              <w:rPr>
                <w:rFonts w:ascii="Arial" w:hAnsi="Arial" w:cs="Arial"/>
              </w:rPr>
              <w:t xml:space="preserve"> </w:t>
            </w:r>
            <w:r w:rsidRPr="0083360D">
              <w:rPr>
                <w:rFonts w:ascii="Arial" w:hAnsi="Arial" w:cs="Arial"/>
                <w:b/>
              </w:rPr>
              <w:t>2018</w:t>
            </w:r>
          </w:p>
        </w:tc>
        <w:tc>
          <w:tcPr>
            <w:tcW w:w="4343" w:type="dxa"/>
          </w:tcPr>
          <w:p w14:paraId="5429A91B" w14:textId="7CF19006" w:rsidR="00E613E4" w:rsidRPr="00B74B3C" w:rsidRDefault="00355BEE" w:rsidP="00DA1D16">
            <w:pPr>
              <w:spacing w:line="360" w:lineRule="auto"/>
              <w:jc w:val="both"/>
              <w:rPr>
                <w:rFonts w:ascii="Arial" w:hAnsi="Arial" w:cs="Arial"/>
                <w:b/>
              </w:rPr>
            </w:pPr>
            <w:r>
              <w:rPr>
                <w:rFonts w:ascii="Arial" w:hAnsi="Arial" w:cs="Arial"/>
                <w:b/>
              </w:rPr>
              <w:t>On 9 July 2018</w:t>
            </w:r>
          </w:p>
        </w:tc>
      </w:tr>
      <w:tr w:rsidR="00E613E4" w:rsidRPr="00B74B3C" w14:paraId="3C1507D0" w14:textId="77777777" w:rsidTr="00355BEE">
        <w:tc>
          <w:tcPr>
            <w:tcW w:w="4673" w:type="dxa"/>
          </w:tcPr>
          <w:p w14:paraId="63AFA6B6" w14:textId="77777777" w:rsidR="00E613E4" w:rsidRPr="00B74B3C" w:rsidRDefault="00E613E4" w:rsidP="00DA1D16">
            <w:pPr>
              <w:spacing w:line="360" w:lineRule="auto"/>
              <w:jc w:val="both"/>
              <w:rPr>
                <w:rFonts w:ascii="Arial" w:hAnsi="Arial" w:cs="Arial"/>
                <w:b/>
              </w:rPr>
            </w:pPr>
          </w:p>
        </w:tc>
        <w:tc>
          <w:tcPr>
            <w:tcW w:w="4343" w:type="dxa"/>
          </w:tcPr>
          <w:p w14:paraId="649B7CF1" w14:textId="49479AEA" w:rsidR="00E613E4" w:rsidRPr="00B74B3C" w:rsidRDefault="00E613E4" w:rsidP="00DA1D16">
            <w:pPr>
              <w:spacing w:line="360" w:lineRule="auto"/>
              <w:jc w:val="both"/>
              <w:rPr>
                <w:rFonts w:ascii="Arial" w:hAnsi="Arial" w:cs="Arial"/>
                <w:b/>
              </w:rPr>
            </w:pPr>
          </w:p>
        </w:tc>
      </w:tr>
    </w:tbl>
    <w:p w14:paraId="0DD97D60" w14:textId="77777777" w:rsidR="00E613E4" w:rsidRPr="00B74B3C" w:rsidRDefault="00E613E4" w:rsidP="00E613E4">
      <w:pPr>
        <w:spacing w:line="360" w:lineRule="auto"/>
        <w:jc w:val="center"/>
        <w:outlineLvl w:val="0"/>
        <w:rPr>
          <w:rFonts w:ascii="Arial" w:hAnsi="Arial" w:cs="Arial"/>
          <w:b/>
        </w:rPr>
      </w:pPr>
      <w:r w:rsidRPr="00B74B3C">
        <w:rPr>
          <w:rFonts w:ascii="Arial" w:hAnsi="Arial" w:cs="Arial"/>
          <w:b/>
        </w:rPr>
        <w:t>Before</w:t>
      </w:r>
    </w:p>
    <w:p w14:paraId="6BAB71F0" w14:textId="77777777" w:rsidR="00E613E4" w:rsidRPr="00B74B3C" w:rsidRDefault="00E613E4" w:rsidP="00E613E4">
      <w:pPr>
        <w:spacing w:line="360" w:lineRule="auto"/>
        <w:jc w:val="center"/>
        <w:outlineLvl w:val="0"/>
        <w:rPr>
          <w:rFonts w:ascii="Arial" w:hAnsi="Arial" w:cs="Arial"/>
          <w:b/>
          <w:color w:val="000000"/>
        </w:rPr>
      </w:pPr>
      <w:r>
        <w:rPr>
          <w:rFonts w:ascii="Arial" w:hAnsi="Arial" w:cs="Arial"/>
          <w:b/>
          <w:color w:val="000000"/>
        </w:rPr>
        <w:t>DEPUTY UPPER</w:t>
      </w:r>
      <w:r w:rsidRPr="00B74B3C">
        <w:rPr>
          <w:rFonts w:ascii="Arial" w:hAnsi="Arial" w:cs="Arial"/>
          <w:b/>
          <w:color w:val="000000"/>
        </w:rPr>
        <w:t xml:space="preserve"> TRIBUNAL</w:t>
      </w:r>
      <w:r>
        <w:rPr>
          <w:rFonts w:ascii="Arial" w:hAnsi="Arial" w:cs="Arial"/>
          <w:b/>
          <w:color w:val="000000"/>
        </w:rPr>
        <w:t xml:space="preserve"> JUDGE</w:t>
      </w:r>
      <w:r w:rsidRPr="00B74B3C">
        <w:rPr>
          <w:rFonts w:ascii="Arial" w:hAnsi="Arial" w:cs="Arial"/>
          <w:b/>
          <w:color w:val="000000"/>
        </w:rPr>
        <w:t xml:space="preserve"> </w:t>
      </w:r>
      <w:r>
        <w:rPr>
          <w:rFonts w:ascii="Arial" w:hAnsi="Arial" w:cs="Arial"/>
          <w:b/>
          <w:color w:val="000000"/>
        </w:rPr>
        <w:t>BIRRELL</w:t>
      </w:r>
    </w:p>
    <w:p w14:paraId="2B3EE885" w14:textId="77777777" w:rsidR="00E613E4" w:rsidRPr="00B74B3C" w:rsidRDefault="00E613E4" w:rsidP="00E613E4">
      <w:pPr>
        <w:spacing w:line="360" w:lineRule="auto"/>
        <w:jc w:val="center"/>
        <w:rPr>
          <w:rFonts w:ascii="Arial" w:hAnsi="Arial" w:cs="Arial"/>
          <w:b/>
          <w:color w:val="000000"/>
        </w:rPr>
      </w:pPr>
    </w:p>
    <w:p w14:paraId="276AF230" w14:textId="77777777" w:rsidR="00E613E4" w:rsidRPr="00B74B3C" w:rsidRDefault="00E613E4" w:rsidP="00E613E4">
      <w:pPr>
        <w:spacing w:line="360" w:lineRule="auto"/>
        <w:jc w:val="center"/>
        <w:outlineLvl w:val="0"/>
        <w:rPr>
          <w:rFonts w:ascii="Arial" w:hAnsi="Arial" w:cs="Arial"/>
          <w:b/>
        </w:rPr>
      </w:pPr>
      <w:r w:rsidRPr="00B74B3C">
        <w:rPr>
          <w:rFonts w:ascii="Arial" w:hAnsi="Arial" w:cs="Arial"/>
          <w:b/>
        </w:rPr>
        <w:t>Between</w:t>
      </w:r>
    </w:p>
    <w:p w14:paraId="4EC00247" w14:textId="46B1A35D" w:rsidR="009835A5" w:rsidRPr="009835A5" w:rsidRDefault="009835A5" w:rsidP="00E613E4">
      <w:pPr>
        <w:spacing w:line="360" w:lineRule="auto"/>
        <w:jc w:val="center"/>
        <w:rPr>
          <w:rFonts w:ascii="Arial" w:hAnsi="Arial" w:cs="Arial"/>
          <w:b/>
          <w:color w:val="000000"/>
        </w:rPr>
      </w:pPr>
      <w:r w:rsidRPr="009835A5">
        <w:rPr>
          <w:rFonts w:ascii="Arial" w:hAnsi="Arial" w:cs="Arial"/>
          <w:b/>
        </w:rPr>
        <w:t>A</w:t>
      </w:r>
      <w:bookmarkStart w:id="0" w:name="_GoBack"/>
      <w:bookmarkEnd w:id="0"/>
      <w:r w:rsidRPr="009835A5">
        <w:rPr>
          <w:rFonts w:ascii="Arial" w:hAnsi="Arial" w:cs="Arial"/>
          <w:b/>
        </w:rPr>
        <w:t xml:space="preserve"> Q</w:t>
      </w:r>
      <w:r w:rsidR="00E613E4" w:rsidRPr="009835A5">
        <w:rPr>
          <w:rFonts w:ascii="Arial" w:hAnsi="Arial" w:cs="Arial"/>
          <w:b/>
          <w:color w:val="000000"/>
        </w:rPr>
        <w:t xml:space="preserve"> </w:t>
      </w:r>
    </w:p>
    <w:p w14:paraId="4CD9D3EF" w14:textId="761FC8CE" w:rsidR="00E613E4" w:rsidRPr="00D07F4E" w:rsidRDefault="00E613E4" w:rsidP="00E613E4">
      <w:pPr>
        <w:spacing w:line="360" w:lineRule="auto"/>
        <w:jc w:val="center"/>
        <w:rPr>
          <w:rFonts w:ascii="Arial" w:hAnsi="Arial" w:cs="Arial"/>
          <w:b/>
          <w:color w:val="000000"/>
          <w:sz w:val="22"/>
        </w:rPr>
      </w:pPr>
      <w:r w:rsidRPr="00D07F4E">
        <w:rPr>
          <w:rFonts w:ascii="Arial" w:hAnsi="Arial" w:cs="Arial"/>
          <w:b/>
          <w:color w:val="000000"/>
          <w:sz w:val="22"/>
        </w:rPr>
        <w:t>(ANONYMITY DIRECTION MADE)</w:t>
      </w:r>
    </w:p>
    <w:p w14:paraId="5BA45003" w14:textId="77777777" w:rsidR="00E613E4" w:rsidRPr="00B74B3C" w:rsidRDefault="00E613E4" w:rsidP="00E613E4">
      <w:pPr>
        <w:spacing w:line="360" w:lineRule="auto"/>
        <w:jc w:val="right"/>
        <w:outlineLvl w:val="0"/>
        <w:rPr>
          <w:rFonts w:ascii="Arial" w:hAnsi="Arial" w:cs="Arial"/>
          <w:u w:val="single"/>
        </w:rPr>
      </w:pPr>
      <w:r w:rsidRPr="00B74B3C">
        <w:rPr>
          <w:rFonts w:ascii="Arial" w:hAnsi="Arial" w:cs="Arial"/>
          <w:u w:val="single"/>
        </w:rPr>
        <w:t>Appellant</w:t>
      </w:r>
    </w:p>
    <w:p w14:paraId="499E7B46" w14:textId="77777777" w:rsidR="00E613E4" w:rsidRPr="00B74B3C" w:rsidRDefault="00E613E4" w:rsidP="00E613E4">
      <w:pPr>
        <w:spacing w:line="360" w:lineRule="auto"/>
        <w:jc w:val="center"/>
        <w:rPr>
          <w:rFonts w:ascii="Arial" w:hAnsi="Arial" w:cs="Arial"/>
          <w:b/>
        </w:rPr>
      </w:pPr>
      <w:r w:rsidRPr="00B74B3C">
        <w:rPr>
          <w:rFonts w:ascii="Arial" w:hAnsi="Arial" w:cs="Arial"/>
          <w:b/>
        </w:rPr>
        <w:t>and</w:t>
      </w:r>
    </w:p>
    <w:p w14:paraId="7EBEBF75" w14:textId="77777777" w:rsidR="00E613E4" w:rsidRPr="00B74B3C" w:rsidRDefault="00E613E4" w:rsidP="00E613E4">
      <w:pPr>
        <w:spacing w:line="360" w:lineRule="auto"/>
        <w:jc w:val="center"/>
        <w:outlineLvl w:val="0"/>
        <w:rPr>
          <w:rFonts w:ascii="Arial" w:hAnsi="Arial" w:cs="Arial"/>
          <w:b/>
        </w:rPr>
      </w:pPr>
      <w:r w:rsidRPr="00B74B3C">
        <w:rPr>
          <w:rFonts w:ascii="Arial" w:hAnsi="Arial" w:cs="Arial"/>
          <w:b/>
        </w:rPr>
        <w:t>SECRETARY OF STATE FOR THE HOME DEPARTMENT</w:t>
      </w:r>
    </w:p>
    <w:p w14:paraId="76C3DE5E" w14:textId="77777777" w:rsidR="00E613E4" w:rsidRPr="00B74B3C" w:rsidRDefault="00E613E4" w:rsidP="00E613E4">
      <w:pPr>
        <w:spacing w:line="360" w:lineRule="auto"/>
        <w:jc w:val="right"/>
        <w:outlineLvl w:val="0"/>
        <w:rPr>
          <w:rFonts w:ascii="Arial" w:hAnsi="Arial" w:cs="Arial"/>
          <w:u w:val="single"/>
        </w:rPr>
      </w:pPr>
      <w:r w:rsidRPr="00B74B3C">
        <w:rPr>
          <w:rFonts w:ascii="Arial" w:hAnsi="Arial" w:cs="Arial"/>
          <w:u w:val="single"/>
        </w:rPr>
        <w:t>Respondent</w:t>
      </w:r>
    </w:p>
    <w:p w14:paraId="4B15BC35" w14:textId="77777777" w:rsidR="00D07F4E" w:rsidRDefault="00D07F4E" w:rsidP="00E613E4">
      <w:pPr>
        <w:spacing w:line="360" w:lineRule="auto"/>
        <w:outlineLvl w:val="0"/>
        <w:rPr>
          <w:rFonts w:ascii="Arial" w:hAnsi="Arial" w:cs="Arial"/>
          <w:b/>
          <w:u w:val="single"/>
        </w:rPr>
      </w:pPr>
    </w:p>
    <w:p w14:paraId="5336A785" w14:textId="76558D2C" w:rsidR="00E613E4" w:rsidRPr="00B74B3C" w:rsidRDefault="00E613E4" w:rsidP="00E613E4">
      <w:pPr>
        <w:spacing w:line="360" w:lineRule="auto"/>
        <w:outlineLvl w:val="0"/>
        <w:rPr>
          <w:rFonts w:ascii="Arial" w:hAnsi="Arial" w:cs="Arial"/>
        </w:rPr>
      </w:pPr>
      <w:r w:rsidRPr="00B74B3C">
        <w:rPr>
          <w:rFonts w:ascii="Arial" w:hAnsi="Arial" w:cs="Arial"/>
          <w:b/>
          <w:u w:val="single"/>
        </w:rPr>
        <w:t>Representation</w:t>
      </w:r>
      <w:r w:rsidRPr="00B74B3C">
        <w:rPr>
          <w:rFonts w:ascii="Arial" w:hAnsi="Arial" w:cs="Arial"/>
          <w:b/>
        </w:rPr>
        <w:t>:</w:t>
      </w:r>
    </w:p>
    <w:p w14:paraId="72C57E64" w14:textId="5CFD76E8" w:rsidR="00E613E4" w:rsidRPr="00B74B3C" w:rsidRDefault="00E613E4" w:rsidP="00E613E4">
      <w:pPr>
        <w:tabs>
          <w:tab w:val="left" w:pos="2520"/>
        </w:tabs>
        <w:spacing w:line="360" w:lineRule="auto"/>
        <w:outlineLvl w:val="0"/>
        <w:rPr>
          <w:rFonts w:ascii="Arial" w:hAnsi="Arial" w:cs="Arial"/>
        </w:rPr>
      </w:pPr>
      <w:r w:rsidRPr="00B74B3C">
        <w:rPr>
          <w:rFonts w:ascii="Arial" w:hAnsi="Arial" w:cs="Arial"/>
        </w:rPr>
        <w:t>For the Appellant:</w:t>
      </w:r>
      <w:r>
        <w:rPr>
          <w:rFonts w:ascii="Arial" w:hAnsi="Arial" w:cs="Arial"/>
        </w:rPr>
        <w:t xml:space="preserve"> </w:t>
      </w:r>
      <w:r w:rsidR="009835A5">
        <w:rPr>
          <w:rFonts w:ascii="Arial" w:hAnsi="Arial" w:cs="Arial"/>
        </w:rPr>
        <w:t>Mr Sadiq of Adam Solicitors</w:t>
      </w:r>
      <w:r w:rsidRPr="00B74B3C">
        <w:rPr>
          <w:rFonts w:ascii="Arial" w:hAnsi="Arial" w:cs="Arial"/>
        </w:rPr>
        <w:tab/>
      </w:r>
    </w:p>
    <w:p w14:paraId="1D8EC3CE" w14:textId="4BB3845B" w:rsidR="00E613E4" w:rsidRDefault="00E613E4" w:rsidP="00E613E4">
      <w:pPr>
        <w:tabs>
          <w:tab w:val="left" w:pos="2520"/>
        </w:tabs>
        <w:spacing w:line="360" w:lineRule="auto"/>
        <w:rPr>
          <w:rFonts w:ascii="Arial" w:hAnsi="Arial" w:cs="Arial"/>
        </w:rPr>
      </w:pPr>
      <w:r w:rsidRPr="00B74B3C">
        <w:rPr>
          <w:rFonts w:ascii="Arial" w:hAnsi="Arial" w:cs="Arial"/>
        </w:rPr>
        <w:t>For the Respondent:</w:t>
      </w:r>
      <w:r>
        <w:rPr>
          <w:rFonts w:ascii="Arial" w:hAnsi="Arial" w:cs="Arial"/>
        </w:rPr>
        <w:t xml:space="preserve"> </w:t>
      </w:r>
      <w:r w:rsidR="009835A5">
        <w:rPr>
          <w:rFonts w:ascii="Arial" w:hAnsi="Arial" w:cs="Arial"/>
        </w:rPr>
        <w:t xml:space="preserve">Mr C Bates </w:t>
      </w:r>
      <w:r w:rsidRPr="0083360D">
        <w:rPr>
          <w:rFonts w:ascii="Arial" w:hAnsi="Arial" w:cs="Arial"/>
        </w:rPr>
        <w:t>Senior Home Office Presenting Officer</w:t>
      </w:r>
    </w:p>
    <w:p w14:paraId="08FA8AE2" w14:textId="1BE21466" w:rsidR="00E613E4" w:rsidRDefault="00E613E4" w:rsidP="00D07F4E">
      <w:pPr>
        <w:spacing w:before="240" w:line="360" w:lineRule="auto"/>
        <w:jc w:val="center"/>
        <w:rPr>
          <w:rFonts w:ascii="Arial" w:hAnsi="Arial" w:cs="Arial"/>
          <w:b/>
          <w:u w:val="single"/>
        </w:rPr>
      </w:pPr>
      <w:r>
        <w:rPr>
          <w:rFonts w:ascii="Arial" w:hAnsi="Arial" w:cs="Arial"/>
          <w:b/>
          <w:u w:val="single"/>
        </w:rPr>
        <w:t>DECISION AND REASONS</w:t>
      </w:r>
    </w:p>
    <w:p w14:paraId="0EAEB9CD" w14:textId="77777777" w:rsidR="00E613E4" w:rsidRPr="00AD1D26" w:rsidRDefault="00E613E4" w:rsidP="00E613E4">
      <w:pPr>
        <w:spacing w:before="240" w:line="360" w:lineRule="auto"/>
        <w:jc w:val="both"/>
        <w:rPr>
          <w:rFonts w:ascii="Arial" w:hAnsi="Arial" w:cs="Arial"/>
          <w:u w:val="single"/>
        </w:rPr>
      </w:pPr>
      <w:r w:rsidRPr="00AD1D26">
        <w:rPr>
          <w:rFonts w:ascii="Arial" w:hAnsi="Arial" w:cs="Arial"/>
          <w:u w:val="single"/>
        </w:rPr>
        <w:t>Introduction</w:t>
      </w:r>
    </w:p>
    <w:p w14:paraId="601A9BB4" w14:textId="3057088C" w:rsidR="00E613E4" w:rsidRDefault="009835A5" w:rsidP="00E613E4">
      <w:pPr>
        <w:numPr>
          <w:ilvl w:val="0"/>
          <w:numId w:val="1"/>
        </w:numPr>
        <w:spacing w:line="360" w:lineRule="auto"/>
        <w:jc w:val="both"/>
        <w:rPr>
          <w:rFonts w:ascii="Arial" w:hAnsi="Arial" w:cs="Arial"/>
        </w:rPr>
      </w:pPr>
      <w:r>
        <w:rPr>
          <w:rFonts w:ascii="Arial" w:hAnsi="Arial" w:cs="Arial"/>
        </w:rPr>
        <w:t>An</w:t>
      </w:r>
      <w:r w:rsidR="00E613E4">
        <w:rPr>
          <w:rFonts w:ascii="Arial" w:hAnsi="Arial" w:cs="Arial"/>
        </w:rPr>
        <w:t xml:space="preserve"> anonymity direction was made previously in respect of this Appellant</w:t>
      </w:r>
      <w:r>
        <w:rPr>
          <w:rFonts w:ascii="Arial" w:hAnsi="Arial" w:cs="Arial"/>
        </w:rPr>
        <w:t xml:space="preserve"> and will continue.</w:t>
      </w:r>
    </w:p>
    <w:p w14:paraId="77D42500" w14:textId="566682A7" w:rsidR="00E613E4" w:rsidRDefault="00E613E4" w:rsidP="00E613E4">
      <w:pPr>
        <w:numPr>
          <w:ilvl w:val="0"/>
          <w:numId w:val="1"/>
        </w:numPr>
        <w:spacing w:line="360" w:lineRule="auto"/>
        <w:jc w:val="both"/>
        <w:rPr>
          <w:rFonts w:ascii="Arial" w:hAnsi="Arial" w:cs="Arial"/>
        </w:rPr>
      </w:pPr>
      <w:r>
        <w:rPr>
          <w:rFonts w:ascii="Arial" w:hAnsi="Arial" w:cs="Arial"/>
        </w:rPr>
        <w:t xml:space="preserve">The Appellant was born on </w:t>
      </w:r>
      <w:r w:rsidR="009835A5">
        <w:rPr>
          <w:rFonts w:ascii="Arial" w:hAnsi="Arial" w:cs="Arial"/>
        </w:rPr>
        <w:t>1 January 1983</w:t>
      </w:r>
      <w:r w:rsidR="00D07F4E">
        <w:rPr>
          <w:rFonts w:ascii="Arial" w:hAnsi="Arial" w:cs="Arial"/>
        </w:rPr>
        <w:t xml:space="preserve"> </w:t>
      </w:r>
      <w:r>
        <w:rPr>
          <w:rFonts w:ascii="Arial" w:hAnsi="Arial" w:cs="Arial"/>
        </w:rPr>
        <w:t xml:space="preserve">and is a national of </w:t>
      </w:r>
      <w:r w:rsidR="009835A5">
        <w:rPr>
          <w:rFonts w:ascii="Arial" w:hAnsi="Arial" w:cs="Arial"/>
        </w:rPr>
        <w:t>Iraq.</w:t>
      </w:r>
    </w:p>
    <w:p w14:paraId="209C5E53" w14:textId="77777777" w:rsidR="00E613E4" w:rsidRDefault="00E613E4" w:rsidP="00E613E4">
      <w:pPr>
        <w:spacing w:line="360" w:lineRule="auto"/>
        <w:ind w:left="360"/>
        <w:jc w:val="both"/>
        <w:rPr>
          <w:rFonts w:ascii="Arial" w:hAnsi="Arial" w:cs="Arial"/>
        </w:rPr>
      </w:pPr>
    </w:p>
    <w:p w14:paraId="29DB4A3B" w14:textId="77777777" w:rsidR="00E613E4" w:rsidRDefault="00E613E4" w:rsidP="00E613E4">
      <w:pPr>
        <w:numPr>
          <w:ilvl w:val="0"/>
          <w:numId w:val="1"/>
        </w:numPr>
        <w:spacing w:line="360" w:lineRule="auto"/>
        <w:jc w:val="both"/>
        <w:rPr>
          <w:rFonts w:ascii="Arial" w:hAnsi="Arial" w:cs="Arial"/>
        </w:rPr>
      </w:pPr>
      <w:r>
        <w:rPr>
          <w:rFonts w:ascii="Arial" w:hAnsi="Arial" w:cs="Arial"/>
        </w:rPr>
        <w:t>I</w:t>
      </w:r>
      <w:r w:rsidRPr="00B234FF">
        <w:rPr>
          <w:rFonts w:ascii="Arial" w:hAnsi="Arial" w:cs="Arial"/>
        </w:rPr>
        <w:t>n order to avoid confusion, the parties are referred to as they were in the First-tier Tribunal.</w:t>
      </w:r>
    </w:p>
    <w:p w14:paraId="5CBB7620" w14:textId="5E4F0396" w:rsidR="00E613E4" w:rsidRPr="00605F4A" w:rsidRDefault="00E613E4" w:rsidP="00E613E4">
      <w:pPr>
        <w:numPr>
          <w:ilvl w:val="0"/>
          <w:numId w:val="1"/>
        </w:numPr>
        <w:spacing w:line="360" w:lineRule="auto"/>
        <w:jc w:val="both"/>
        <w:rPr>
          <w:rFonts w:ascii="Arial" w:hAnsi="Arial" w:cs="Arial"/>
          <w:u w:val="single"/>
        </w:rPr>
      </w:pPr>
      <w:r w:rsidRPr="00605F4A">
        <w:rPr>
          <w:rFonts w:ascii="Arial" w:hAnsi="Arial" w:cs="Arial"/>
        </w:rPr>
        <w:t xml:space="preserve">This is an appeal by the </w:t>
      </w:r>
      <w:r w:rsidR="009835A5">
        <w:rPr>
          <w:rFonts w:ascii="Arial" w:hAnsi="Arial" w:cs="Arial"/>
        </w:rPr>
        <w:t xml:space="preserve">Respondent </w:t>
      </w:r>
      <w:r w:rsidRPr="00605F4A">
        <w:rPr>
          <w:rFonts w:ascii="Arial" w:hAnsi="Arial" w:cs="Arial"/>
        </w:rPr>
        <w:t xml:space="preserve">against the decision of First-tier Tribunal Judge </w:t>
      </w:r>
      <w:proofErr w:type="spellStart"/>
      <w:r w:rsidR="009835A5">
        <w:rPr>
          <w:rFonts w:ascii="Arial" w:hAnsi="Arial" w:cs="Arial"/>
        </w:rPr>
        <w:t>Swinnerton</w:t>
      </w:r>
      <w:proofErr w:type="spellEnd"/>
      <w:r w:rsidRPr="00605F4A">
        <w:rPr>
          <w:rFonts w:ascii="Arial" w:hAnsi="Arial" w:cs="Arial"/>
        </w:rPr>
        <w:t xml:space="preserve"> promulgated on </w:t>
      </w:r>
      <w:r w:rsidR="009835A5">
        <w:rPr>
          <w:rFonts w:ascii="Arial" w:hAnsi="Arial" w:cs="Arial"/>
        </w:rPr>
        <w:t xml:space="preserve">15 January 2018 </w:t>
      </w:r>
      <w:r w:rsidRPr="00605F4A">
        <w:rPr>
          <w:rFonts w:ascii="Arial" w:hAnsi="Arial" w:cs="Arial"/>
        </w:rPr>
        <w:t xml:space="preserve">which </w:t>
      </w:r>
      <w:r w:rsidR="009835A5">
        <w:rPr>
          <w:rFonts w:ascii="Arial" w:hAnsi="Arial" w:cs="Arial"/>
        </w:rPr>
        <w:t xml:space="preserve">allowed </w:t>
      </w:r>
      <w:r w:rsidRPr="00605F4A">
        <w:rPr>
          <w:rFonts w:ascii="Arial" w:hAnsi="Arial" w:cs="Arial"/>
        </w:rPr>
        <w:t>the Appellant’s appeal against the decision of the Respon</w:t>
      </w:r>
      <w:r w:rsidRPr="00605F4A">
        <w:rPr>
          <w:rFonts w:ascii="Arial" w:hAnsi="Arial" w:cs="Arial"/>
          <w:color w:val="000000"/>
        </w:rPr>
        <w:t xml:space="preserve">dent dated </w:t>
      </w:r>
      <w:r w:rsidR="009835A5">
        <w:rPr>
          <w:rFonts w:ascii="Arial" w:hAnsi="Arial" w:cs="Arial"/>
        </w:rPr>
        <w:t>23 October 2017 to refuse her protection claim.</w:t>
      </w:r>
    </w:p>
    <w:p w14:paraId="1EAF8869" w14:textId="77777777" w:rsidR="00E613E4" w:rsidRPr="00605F4A" w:rsidRDefault="00E613E4" w:rsidP="00E613E4">
      <w:pPr>
        <w:spacing w:line="360" w:lineRule="auto"/>
        <w:jc w:val="both"/>
        <w:rPr>
          <w:rFonts w:ascii="Arial" w:hAnsi="Arial" w:cs="Arial"/>
          <w:u w:val="single"/>
        </w:rPr>
      </w:pPr>
      <w:r w:rsidRPr="00605F4A">
        <w:rPr>
          <w:rFonts w:ascii="Arial" w:hAnsi="Arial" w:cs="Arial"/>
          <w:u w:val="single"/>
        </w:rPr>
        <w:t>The Judge’s Decision</w:t>
      </w:r>
    </w:p>
    <w:p w14:paraId="4F10F55E" w14:textId="1BEF73F1" w:rsidR="00E613E4" w:rsidRPr="00605F4A" w:rsidRDefault="00E613E4" w:rsidP="00E613E4">
      <w:pPr>
        <w:numPr>
          <w:ilvl w:val="0"/>
          <w:numId w:val="1"/>
        </w:numPr>
        <w:spacing w:line="360" w:lineRule="auto"/>
        <w:jc w:val="both"/>
        <w:rPr>
          <w:rFonts w:ascii="Arial" w:hAnsi="Arial" w:cs="Arial"/>
          <w:color w:val="000000"/>
        </w:rPr>
      </w:pPr>
      <w:r w:rsidRPr="00605F4A">
        <w:rPr>
          <w:rFonts w:ascii="Arial" w:hAnsi="Arial" w:cs="Arial"/>
        </w:rPr>
        <w:t xml:space="preserve">Grounds of appeal were lodged </w:t>
      </w:r>
      <w:r w:rsidR="009007BB">
        <w:rPr>
          <w:rFonts w:ascii="Arial" w:hAnsi="Arial" w:cs="Arial"/>
        </w:rPr>
        <w:t>arguing that the Judge erred in that he failed to give adequate reasons for finding the Appellants account credible given that he found that she had produced a counterfeit document.</w:t>
      </w:r>
    </w:p>
    <w:p w14:paraId="58A1ED17" w14:textId="289A4299" w:rsidR="00E613E4" w:rsidRDefault="00E613E4" w:rsidP="00E613E4">
      <w:pPr>
        <w:numPr>
          <w:ilvl w:val="0"/>
          <w:numId w:val="1"/>
        </w:numPr>
        <w:spacing w:line="360" w:lineRule="auto"/>
        <w:jc w:val="both"/>
        <w:rPr>
          <w:rFonts w:ascii="Arial" w:hAnsi="Arial" w:cs="Arial"/>
          <w:color w:val="000000"/>
        </w:rPr>
      </w:pPr>
      <w:r w:rsidRPr="00605F4A">
        <w:rPr>
          <w:rFonts w:ascii="Arial" w:hAnsi="Arial" w:cs="Arial"/>
          <w:color w:val="000000"/>
        </w:rPr>
        <w:t xml:space="preserve">On </w:t>
      </w:r>
      <w:r w:rsidR="009007BB">
        <w:rPr>
          <w:rFonts w:ascii="Arial" w:hAnsi="Arial" w:cs="Arial"/>
        </w:rPr>
        <w:t xml:space="preserve">15 February 2018 First-tier Tribunal Judge </w:t>
      </w:r>
      <w:proofErr w:type="spellStart"/>
      <w:r w:rsidR="009007BB">
        <w:rPr>
          <w:rFonts w:ascii="Arial" w:hAnsi="Arial" w:cs="Arial"/>
        </w:rPr>
        <w:t>Farrelly</w:t>
      </w:r>
      <w:proofErr w:type="spellEnd"/>
      <w:r w:rsidR="002E6014">
        <w:rPr>
          <w:rFonts w:ascii="Arial" w:hAnsi="Arial" w:cs="Arial"/>
        </w:rPr>
        <w:t xml:space="preserve"> </w:t>
      </w:r>
      <w:r w:rsidRPr="00605F4A">
        <w:rPr>
          <w:rFonts w:ascii="Arial" w:hAnsi="Arial" w:cs="Arial"/>
          <w:color w:val="000000"/>
        </w:rPr>
        <w:t>gave permission to appeal</w:t>
      </w:r>
      <w:r w:rsidR="002E6014">
        <w:rPr>
          <w:rFonts w:ascii="Arial" w:hAnsi="Arial" w:cs="Arial"/>
          <w:color w:val="000000"/>
        </w:rPr>
        <w:t>.</w:t>
      </w:r>
    </w:p>
    <w:p w14:paraId="5711724E" w14:textId="3E682925" w:rsidR="00E613E4" w:rsidRDefault="002E6014" w:rsidP="00E613E4">
      <w:pPr>
        <w:numPr>
          <w:ilvl w:val="0"/>
          <w:numId w:val="1"/>
        </w:numPr>
        <w:spacing w:line="360" w:lineRule="auto"/>
        <w:jc w:val="both"/>
        <w:rPr>
          <w:rFonts w:ascii="Arial" w:hAnsi="Arial" w:cs="Arial"/>
          <w:color w:val="000000"/>
        </w:rPr>
      </w:pPr>
      <w:r>
        <w:rPr>
          <w:rFonts w:ascii="Arial" w:hAnsi="Arial" w:cs="Arial"/>
          <w:color w:val="000000"/>
        </w:rPr>
        <w:t xml:space="preserve">On behalf of the Respondent Mr Bates relied on the grounds of the appeal. He accepted that the Judge acknowledged the inconsistencies but his explanation for accepting a challenged marriage certificate given his finding that she had produced anther counterfeit document was inadequate. There was no reference to the Appellants divorce from her second husband before being forced to marry her third husband. There was no explanation as to why she was unable to contact her sister to visit her in the shelter but was unable to contact her husband whose phone number she memorised until she arrived in the </w:t>
      </w:r>
      <w:r w:rsidR="00D07F4E">
        <w:rPr>
          <w:rFonts w:ascii="Arial" w:hAnsi="Arial" w:cs="Arial"/>
          <w:color w:val="000000"/>
        </w:rPr>
        <w:t>UK</w:t>
      </w:r>
      <w:r>
        <w:rPr>
          <w:rFonts w:ascii="Arial" w:hAnsi="Arial" w:cs="Arial"/>
          <w:color w:val="000000"/>
        </w:rPr>
        <w:t>.</w:t>
      </w:r>
      <w:r w:rsidR="00CD599E">
        <w:rPr>
          <w:rFonts w:ascii="Arial" w:hAnsi="Arial" w:cs="Arial"/>
          <w:color w:val="000000"/>
        </w:rPr>
        <w:t xml:space="preserve"> He suggested that if the reason given for her flight from Iraq was rejected the claim was simply a device to circumvent the Immigration Rules.</w:t>
      </w:r>
    </w:p>
    <w:p w14:paraId="585AF6DE" w14:textId="77777777" w:rsidR="00CD599E" w:rsidRDefault="00CD599E" w:rsidP="00E613E4">
      <w:pPr>
        <w:numPr>
          <w:ilvl w:val="0"/>
          <w:numId w:val="1"/>
        </w:numPr>
        <w:spacing w:line="360" w:lineRule="auto"/>
        <w:jc w:val="both"/>
        <w:rPr>
          <w:rFonts w:ascii="Arial" w:hAnsi="Arial" w:cs="Arial"/>
          <w:color w:val="000000"/>
        </w:rPr>
      </w:pPr>
      <w:r>
        <w:rPr>
          <w:rFonts w:ascii="Arial" w:hAnsi="Arial" w:cs="Arial"/>
          <w:color w:val="000000"/>
        </w:rPr>
        <w:t>On behalf of the Appellant Mr Sadiq argued that the Judge had provided adequate reasons at paragraphs 63-69 as to why he preferred the evidence of the Appellant and her husband together with the document from the shelter given its consistency with background material.</w:t>
      </w:r>
    </w:p>
    <w:p w14:paraId="521948D7" w14:textId="441B3DAF" w:rsidR="00CD599E" w:rsidRPr="00605F4A" w:rsidRDefault="00CD599E" w:rsidP="00E613E4">
      <w:pPr>
        <w:numPr>
          <w:ilvl w:val="0"/>
          <w:numId w:val="1"/>
        </w:numPr>
        <w:spacing w:line="360" w:lineRule="auto"/>
        <w:jc w:val="both"/>
        <w:rPr>
          <w:rFonts w:ascii="Arial" w:hAnsi="Arial" w:cs="Arial"/>
          <w:color w:val="000000"/>
        </w:rPr>
      </w:pPr>
      <w:r>
        <w:rPr>
          <w:rFonts w:ascii="Arial" w:hAnsi="Arial" w:cs="Arial"/>
          <w:color w:val="000000"/>
        </w:rPr>
        <w:t xml:space="preserve">Mr Bates reiterated that the ability and willingness to produce and rely on counterfeit documents undermined the Appellants credibility. The Appellant had had an ample opportunity to manufacture a claim.  </w:t>
      </w:r>
    </w:p>
    <w:p w14:paraId="535B0A34" w14:textId="77777777" w:rsidR="00E613E4" w:rsidRDefault="00E613E4" w:rsidP="00E613E4">
      <w:pPr>
        <w:spacing w:line="360" w:lineRule="auto"/>
        <w:jc w:val="both"/>
        <w:rPr>
          <w:rFonts w:ascii="Arial" w:hAnsi="Arial" w:cs="Arial"/>
          <w:b/>
        </w:rPr>
      </w:pPr>
      <w:r w:rsidRPr="00727A3A">
        <w:rPr>
          <w:rFonts w:ascii="Arial" w:hAnsi="Arial" w:cs="Arial"/>
          <w:b/>
        </w:rPr>
        <w:t xml:space="preserve"> </w:t>
      </w:r>
    </w:p>
    <w:p w14:paraId="66A34DFF" w14:textId="77777777" w:rsidR="00E613E4" w:rsidRPr="002479DB" w:rsidRDefault="00E613E4" w:rsidP="00E613E4">
      <w:pPr>
        <w:spacing w:line="360" w:lineRule="auto"/>
        <w:jc w:val="both"/>
        <w:rPr>
          <w:rFonts w:ascii="Arial" w:hAnsi="Arial" w:cs="Arial"/>
        </w:rPr>
      </w:pPr>
      <w:r w:rsidRPr="002479DB">
        <w:rPr>
          <w:rFonts w:ascii="Arial" w:hAnsi="Arial" w:cs="Arial"/>
          <w:b/>
          <w:u w:val="single"/>
        </w:rPr>
        <w:t>Finding on Material Error</w:t>
      </w:r>
    </w:p>
    <w:p w14:paraId="21F41910" w14:textId="36089D08" w:rsidR="00290A1D" w:rsidRDefault="00E613E4" w:rsidP="00E613E4">
      <w:pPr>
        <w:numPr>
          <w:ilvl w:val="0"/>
          <w:numId w:val="1"/>
        </w:numPr>
        <w:spacing w:before="240" w:line="360" w:lineRule="auto"/>
        <w:jc w:val="both"/>
        <w:rPr>
          <w:rFonts w:ascii="Arial" w:hAnsi="Arial" w:cs="Arial"/>
        </w:rPr>
      </w:pPr>
      <w:r>
        <w:rPr>
          <w:rFonts w:ascii="Arial" w:hAnsi="Arial" w:cs="Arial"/>
        </w:rPr>
        <w:t xml:space="preserve">Having heard those submissions I reached the conclusion that the Tribunal made </w:t>
      </w:r>
      <w:r w:rsidR="00CD599E">
        <w:rPr>
          <w:rFonts w:ascii="Arial" w:hAnsi="Arial" w:cs="Arial"/>
        </w:rPr>
        <w:t xml:space="preserve">no </w:t>
      </w:r>
      <w:r>
        <w:rPr>
          <w:rFonts w:ascii="Arial" w:hAnsi="Arial" w:cs="Arial"/>
        </w:rPr>
        <w:t>material errors of law.</w:t>
      </w:r>
    </w:p>
    <w:p w14:paraId="037D141A" w14:textId="77777777" w:rsidR="00E613E4" w:rsidRPr="00290A1D" w:rsidRDefault="00E613E4" w:rsidP="00290A1D">
      <w:pPr>
        <w:jc w:val="center"/>
        <w:rPr>
          <w:rFonts w:ascii="Arial" w:hAnsi="Arial" w:cs="Arial"/>
        </w:rPr>
      </w:pPr>
    </w:p>
    <w:p w14:paraId="06BEA8AC" w14:textId="77777777" w:rsidR="002E6C81" w:rsidRDefault="002E6C81" w:rsidP="002E6C81">
      <w:pPr>
        <w:numPr>
          <w:ilvl w:val="0"/>
          <w:numId w:val="1"/>
        </w:numPr>
        <w:spacing w:before="240" w:line="360" w:lineRule="auto"/>
        <w:jc w:val="both"/>
        <w:rPr>
          <w:rFonts w:ascii="Arial" w:hAnsi="Arial" w:cs="Arial"/>
        </w:rPr>
      </w:pPr>
      <w:r>
        <w:rPr>
          <w:rFonts w:ascii="Arial" w:hAnsi="Arial" w:cs="Arial"/>
        </w:rPr>
        <w:t xml:space="preserve">As to the duty to give reasons I take into account what was said by the Court of Appeal in </w:t>
      </w:r>
      <w:r w:rsidRPr="00D07F4E">
        <w:rPr>
          <w:rFonts w:ascii="Arial" w:hAnsi="Arial" w:cs="Arial"/>
          <w:u w:val="single"/>
        </w:rPr>
        <w:t>MD (Turkey)</w:t>
      </w:r>
      <w:r w:rsidRPr="00D07F4E">
        <w:rPr>
          <w:rFonts w:ascii="Arial" w:hAnsi="Arial" w:cs="Arial"/>
        </w:rPr>
        <w:t xml:space="preserve"> [2017] EWCA Civ 1958</w:t>
      </w:r>
      <w:r>
        <w:rPr>
          <w:rFonts w:ascii="Arial" w:hAnsi="Arial" w:cs="Arial"/>
          <w:u w:val="single"/>
        </w:rPr>
        <w:t xml:space="preserve"> </w:t>
      </w:r>
      <w:r>
        <w:rPr>
          <w:rFonts w:ascii="Arial" w:hAnsi="Arial" w:cs="Arial"/>
        </w:rPr>
        <w:t>at paragraph 26:</w:t>
      </w:r>
    </w:p>
    <w:p w14:paraId="5B598482" w14:textId="31374D15" w:rsidR="002E6C81" w:rsidRPr="008B52CE" w:rsidRDefault="002E6C81" w:rsidP="00D07F4E">
      <w:pPr>
        <w:spacing w:before="120" w:after="120" w:line="360" w:lineRule="auto"/>
        <w:ind w:left="720" w:right="567"/>
        <w:jc w:val="both"/>
        <w:rPr>
          <w:rFonts w:ascii="Arial" w:hAnsi="Arial" w:cs="Arial"/>
          <w:sz w:val="22"/>
          <w:szCs w:val="22"/>
        </w:rPr>
      </w:pPr>
      <w:r>
        <w:rPr>
          <w:rFonts w:ascii="Arial" w:hAnsi="Arial" w:cs="Arial"/>
          <w:i/>
          <w:sz w:val="22"/>
          <w:szCs w:val="22"/>
        </w:rPr>
        <w:t xml:space="preserve">“The duty to give reasons requires that reasons must be proper, intelligible and adequate:  see the classic authority of this court in Re </w:t>
      </w:r>
      <w:proofErr w:type="spellStart"/>
      <w:r>
        <w:rPr>
          <w:rFonts w:ascii="Arial" w:hAnsi="Arial" w:cs="Arial"/>
          <w:i/>
          <w:sz w:val="22"/>
          <w:szCs w:val="22"/>
        </w:rPr>
        <w:t>Poyser</w:t>
      </w:r>
      <w:proofErr w:type="spellEnd"/>
      <w:r>
        <w:rPr>
          <w:rFonts w:ascii="Arial" w:hAnsi="Arial" w:cs="Arial"/>
          <w:i/>
          <w:sz w:val="22"/>
          <w:szCs w:val="22"/>
        </w:rPr>
        <w:t xml:space="preserve"> and Mills’ Arbitration [1964] 2 QB 467.  The only dispute in the present case relates to the last of those elements, that is the adequacy of the reasons given by the </w:t>
      </w:r>
      <w:proofErr w:type="spellStart"/>
      <w:r>
        <w:rPr>
          <w:rFonts w:ascii="Arial" w:hAnsi="Arial" w:cs="Arial"/>
          <w:i/>
          <w:sz w:val="22"/>
          <w:szCs w:val="22"/>
        </w:rPr>
        <w:t>FtT</w:t>
      </w:r>
      <w:proofErr w:type="spellEnd"/>
      <w:r>
        <w:rPr>
          <w:rFonts w:ascii="Arial" w:hAnsi="Arial" w:cs="Arial"/>
          <w:i/>
          <w:sz w:val="22"/>
          <w:szCs w:val="22"/>
        </w:rPr>
        <w:t xml:space="preserve"> for its decision allowing the appellant’s appeal.  It is important to appreciate that adequacy in this context is precisely that, no more and no less.  </w:t>
      </w:r>
      <w:r w:rsidRPr="008B52CE">
        <w:rPr>
          <w:rFonts w:ascii="Arial" w:hAnsi="Arial" w:cs="Arial"/>
          <w:b/>
          <w:i/>
          <w:sz w:val="22"/>
          <w:szCs w:val="22"/>
        </w:rPr>
        <w:t>It is not a counsel of perfection</w:t>
      </w:r>
      <w:r>
        <w:rPr>
          <w:rFonts w:ascii="Arial" w:hAnsi="Arial" w:cs="Arial"/>
          <w:i/>
          <w:sz w:val="22"/>
          <w:szCs w:val="22"/>
        </w:rPr>
        <w:t>.  Still less should it provide an opportunity to undertake a qualitative assessment of the reasons to see if they are wanting, perhaps even surprising, on their merits.  The purpose of the duty to give reasons is, in part, to enable the losing party to know why she has lost.  It is also to enable an appellate court or tribunal to see what the reasons for the decision are so that they can be examined in case some error of approach has been committed</w:t>
      </w:r>
      <w:proofErr w:type="gramStart"/>
      <w:r>
        <w:rPr>
          <w:rFonts w:ascii="Arial" w:hAnsi="Arial" w:cs="Arial"/>
          <w:i/>
          <w:sz w:val="22"/>
          <w:szCs w:val="22"/>
        </w:rPr>
        <w:t>.”</w:t>
      </w:r>
      <w:r w:rsidR="008B52CE">
        <w:rPr>
          <w:rFonts w:ascii="Arial" w:hAnsi="Arial" w:cs="Arial"/>
          <w:i/>
          <w:sz w:val="22"/>
          <w:szCs w:val="22"/>
        </w:rPr>
        <w:t>(</w:t>
      </w:r>
      <w:proofErr w:type="gramEnd"/>
      <w:r w:rsidR="008B52CE">
        <w:rPr>
          <w:rFonts w:ascii="Arial" w:hAnsi="Arial" w:cs="Arial"/>
          <w:i/>
          <w:sz w:val="22"/>
          <w:szCs w:val="22"/>
        </w:rPr>
        <w:t xml:space="preserve"> </w:t>
      </w:r>
      <w:r w:rsidR="008B52CE">
        <w:rPr>
          <w:rFonts w:ascii="Arial" w:hAnsi="Arial" w:cs="Arial"/>
          <w:sz w:val="22"/>
          <w:szCs w:val="22"/>
        </w:rPr>
        <w:t>my bold)</w:t>
      </w:r>
    </w:p>
    <w:p w14:paraId="0F99DA18" w14:textId="77777777" w:rsidR="008B52CE" w:rsidRDefault="00CD599E" w:rsidP="00E613E4">
      <w:pPr>
        <w:numPr>
          <w:ilvl w:val="0"/>
          <w:numId w:val="1"/>
        </w:numPr>
        <w:spacing w:before="240" w:line="360" w:lineRule="auto"/>
        <w:jc w:val="both"/>
        <w:rPr>
          <w:rFonts w:ascii="Arial" w:hAnsi="Arial" w:cs="Arial"/>
        </w:rPr>
      </w:pPr>
      <w:r>
        <w:rPr>
          <w:rFonts w:ascii="Arial" w:hAnsi="Arial" w:cs="Arial"/>
        </w:rPr>
        <w:t>I am satisfied that the Judge readily acknowledged that the Appellant had produced a counterfeit identification document but recognised</w:t>
      </w:r>
      <w:r w:rsidR="008B52CE">
        <w:rPr>
          <w:rFonts w:ascii="Arial" w:hAnsi="Arial" w:cs="Arial"/>
        </w:rPr>
        <w:t xml:space="preserve"> in his assessment of all of the evidence in the round</w:t>
      </w:r>
      <w:r>
        <w:rPr>
          <w:rFonts w:ascii="Arial" w:hAnsi="Arial" w:cs="Arial"/>
        </w:rPr>
        <w:t xml:space="preserve"> that this was not determinative of the appeal: it was one factor among many that he had to </w:t>
      </w:r>
      <w:r w:rsidR="008B52CE">
        <w:rPr>
          <w:rFonts w:ascii="Arial" w:hAnsi="Arial" w:cs="Arial"/>
        </w:rPr>
        <w:t>weight</w:t>
      </w:r>
      <w:r>
        <w:rPr>
          <w:rFonts w:ascii="Arial" w:hAnsi="Arial" w:cs="Arial"/>
        </w:rPr>
        <w:t xml:space="preserve"> in the balance in determining the overall credibility of the Appellants claim to have been the </w:t>
      </w:r>
      <w:r w:rsidR="008B52CE">
        <w:rPr>
          <w:rFonts w:ascii="Arial" w:hAnsi="Arial" w:cs="Arial"/>
        </w:rPr>
        <w:t>victim</w:t>
      </w:r>
      <w:r>
        <w:rPr>
          <w:rFonts w:ascii="Arial" w:hAnsi="Arial" w:cs="Arial"/>
        </w:rPr>
        <w:t xml:space="preserve"> of a forced marriage.</w:t>
      </w:r>
    </w:p>
    <w:p w14:paraId="60BAFE68" w14:textId="2914A13E" w:rsidR="008B52CE" w:rsidRDefault="00CD599E" w:rsidP="00E613E4">
      <w:pPr>
        <w:numPr>
          <w:ilvl w:val="0"/>
          <w:numId w:val="1"/>
        </w:numPr>
        <w:spacing w:before="240" w:line="360" w:lineRule="auto"/>
        <w:jc w:val="both"/>
        <w:rPr>
          <w:rFonts w:ascii="Arial" w:hAnsi="Arial" w:cs="Arial"/>
        </w:rPr>
      </w:pPr>
      <w:r>
        <w:rPr>
          <w:rFonts w:ascii="Arial" w:hAnsi="Arial" w:cs="Arial"/>
        </w:rPr>
        <w:t xml:space="preserve"> While he was clear that he was ‘troubled’ by the use of the forged document and recognised that the Appellant had given two different accounts of her route to the UK he accepted in essence that her core claim, that she was a </w:t>
      </w:r>
      <w:r w:rsidR="008B52CE">
        <w:rPr>
          <w:rFonts w:ascii="Arial" w:hAnsi="Arial" w:cs="Arial"/>
        </w:rPr>
        <w:t>victim</w:t>
      </w:r>
      <w:r>
        <w:rPr>
          <w:rFonts w:ascii="Arial" w:hAnsi="Arial" w:cs="Arial"/>
        </w:rPr>
        <w:t xml:space="preserve"> of a forced marriage was, based on the lower standard of proof, credible. He of course had the benefit that we did not of hearing the Appellant and her husband give evidence and found the Appellant gave evidence in a ‘clear and straightforward’ manner (paragraph 60</w:t>
      </w:r>
      <w:r w:rsidR="008B52CE">
        <w:rPr>
          <w:rFonts w:ascii="Arial" w:hAnsi="Arial" w:cs="Arial"/>
        </w:rPr>
        <w:t>) and</w:t>
      </w:r>
      <w:r>
        <w:rPr>
          <w:rFonts w:ascii="Arial" w:hAnsi="Arial" w:cs="Arial"/>
        </w:rPr>
        <w:t xml:space="preserve"> that the evidence of her and her husband was consistent with each other (paragraph 63). He </w:t>
      </w:r>
      <w:r w:rsidR="008B52CE">
        <w:rPr>
          <w:rFonts w:ascii="Arial" w:hAnsi="Arial" w:cs="Arial"/>
        </w:rPr>
        <w:t xml:space="preserve">was also entitled to take into account when assessing the challenge to the genuine nature of the relationship with her current husband that they had a child together and it does not appear from the decision that the fact that her husband was the </w:t>
      </w:r>
      <w:r w:rsidR="00D07F4E">
        <w:rPr>
          <w:rFonts w:ascii="Arial" w:hAnsi="Arial" w:cs="Arial"/>
        </w:rPr>
        <w:t>child’s</w:t>
      </w:r>
      <w:r w:rsidR="008B52CE">
        <w:rPr>
          <w:rFonts w:ascii="Arial" w:hAnsi="Arial" w:cs="Arial"/>
        </w:rPr>
        <w:t xml:space="preserve"> biological parent was disputed in the hearing. He was also entitled to take into account that her whole account in relation </w:t>
      </w:r>
      <w:r w:rsidR="008B52CE">
        <w:rPr>
          <w:rFonts w:ascii="Arial" w:hAnsi="Arial" w:cs="Arial"/>
        </w:rPr>
        <w:lastRenderedPageBreak/>
        <w:t>to the treatment of women, forced marriage and honour crimes was consistent with the background material (paragraph 64).</w:t>
      </w:r>
    </w:p>
    <w:p w14:paraId="5CE7E528" w14:textId="6022F00A" w:rsidR="00E613E4" w:rsidRPr="008B52CE" w:rsidRDefault="008B52CE" w:rsidP="00315692">
      <w:pPr>
        <w:numPr>
          <w:ilvl w:val="0"/>
          <w:numId w:val="1"/>
        </w:numPr>
        <w:spacing w:before="240" w:line="360" w:lineRule="auto"/>
        <w:jc w:val="both"/>
        <w:rPr>
          <w:rFonts w:ascii="Arial" w:hAnsi="Arial" w:cs="Arial"/>
        </w:rPr>
      </w:pPr>
      <w:r w:rsidRPr="008B52CE">
        <w:rPr>
          <w:rFonts w:ascii="Arial" w:hAnsi="Arial" w:cs="Arial"/>
        </w:rPr>
        <w:t xml:space="preserve">The decision made by the Judge factored in all of the relevant evidence and no single piece of evidence was determinative of the outcome. The weight he gave to each aspect of the evidence was a matter for him. </w:t>
      </w:r>
      <w:r w:rsidR="00E613E4" w:rsidRPr="008B52CE">
        <w:rPr>
          <w:rFonts w:ascii="Arial" w:hAnsi="Arial" w:cs="Arial"/>
        </w:rPr>
        <w:t>I was therefore satisfied that the Judge’s determination when read as a whole set out findings that were sustainable and sufficiently detailed and based on cogent reasoning.</w:t>
      </w:r>
    </w:p>
    <w:p w14:paraId="631428B5" w14:textId="77777777" w:rsidR="00E613E4" w:rsidRPr="00F44074" w:rsidRDefault="00E613E4" w:rsidP="00E613E4">
      <w:pPr>
        <w:spacing w:before="240" w:line="360" w:lineRule="auto"/>
        <w:jc w:val="both"/>
        <w:rPr>
          <w:rFonts w:ascii="Arial" w:hAnsi="Arial" w:cs="Arial"/>
          <w:b/>
        </w:rPr>
      </w:pPr>
      <w:r w:rsidRPr="00F44074">
        <w:rPr>
          <w:rFonts w:ascii="Arial" w:hAnsi="Arial" w:cs="Arial"/>
          <w:b/>
        </w:rPr>
        <w:t>CONCLUSION</w:t>
      </w:r>
    </w:p>
    <w:p w14:paraId="176AA496" w14:textId="77777777" w:rsidR="00E613E4" w:rsidRPr="00F44074" w:rsidRDefault="00E613E4" w:rsidP="00E613E4">
      <w:pPr>
        <w:numPr>
          <w:ilvl w:val="0"/>
          <w:numId w:val="1"/>
        </w:numPr>
        <w:spacing w:before="240" w:line="360" w:lineRule="auto"/>
        <w:jc w:val="both"/>
        <w:rPr>
          <w:rFonts w:ascii="Arial" w:hAnsi="Arial" w:cs="Arial"/>
          <w:b/>
        </w:rPr>
      </w:pPr>
      <w:r>
        <w:rPr>
          <w:rFonts w:ascii="Arial" w:hAnsi="Arial" w:cs="Arial"/>
          <w:b/>
        </w:rPr>
        <w:t>I</w:t>
      </w:r>
      <w:r w:rsidRPr="00F44074">
        <w:rPr>
          <w:rFonts w:ascii="Arial" w:hAnsi="Arial" w:cs="Arial"/>
          <w:b/>
        </w:rPr>
        <w:t xml:space="preserve"> therefore found that no errors of law have been established and that the Judge’s determination should stand. </w:t>
      </w:r>
    </w:p>
    <w:p w14:paraId="7138D97E" w14:textId="77777777" w:rsidR="00E613E4" w:rsidRPr="0052314A" w:rsidRDefault="00E613E4" w:rsidP="00E613E4">
      <w:pPr>
        <w:spacing w:before="240" w:line="360" w:lineRule="auto"/>
        <w:jc w:val="both"/>
        <w:rPr>
          <w:rFonts w:ascii="Arial" w:hAnsi="Arial" w:cs="Arial"/>
          <w:b/>
        </w:rPr>
      </w:pPr>
      <w:r w:rsidRPr="0052314A">
        <w:rPr>
          <w:rFonts w:ascii="Arial" w:hAnsi="Arial" w:cs="Arial"/>
          <w:b/>
        </w:rPr>
        <w:t>DECISION</w:t>
      </w:r>
    </w:p>
    <w:p w14:paraId="2CFCB029" w14:textId="77777777" w:rsidR="00E613E4" w:rsidRDefault="00E613E4" w:rsidP="00E613E4">
      <w:pPr>
        <w:numPr>
          <w:ilvl w:val="0"/>
          <w:numId w:val="1"/>
        </w:numPr>
        <w:spacing w:before="240" w:line="360" w:lineRule="auto"/>
        <w:jc w:val="both"/>
        <w:rPr>
          <w:rFonts w:ascii="Arial" w:hAnsi="Arial" w:cs="Arial"/>
          <w:b/>
        </w:rPr>
      </w:pPr>
      <w:r>
        <w:rPr>
          <w:rFonts w:ascii="Arial" w:hAnsi="Arial" w:cs="Arial"/>
          <w:b/>
        </w:rPr>
        <w:t xml:space="preserve">The appeal is dismissed. </w:t>
      </w:r>
    </w:p>
    <w:p w14:paraId="71EF2AFE" w14:textId="77777777" w:rsidR="00E613E4" w:rsidRDefault="00E613E4" w:rsidP="00E613E4">
      <w:pPr>
        <w:numPr>
          <w:ilvl w:val="0"/>
          <w:numId w:val="1"/>
        </w:numPr>
        <w:spacing w:before="240" w:line="360" w:lineRule="auto"/>
        <w:jc w:val="both"/>
        <w:rPr>
          <w:rFonts w:ascii="Arial" w:hAnsi="Arial" w:cs="Arial"/>
          <w:b/>
        </w:rPr>
      </w:pPr>
      <w:r>
        <w:rPr>
          <w:rFonts w:ascii="Arial" w:hAnsi="Arial" w:cs="Arial"/>
          <w:b/>
        </w:rPr>
        <w:t>Under Rule 14(1) the Tribunal Procedure (Upper Tribunal) rules 2008 9as amended) the Appellant can be granted anonymity throughout these proceedings, unless and until a tribunal or court directs otherwise. An order for anonymity was made in the First-tier and shall continue.</w:t>
      </w:r>
    </w:p>
    <w:p w14:paraId="162C4CF2" w14:textId="77777777" w:rsidR="00E613E4" w:rsidRDefault="00E613E4" w:rsidP="00E613E4">
      <w:pPr>
        <w:tabs>
          <w:tab w:val="left" w:pos="2520"/>
        </w:tabs>
        <w:spacing w:line="360" w:lineRule="auto"/>
        <w:rPr>
          <w:rFonts w:ascii="Arial" w:hAnsi="Arial" w:cs="Arial"/>
        </w:rPr>
      </w:pPr>
    </w:p>
    <w:p w14:paraId="3C90A2AD" w14:textId="61865274" w:rsidR="00E613E4" w:rsidRDefault="00E613E4" w:rsidP="00E613E4">
      <w:pPr>
        <w:tabs>
          <w:tab w:val="left" w:pos="2520"/>
        </w:tabs>
        <w:spacing w:line="360" w:lineRule="auto"/>
        <w:rPr>
          <w:rFonts w:ascii="Arial" w:hAnsi="Arial" w:cs="Arial"/>
        </w:rPr>
      </w:pPr>
      <w:r>
        <w:rPr>
          <w:rFonts w:ascii="Arial" w:hAnsi="Arial" w:cs="Arial"/>
        </w:rPr>
        <w:t xml:space="preserve">Signed                                                              Date </w:t>
      </w:r>
      <w:r w:rsidR="008B52CE">
        <w:rPr>
          <w:rFonts w:ascii="Arial" w:hAnsi="Arial" w:cs="Arial"/>
        </w:rPr>
        <w:t>6.7.2018</w:t>
      </w:r>
      <w:r>
        <w:rPr>
          <w:rFonts w:ascii="Arial" w:hAnsi="Arial" w:cs="Arial"/>
        </w:rPr>
        <w:t xml:space="preserve">    </w:t>
      </w:r>
    </w:p>
    <w:p w14:paraId="446225EB" w14:textId="77777777" w:rsidR="00E613E4" w:rsidRPr="00B96515" w:rsidRDefault="00E613E4" w:rsidP="00E613E4">
      <w:pPr>
        <w:tabs>
          <w:tab w:val="left" w:pos="2520"/>
        </w:tabs>
        <w:spacing w:line="360" w:lineRule="auto"/>
        <w:rPr>
          <w:rFonts w:ascii="Arial" w:hAnsi="Arial" w:cs="Arial"/>
        </w:rPr>
      </w:pPr>
      <w:r>
        <w:rPr>
          <w:rFonts w:ascii="Arial" w:hAnsi="Arial" w:cs="Arial"/>
        </w:rPr>
        <w:t>Deputy Upper Tribunal Judge Birrell</w:t>
      </w:r>
    </w:p>
    <w:p w14:paraId="60D2D31B" w14:textId="77777777" w:rsidR="008B52CE" w:rsidRDefault="008B52CE" w:rsidP="00E613E4">
      <w:pPr>
        <w:jc w:val="center"/>
        <w:rPr>
          <w:rFonts w:ascii="Book Antiqua" w:hAnsi="Book Antiqua" w:cs="Arial"/>
        </w:rPr>
      </w:pPr>
    </w:p>
    <w:sectPr w:rsidR="008B52CE" w:rsidSect="00290A1D">
      <w:headerReference w:type="default" r:id="rId9"/>
      <w:footerReference w:type="default" r:id="rId10"/>
      <w:footerReference w:type="first" r:id="rId11"/>
      <w:pgSz w:w="11906" w:h="16838" w:code="9"/>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0BF2EC" w14:textId="77777777" w:rsidR="00E16409" w:rsidRDefault="00E16409">
      <w:r>
        <w:separator/>
      </w:r>
    </w:p>
  </w:endnote>
  <w:endnote w:type="continuationSeparator" w:id="0">
    <w:p w14:paraId="372129FE" w14:textId="77777777" w:rsidR="00E16409" w:rsidRDefault="00E16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szCs w:val="20"/>
      </w:rPr>
      <w:id w:val="-1023240863"/>
      <w:docPartObj>
        <w:docPartGallery w:val="Page Numbers (Bottom of Page)"/>
        <w:docPartUnique/>
      </w:docPartObj>
    </w:sdtPr>
    <w:sdtEndPr>
      <w:rPr>
        <w:noProof/>
      </w:rPr>
    </w:sdtEndPr>
    <w:sdtContent>
      <w:p w14:paraId="5EADD803" w14:textId="3724420A" w:rsidR="00290A1D" w:rsidRPr="00290A1D" w:rsidRDefault="00290A1D">
        <w:pPr>
          <w:pStyle w:val="Footer"/>
          <w:jc w:val="center"/>
          <w:rPr>
            <w:sz w:val="20"/>
            <w:szCs w:val="20"/>
          </w:rPr>
        </w:pPr>
        <w:r w:rsidRPr="00290A1D">
          <w:rPr>
            <w:sz w:val="20"/>
            <w:szCs w:val="20"/>
          </w:rPr>
          <w:fldChar w:fldCharType="begin"/>
        </w:r>
        <w:r w:rsidRPr="00290A1D">
          <w:rPr>
            <w:sz w:val="20"/>
            <w:szCs w:val="20"/>
          </w:rPr>
          <w:instrText xml:space="preserve"> PAGE   \* MERGEFORMAT </w:instrText>
        </w:r>
        <w:r w:rsidRPr="00290A1D">
          <w:rPr>
            <w:sz w:val="20"/>
            <w:szCs w:val="20"/>
          </w:rPr>
          <w:fldChar w:fldCharType="separate"/>
        </w:r>
        <w:r>
          <w:rPr>
            <w:noProof/>
            <w:sz w:val="20"/>
            <w:szCs w:val="20"/>
          </w:rPr>
          <w:t>4</w:t>
        </w:r>
        <w:r w:rsidRPr="00290A1D">
          <w:rPr>
            <w:noProof/>
            <w:sz w:val="20"/>
            <w:szCs w:val="2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F6F9B6" w14:textId="77777777" w:rsidR="00290A1D" w:rsidRPr="00CF53A6" w:rsidRDefault="00290A1D" w:rsidP="00290A1D">
    <w:pPr>
      <w:jc w:val="center"/>
      <w:rPr>
        <w:rFonts w:ascii="Book Antiqua" w:hAnsi="Book Antiqua" w:cs="Arial"/>
        <w:b/>
      </w:rPr>
    </w:pPr>
    <w:r w:rsidRPr="00CF53A6">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F4868A" w14:textId="77777777" w:rsidR="00E16409" w:rsidRDefault="00E16409">
      <w:r>
        <w:separator/>
      </w:r>
    </w:p>
  </w:footnote>
  <w:footnote w:type="continuationSeparator" w:id="0">
    <w:p w14:paraId="3BDDD922" w14:textId="77777777" w:rsidR="00E16409" w:rsidRDefault="00E164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EDE811" w14:textId="184DCB4E" w:rsidR="00290A1D" w:rsidRPr="00290A1D" w:rsidRDefault="00290A1D" w:rsidP="00290A1D">
    <w:pPr>
      <w:pStyle w:val="Header"/>
      <w:jc w:val="right"/>
      <w:rPr>
        <w:rFonts w:ascii="Book Antiqua" w:hAnsi="Book Antiqua"/>
        <w:sz w:val="20"/>
        <w:szCs w:val="20"/>
      </w:rPr>
    </w:pPr>
    <w:r w:rsidRPr="00290A1D">
      <w:rPr>
        <w:rFonts w:ascii="Book Antiqua" w:hAnsi="Book Antiqua" w:cs="Arial"/>
        <w:color w:val="000000"/>
        <w:sz w:val="20"/>
        <w:szCs w:val="20"/>
      </w:rPr>
      <w:t xml:space="preserve">Appeal Number: </w:t>
    </w:r>
    <w:r w:rsidRPr="00290A1D">
      <w:rPr>
        <w:rFonts w:ascii="Book Antiqua" w:hAnsi="Book Antiqua" w:cs="Arial"/>
        <w:sz w:val="20"/>
        <w:szCs w:val="20"/>
      </w:rPr>
      <w:t>PA/11598/2017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C69EA"/>
    <w:multiLevelType w:val="hybridMultilevel"/>
    <w:tmpl w:val="D250E2CE"/>
    <w:lvl w:ilvl="0" w:tplc="B0DC87E2">
      <w:start w:val="1"/>
      <w:numFmt w:val="decimal"/>
      <w:lvlText w:val="%1."/>
      <w:lvlJc w:val="left"/>
      <w:pPr>
        <w:ind w:left="360" w:hanging="360"/>
      </w:pPr>
      <w:rPr>
        <w:rFonts w:cs="Times New Roman"/>
        <w:b w:val="0"/>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5773"/>
    <w:rsid w:val="001324D5"/>
    <w:rsid w:val="00266900"/>
    <w:rsid w:val="00290A1D"/>
    <w:rsid w:val="002E6014"/>
    <w:rsid w:val="002E6C81"/>
    <w:rsid w:val="00355BEE"/>
    <w:rsid w:val="00607583"/>
    <w:rsid w:val="00633854"/>
    <w:rsid w:val="007236B7"/>
    <w:rsid w:val="00785773"/>
    <w:rsid w:val="008B52CE"/>
    <w:rsid w:val="009007BB"/>
    <w:rsid w:val="009835A5"/>
    <w:rsid w:val="00A47C99"/>
    <w:rsid w:val="00A8461C"/>
    <w:rsid w:val="00AB0734"/>
    <w:rsid w:val="00B77AC6"/>
    <w:rsid w:val="00BD00CA"/>
    <w:rsid w:val="00CD599E"/>
    <w:rsid w:val="00D07F4E"/>
    <w:rsid w:val="00D50E69"/>
    <w:rsid w:val="00E16409"/>
    <w:rsid w:val="00E273DE"/>
    <w:rsid w:val="00E613E4"/>
    <w:rsid w:val="00F929A5"/>
    <w:rsid w:val="00FE44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181E02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13E4"/>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13E4"/>
    <w:pPr>
      <w:ind w:left="720"/>
      <w:contextualSpacing/>
    </w:pPr>
  </w:style>
  <w:style w:type="paragraph" w:customStyle="1" w:styleId="Default">
    <w:name w:val="Default"/>
    <w:rsid w:val="00E613E4"/>
    <w:pPr>
      <w:autoSpaceDE w:val="0"/>
      <w:autoSpaceDN w:val="0"/>
      <w:adjustRightInd w:val="0"/>
      <w:spacing w:after="0" w:line="240" w:lineRule="auto"/>
    </w:pPr>
    <w:rPr>
      <w:rFonts w:ascii="Georgia" w:eastAsia="Times New Roman" w:hAnsi="Georgia" w:cs="Georgia"/>
      <w:color w:val="000000"/>
      <w:sz w:val="24"/>
      <w:szCs w:val="24"/>
    </w:rPr>
  </w:style>
  <w:style w:type="paragraph" w:styleId="Header">
    <w:name w:val="header"/>
    <w:basedOn w:val="Normal"/>
    <w:link w:val="HeaderChar"/>
    <w:uiPriority w:val="99"/>
    <w:unhideWhenUsed/>
    <w:rsid w:val="00E613E4"/>
    <w:pPr>
      <w:tabs>
        <w:tab w:val="center" w:pos="4513"/>
        <w:tab w:val="right" w:pos="9026"/>
      </w:tabs>
    </w:pPr>
  </w:style>
  <w:style w:type="character" w:customStyle="1" w:styleId="HeaderChar">
    <w:name w:val="Header Char"/>
    <w:basedOn w:val="DefaultParagraphFont"/>
    <w:link w:val="Header"/>
    <w:uiPriority w:val="99"/>
    <w:rsid w:val="00E613E4"/>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E613E4"/>
    <w:pPr>
      <w:tabs>
        <w:tab w:val="center" w:pos="4513"/>
        <w:tab w:val="right" w:pos="9026"/>
      </w:tabs>
    </w:pPr>
  </w:style>
  <w:style w:type="character" w:customStyle="1" w:styleId="FooterChar">
    <w:name w:val="Footer Char"/>
    <w:basedOn w:val="DefaultParagraphFont"/>
    <w:link w:val="Footer"/>
    <w:uiPriority w:val="99"/>
    <w:rsid w:val="00E613E4"/>
    <w:rPr>
      <w:rFonts w:ascii="Times New Roman" w:eastAsia="Times New Roman" w:hAnsi="Times New Roman" w:cs="Times New Roman"/>
      <w:sz w:val="24"/>
      <w:szCs w:val="24"/>
      <w:lang w:eastAsia="en-GB"/>
    </w:rPr>
  </w:style>
  <w:style w:type="paragraph" w:styleId="NoSpacing">
    <w:name w:val="No Spacing"/>
    <w:link w:val="NoSpacingChar"/>
    <w:uiPriority w:val="1"/>
    <w:qFormat/>
    <w:rsid w:val="00E613E4"/>
    <w:pPr>
      <w:spacing w:after="0" w:line="240" w:lineRule="auto"/>
    </w:pPr>
    <w:rPr>
      <w:rFonts w:ascii="Calibri" w:eastAsia="Times New Roman" w:hAnsi="Calibri" w:cs="Times New Roman"/>
      <w:lang w:val="en-US"/>
    </w:rPr>
  </w:style>
  <w:style w:type="character" w:customStyle="1" w:styleId="NoSpacingChar">
    <w:name w:val="No Spacing Char"/>
    <w:link w:val="NoSpacing"/>
    <w:uiPriority w:val="1"/>
    <w:locked/>
    <w:rsid w:val="00E613E4"/>
    <w:rPr>
      <w:rFonts w:ascii="Calibri" w:eastAsia="Times New Roman"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09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2E127B-21BE-4498-90F4-BCA901914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937</Words>
  <Characters>5341</Characters>
  <Application>Microsoft Office Word</Application>
  <DocSecurity>0</DocSecurity>
  <Lines>44</Lines>
  <Paragraphs>12</Paragraphs>
  <ScaleCrop>false</ScaleCrop>
  <Company/>
  <LinksUpToDate>false</LinksUpToDate>
  <CharactersWithSpaces>6266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2018-07-24T11:19:00Z</dcterms:created>
  <dcterms:modified xsi:type="dcterms:W3CDTF">2018-07-24T11:19:00Z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