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025DF" w14:textId="5EFE96E7" w:rsidR="00D94AFC" w:rsidRPr="00266744" w:rsidRDefault="00B965E7" w:rsidP="00266744">
      <w:pPr>
        <w:jc w:val="center"/>
        <w:rPr>
          <w:rFonts w:ascii="Book Antiqua" w:hAnsi="Book Antiqua" w:cs="Arial"/>
          <w:caps/>
          <w:color w:val="000000"/>
          <w:sz w:val="16"/>
          <w:szCs w:val="16"/>
        </w:rPr>
      </w:pPr>
      <w:r>
        <w:rPr>
          <w:noProof/>
        </w:rPr>
        <w:drawing>
          <wp:inline distT="0" distB="0" distL="0" distR="0" wp14:anchorId="49BFEA0F" wp14:editId="4E1AE882">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14:paraId="3B9E75CB"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4919C144" w14:textId="7340E6C6" w:rsidR="007B0824" w:rsidRPr="002A7CBE" w:rsidRDefault="008A6059" w:rsidP="00780F86">
      <w:pPr>
        <w:tabs>
          <w:tab w:val="right" w:pos="9720"/>
        </w:tabs>
        <w:ind w:right="-82"/>
        <w:rPr>
          <w:rFonts w:ascii="Book Antiqua" w:hAnsi="Book Antiqua" w:cs="Arial"/>
          <w:caps/>
          <w:color w:val="000000"/>
        </w:rPr>
      </w:pPr>
      <w:r w:rsidRPr="009B7433">
        <w:rPr>
          <w:rFonts w:ascii="Book Antiqua" w:hAnsi="Book Antiqua" w:cs="Arial"/>
          <w:b/>
          <w:color w:val="000000"/>
        </w:rPr>
        <w:t xml:space="preserve">(Immigration and Asylum </w:t>
      </w:r>
      <w:proofErr w:type="gramStart"/>
      <w:r w:rsidRPr="009B7433">
        <w:rPr>
          <w:rFonts w:ascii="Book Antiqua" w:hAnsi="Book Antiqua" w:cs="Arial"/>
          <w:b/>
          <w:color w:val="000000"/>
        </w:rPr>
        <w:t>Chamber)</w:t>
      </w:r>
      <w:r w:rsidR="00BE499A">
        <w:rPr>
          <w:rFonts w:ascii="Book Antiqua" w:hAnsi="Book Antiqua" w:cs="Arial"/>
          <w:b/>
          <w:color w:val="000000"/>
        </w:rPr>
        <w:t xml:space="preserve">   </w:t>
      </w:r>
      <w:proofErr w:type="gramEnd"/>
      <w:r w:rsidR="00BE499A">
        <w:rPr>
          <w:rFonts w:ascii="Book Antiqua" w:hAnsi="Book Antiqua" w:cs="Arial"/>
          <w:b/>
          <w:color w:val="000000"/>
        </w:rPr>
        <w:t xml:space="preserve">                   </w:t>
      </w:r>
      <w:r w:rsidR="00B3524D" w:rsidRPr="00BE499A">
        <w:rPr>
          <w:rFonts w:ascii="Book Antiqua" w:hAnsi="Book Antiqua" w:cs="Arial"/>
          <w:b/>
          <w:color w:val="000000"/>
        </w:rPr>
        <w:t>Appeal Number</w:t>
      </w:r>
      <w:r w:rsidR="00D53769" w:rsidRPr="00BE499A">
        <w:rPr>
          <w:rFonts w:ascii="Book Antiqua" w:hAnsi="Book Antiqua" w:cs="Arial"/>
          <w:b/>
          <w:color w:val="000000"/>
        </w:rPr>
        <w:t>:</w:t>
      </w:r>
      <w:r w:rsidR="00B3524D" w:rsidRPr="00BE499A">
        <w:rPr>
          <w:rFonts w:ascii="Book Antiqua" w:hAnsi="Book Antiqua" w:cs="Arial"/>
          <w:b/>
          <w:color w:val="000000"/>
        </w:rPr>
        <w:t xml:space="preserve"> </w:t>
      </w:r>
      <w:r w:rsidR="002A7CBE" w:rsidRPr="00BE499A">
        <w:rPr>
          <w:rFonts w:ascii="Book Antiqua" w:hAnsi="Book Antiqua" w:cs="Arial"/>
          <w:b/>
          <w:caps/>
          <w:color w:val="000000"/>
        </w:rPr>
        <w:t>PA/11607/2016</w:t>
      </w:r>
    </w:p>
    <w:p w14:paraId="7C182358" w14:textId="77777777" w:rsidR="00C345E1" w:rsidRPr="009B7433" w:rsidRDefault="00C345E1" w:rsidP="00C345E1">
      <w:pPr>
        <w:jc w:val="center"/>
        <w:rPr>
          <w:rFonts w:ascii="Book Antiqua" w:hAnsi="Book Antiqua" w:cs="Arial"/>
          <w:color w:val="000000"/>
        </w:rPr>
      </w:pPr>
    </w:p>
    <w:p w14:paraId="4510D869"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324B0E49"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245"/>
        <w:gridCol w:w="4763"/>
      </w:tblGrid>
      <w:tr w:rsidR="00D22636" w:rsidRPr="009B7433" w14:paraId="5876A255" w14:textId="77777777" w:rsidTr="00BE499A">
        <w:tc>
          <w:tcPr>
            <w:tcW w:w="5245" w:type="dxa"/>
          </w:tcPr>
          <w:p w14:paraId="046FCDB5"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AF507B">
              <w:rPr>
                <w:rFonts w:ascii="Book Antiqua" w:hAnsi="Book Antiqua" w:cs="Arial"/>
                <w:b/>
              </w:rPr>
              <w:t>Field House</w:t>
            </w:r>
          </w:p>
        </w:tc>
        <w:tc>
          <w:tcPr>
            <w:tcW w:w="4763" w:type="dxa"/>
          </w:tcPr>
          <w:p w14:paraId="50333B4C"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10C3267A" w14:textId="77777777" w:rsidTr="00BE499A">
        <w:tc>
          <w:tcPr>
            <w:tcW w:w="5245" w:type="dxa"/>
          </w:tcPr>
          <w:p w14:paraId="5A3E7AE8"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AF507B">
              <w:rPr>
                <w:rFonts w:ascii="Book Antiqua" w:hAnsi="Book Antiqua" w:cs="Arial"/>
                <w:b/>
              </w:rPr>
              <w:t>14 June 2018</w:t>
            </w:r>
          </w:p>
        </w:tc>
        <w:tc>
          <w:tcPr>
            <w:tcW w:w="4763" w:type="dxa"/>
          </w:tcPr>
          <w:p w14:paraId="29FE02EE" w14:textId="77777777" w:rsidR="00D22636" w:rsidRPr="009B7433" w:rsidRDefault="00266744" w:rsidP="004A1848">
            <w:pPr>
              <w:jc w:val="both"/>
              <w:rPr>
                <w:rFonts w:ascii="Book Antiqua" w:hAnsi="Book Antiqua" w:cs="Arial"/>
                <w:b/>
              </w:rPr>
            </w:pPr>
            <w:r w:rsidRPr="00266744">
              <w:rPr>
                <w:rFonts w:ascii="Book Antiqua" w:hAnsi="Book Antiqua" w:cs="Arial"/>
                <w:b/>
              </w:rPr>
              <w:t>On 22 June 2018</w:t>
            </w:r>
          </w:p>
        </w:tc>
      </w:tr>
      <w:tr w:rsidR="00D22636" w:rsidRPr="009B7433" w14:paraId="0F54FAA1" w14:textId="77777777" w:rsidTr="00BE499A">
        <w:tc>
          <w:tcPr>
            <w:tcW w:w="5245" w:type="dxa"/>
          </w:tcPr>
          <w:p w14:paraId="29A7CAC6" w14:textId="77777777" w:rsidR="00D22636" w:rsidRPr="009B7433" w:rsidRDefault="001F7FBB" w:rsidP="004A1848">
            <w:pPr>
              <w:jc w:val="both"/>
              <w:rPr>
                <w:rFonts w:ascii="Book Antiqua" w:hAnsi="Book Antiqua" w:cs="Arial"/>
                <w:b/>
              </w:rPr>
            </w:pPr>
            <w:r>
              <w:rPr>
                <w:rFonts w:ascii="Book Antiqua" w:hAnsi="Book Antiqua" w:cs="Arial"/>
                <w:b/>
              </w:rPr>
              <w:t>Extempore</w:t>
            </w:r>
          </w:p>
        </w:tc>
        <w:tc>
          <w:tcPr>
            <w:tcW w:w="4763" w:type="dxa"/>
          </w:tcPr>
          <w:p w14:paraId="251AC71A" w14:textId="77777777" w:rsidR="00D22636" w:rsidRPr="009B7433" w:rsidRDefault="00D22636" w:rsidP="004A1848">
            <w:pPr>
              <w:jc w:val="both"/>
              <w:rPr>
                <w:rFonts w:ascii="Book Antiqua" w:hAnsi="Book Antiqua" w:cs="Arial"/>
                <w:b/>
              </w:rPr>
            </w:pPr>
          </w:p>
        </w:tc>
      </w:tr>
    </w:tbl>
    <w:p w14:paraId="4A1F9F38" w14:textId="50DDF02F" w:rsidR="00A15234" w:rsidRDefault="00A15234" w:rsidP="00A15234">
      <w:pPr>
        <w:jc w:val="center"/>
        <w:rPr>
          <w:rFonts w:ascii="Book Antiqua" w:hAnsi="Book Antiqua" w:cs="Arial"/>
        </w:rPr>
      </w:pPr>
    </w:p>
    <w:p w14:paraId="6D541FA0" w14:textId="77777777" w:rsidR="00BE499A" w:rsidRPr="009B7433" w:rsidRDefault="00BE499A" w:rsidP="00A15234">
      <w:pPr>
        <w:jc w:val="center"/>
        <w:rPr>
          <w:rFonts w:ascii="Book Antiqua" w:hAnsi="Book Antiqua" w:cs="Arial"/>
        </w:rPr>
      </w:pPr>
    </w:p>
    <w:p w14:paraId="3A2C120B"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47BCFCA6" w14:textId="77777777" w:rsidR="00A15234" w:rsidRPr="009B7433" w:rsidRDefault="00A15234" w:rsidP="00A15234">
      <w:pPr>
        <w:jc w:val="center"/>
        <w:rPr>
          <w:rFonts w:ascii="Book Antiqua" w:hAnsi="Book Antiqua" w:cs="Arial"/>
          <w:b/>
        </w:rPr>
      </w:pPr>
    </w:p>
    <w:p w14:paraId="38353F2D" w14:textId="77777777"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14:paraId="6DC57723" w14:textId="77777777" w:rsidR="00D20757" w:rsidRPr="009B7433" w:rsidRDefault="00D20757" w:rsidP="00A15234">
      <w:pPr>
        <w:jc w:val="center"/>
        <w:rPr>
          <w:rFonts w:ascii="Book Antiqua" w:hAnsi="Book Antiqua" w:cs="Arial"/>
          <w:b/>
        </w:rPr>
      </w:pPr>
    </w:p>
    <w:p w14:paraId="4B787918" w14:textId="77777777" w:rsidR="00A845DC" w:rsidRPr="009B7433" w:rsidRDefault="00A845DC" w:rsidP="00BE499A">
      <w:pPr>
        <w:jc w:val="center"/>
        <w:rPr>
          <w:rFonts w:ascii="Book Antiqua" w:hAnsi="Book Antiqua" w:cs="Arial"/>
          <w:b/>
        </w:rPr>
      </w:pPr>
      <w:r w:rsidRPr="009B7433">
        <w:rPr>
          <w:rFonts w:ascii="Book Antiqua" w:hAnsi="Book Antiqua" w:cs="Arial"/>
          <w:b/>
        </w:rPr>
        <w:t>Between</w:t>
      </w:r>
    </w:p>
    <w:p w14:paraId="67CA5F77" w14:textId="77777777" w:rsidR="00A845DC" w:rsidRPr="009B7433" w:rsidRDefault="00A845DC" w:rsidP="00A15234">
      <w:pPr>
        <w:jc w:val="center"/>
        <w:rPr>
          <w:rFonts w:ascii="Book Antiqua" w:hAnsi="Book Antiqua" w:cs="Arial"/>
          <w:b/>
        </w:rPr>
      </w:pPr>
    </w:p>
    <w:p w14:paraId="59BD3896" w14:textId="77777777" w:rsidR="00A845DC" w:rsidRDefault="005C1ED6" w:rsidP="00A15234">
      <w:pPr>
        <w:jc w:val="center"/>
        <w:rPr>
          <w:rFonts w:ascii="Book Antiqua" w:hAnsi="Book Antiqua" w:cs="Arial"/>
          <w:b/>
          <w:caps/>
        </w:rPr>
      </w:pPr>
      <w:r>
        <w:rPr>
          <w:rFonts w:ascii="Book Antiqua" w:hAnsi="Book Antiqua" w:cs="Arial"/>
          <w:b/>
          <w:caps/>
        </w:rPr>
        <w:t>M A</w:t>
      </w:r>
    </w:p>
    <w:p w14:paraId="4B30C2F6" w14:textId="77777777" w:rsidR="00704B61" w:rsidRPr="00BE499A" w:rsidRDefault="00D949B7" w:rsidP="00A15234">
      <w:pPr>
        <w:jc w:val="center"/>
        <w:rPr>
          <w:rFonts w:ascii="Book Antiqua" w:hAnsi="Book Antiqua" w:cs="Arial"/>
        </w:rPr>
      </w:pPr>
      <w:r w:rsidRPr="00BE499A">
        <w:rPr>
          <w:rFonts w:ascii="Book Antiqua" w:hAnsi="Book Antiqua" w:cs="Arial"/>
          <w:caps/>
        </w:rPr>
        <w:t xml:space="preserve">(ANONYMITY DIRECTION </w:t>
      </w:r>
      <w:r w:rsidR="005C1ED6" w:rsidRPr="00BE499A">
        <w:rPr>
          <w:rFonts w:ascii="Book Antiqua" w:hAnsi="Book Antiqua" w:cs="Arial"/>
          <w:caps/>
        </w:rPr>
        <w:t>MADE</w:t>
      </w:r>
      <w:r w:rsidRPr="00BE499A">
        <w:rPr>
          <w:rFonts w:ascii="Book Antiqua" w:hAnsi="Book Antiqua" w:cs="Arial"/>
          <w:caps/>
        </w:rPr>
        <w:t>)</w:t>
      </w:r>
    </w:p>
    <w:p w14:paraId="28B4237F"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21C28798" w14:textId="77777777" w:rsidR="00F2203C" w:rsidRDefault="00F2203C" w:rsidP="00704B61">
      <w:pPr>
        <w:jc w:val="center"/>
        <w:rPr>
          <w:rFonts w:ascii="Book Antiqua" w:hAnsi="Book Antiqua" w:cs="Arial"/>
          <w:b/>
        </w:rPr>
      </w:pPr>
    </w:p>
    <w:p w14:paraId="17454488"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5762D971" w14:textId="229BD705" w:rsidR="00DD5071" w:rsidRDefault="00DD5071" w:rsidP="00704B61">
      <w:pPr>
        <w:jc w:val="center"/>
        <w:rPr>
          <w:rFonts w:ascii="Book Antiqua" w:hAnsi="Book Antiqua" w:cs="Arial"/>
          <w:b/>
        </w:rPr>
      </w:pPr>
    </w:p>
    <w:p w14:paraId="4F949483" w14:textId="77777777" w:rsidR="00BE499A" w:rsidRDefault="00BE499A" w:rsidP="00704B61">
      <w:pPr>
        <w:jc w:val="center"/>
        <w:rPr>
          <w:rFonts w:ascii="Book Antiqua" w:hAnsi="Book Antiqua" w:cs="Arial"/>
          <w:b/>
        </w:rPr>
      </w:pPr>
    </w:p>
    <w:p w14:paraId="063C9B32" w14:textId="18DD65A6" w:rsidR="00F2203C" w:rsidRDefault="00BE499A" w:rsidP="00704B61">
      <w:pPr>
        <w:jc w:val="center"/>
        <w:rPr>
          <w:rFonts w:ascii="Book Antiqua" w:hAnsi="Book Antiqua" w:cs="Arial"/>
          <w:b/>
        </w:rPr>
      </w:pPr>
      <w:r>
        <w:rPr>
          <w:rFonts w:ascii="Book Antiqua" w:hAnsi="Book Antiqua" w:cs="Arial"/>
          <w:b/>
        </w:rPr>
        <w:t>THE SECRETARY OF STATE FOR THE HOME DEPARTMENT</w:t>
      </w:r>
    </w:p>
    <w:p w14:paraId="2CE729C1"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3B39A88E" w14:textId="77777777" w:rsidR="00DD5071" w:rsidRPr="009B7433" w:rsidRDefault="00DD5071" w:rsidP="00DD5071">
      <w:pPr>
        <w:rPr>
          <w:rFonts w:ascii="Book Antiqua" w:hAnsi="Book Antiqua" w:cs="Arial"/>
          <w:u w:val="single"/>
        </w:rPr>
      </w:pPr>
    </w:p>
    <w:p w14:paraId="7090ADF3"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796E2BE0" w14:textId="77777777" w:rsidR="00DE7DB7" w:rsidRPr="009B7433" w:rsidRDefault="00DE7DB7" w:rsidP="00DD5071">
      <w:pPr>
        <w:rPr>
          <w:rFonts w:ascii="Book Antiqua" w:hAnsi="Book Antiqua" w:cs="Arial"/>
        </w:rPr>
      </w:pPr>
    </w:p>
    <w:p w14:paraId="12962019"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2E55D1">
        <w:rPr>
          <w:rFonts w:ascii="Book Antiqua" w:hAnsi="Book Antiqua" w:cs="Arial"/>
        </w:rPr>
        <w:t xml:space="preserve">Mr C </w:t>
      </w:r>
      <w:proofErr w:type="spellStart"/>
      <w:r w:rsidR="002E55D1">
        <w:rPr>
          <w:rFonts w:ascii="Book Antiqua" w:hAnsi="Book Antiqua" w:cs="Arial"/>
        </w:rPr>
        <w:t>Emezie</w:t>
      </w:r>
      <w:proofErr w:type="spellEnd"/>
      <w:r w:rsidR="002E55D1">
        <w:rPr>
          <w:rFonts w:ascii="Book Antiqua" w:hAnsi="Book Antiqua" w:cs="Arial"/>
        </w:rPr>
        <w:t xml:space="preserve">, </w:t>
      </w:r>
      <w:proofErr w:type="spellStart"/>
      <w:r w:rsidR="00193594" w:rsidRPr="00193594">
        <w:rPr>
          <w:rFonts w:ascii="Book Antiqua" w:hAnsi="Book Antiqua" w:cs="Arial"/>
        </w:rPr>
        <w:t>Roli</w:t>
      </w:r>
      <w:proofErr w:type="spellEnd"/>
      <w:r w:rsidR="00193594" w:rsidRPr="00193594">
        <w:rPr>
          <w:rFonts w:ascii="Book Antiqua" w:hAnsi="Book Antiqua" w:cs="Arial"/>
        </w:rPr>
        <w:t xml:space="preserve"> Solicitors</w:t>
      </w:r>
    </w:p>
    <w:p w14:paraId="245A0BF7"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193594">
        <w:rPr>
          <w:rFonts w:ascii="Book Antiqua" w:hAnsi="Book Antiqua" w:cs="Arial"/>
        </w:rPr>
        <w:t>Mr C Avery, Home Office Presenting Officer</w:t>
      </w:r>
    </w:p>
    <w:p w14:paraId="1BBD4BC6" w14:textId="77777777" w:rsidR="00DE7DB7" w:rsidRPr="009B7433" w:rsidRDefault="00DE7DB7" w:rsidP="00402B9E">
      <w:pPr>
        <w:tabs>
          <w:tab w:val="left" w:pos="2520"/>
        </w:tabs>
        <w:jc w:val="center"/>
        <w:rPr>
          <w:rFonts w:ascii="Book Antiqua" w:hAnsi="Book Antiqua" w:cs="Arial"/>
        </w:rPr>
      </w:pPr>
    </w:p>
    <w:p w14:paraId="4810BE8D"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456AF5F9" w14:textId="77777777" w:rsidR="00F2203C" w:rsidRDefault="00F2203C" w:rsidP="00CD0708">
      <w:pPr>
        <w:pStyle w:val="p"/>
      </w:pPr>
      <w:r>
        <w:t>The appellant appeals with permission against the decision of First-tier Tribunal Judge Paul promulgated on 1 December 2017 in which he dismissed her appeal on all grounds.  Whilst the appeal was on asylum, humanitarian protection and human rights grounds the sole ground which is challenged before me is Article 8.  For the reasons I gave in a decision of 15 February 2018 the decision of the First-tier Tribunal relating to article 8 is set aside. A copy of that decision is annexed to this decision.</w:t>
      </w:r>
    </w:p>
    <w:p w14:paraId="336B27A0" w14:textId="77777777" w:rsidR="00BF23BB" w:rsidRDefault="0000011B" w:rsidP="00CD0708">
      <w:pPr>
        <w:pStyle w:val="p"/>
      </w:pPr>
      <w:r>
        <w:t xml:space="preserve">The sole issue in the remaking of this appeal is whether removing the appellant to </w:t>
      </w:r>
      <w:smartTag w:uri="urn:schemas-microsoft-com:office:smarttags" w:element="country-region">
        <w:r>
          <w:t>Lebanon</w:t>
        </w:r>
      </w:smartTag>
      <w:r w:rsidR="00694111">
        <w:t xml:space="preserve"> would be in breach of the </w:t>
      </w:r>
      <w:smartTag w:uri="urn:schemas-microsoft-com:office:smarttags" w:element="country-region">
        <w:smartTag w:uri="urn:schemas-microsoft-com:office:smarttags" w:element="place">
          <w:r w:rsidR="00694111">
            <w:t>United Kingdom</w:t>
          </w:r>
        </w:smartTag>
      </w:smartTag>
      <w:r w:rsidR="00694111">
        <w:t xml:space="preserve">’s obligations pursuant to Article 8 of the Human Rights Convention.  </w:t>
      </w:r>
      <w:proofErr w:type="gramStart"/>
      <w:r w:rsidR="00694111">
        <w:t>In essence, the</w:t>
      </w:r>
      <w:proofErr w:type="gramEnd"/>
      <w:r w:rsidR="00694111">
        <w:t xml:space="preserve"> sole question here is whether </w:t>
      </w:r>
      <w:r w:rsidR="00694111">
        <w:lastRenderedPageBreak/>
        <w:t xml:space="preserve">removal would be proportionate, it not being suggested that any of the first four questions in the </w:t>
      </w:r>
      <w:proofErr w:type="spellStart"/>
      <w:r w:rsidR="00694111" w:rsidRPr="00694111">
        <w:rPr>
          <w:b/>
          <w:u w:val="single"/>
        </w:rPr>
        <w:t>Razgar</w:t>
      </w:r>
      <w:proofErr w:type="spellEnd"/>
      <w:r w:rsidR="00694111">
        <w:t xml:space="preserve"> analysis are not to be answered in the appellant’s favour.</w:t>
      </w:r>
    </w:p>
    <w:p w14:paraId="30DBFA9F" w14:textId="77777777" w:rsidR="004E5AC8" w:rsidRDefault="004E5AC8" w:rsidP="00F2203C">
      <w:pPr>
        <w:numPr>
          <w:ilvl w:val="0"/>
          <w:numId w:val="1"/>
        </w:numPr>
        <w:tabs>
          <w:tab w:val="clear" w:pos="567"/>
        </w:tabs>
        <w:spacing w:before="240"/>
        <w:jc w:val="both"/>
        <w:rPr>
          <w:rFonts w:ascii="Book Antiqua" w:hAnsi="Book Antiqua" w:cs="Arial"/>
        </w:rPr>
      </w:pPr>
      <w:r>
        <w:rPr>
          <w:rFonts w:ascii="Book Antiqua" w:hAnsi="Book Antiqua" w:cs="Arial"/>
        </w:rPr>
        <w:t>In assessing the article 8 claims, I have regard to section s117A and 117B of the 2002 Act which provides as follows:</w:t>
      </w:r>
    </w:p>
    <w:p w14:paraId="022A62E8" w14:textId="77777777" w:rsidR="004E5AC8" w:rsidRDefault="004E5AC8" w:rsidP="00F2203C">
      <w:pPr>
        <w:ind w:left="567"/>
        <w:jc w:val="both"/>
        <w:rPr>
          <w:rFonts w:ascii="Book Antiqua" w:hAnsi="Book Antiqua"/>
          <w:sz w:val="22"/>
          <w:szCs w:val="22"/>
        </w:rPr>
      </w:pPr>
      <w:bookmarkStart w:id="0" w:name="para9"/>
    </w:p>
    <w:p w14:paraId="2F211A26" w14:textId="77777777" w:rsidR="004E5AC8" w:rsidRPr="00CF50B0" w:rsidRDefault="004E5AC8" w:rsidP="00F2203C">
      <w:pPr>
        <w:ind w:left="567"/>
        <w:jc w:val="both"/>
        <w:rPr>
          <w:rFonts w:ascii="Book Antiqua" w:hAnsi="Book Antiqua"/>
          <w:sz w:val="22"/>
          <w:szCs w:val="22"/>
        </w:rPr>
      </w:pPr>
      <w:r w:rsidRPr="00CF50B0">
        <w:rPr>
          <w:rFonts w:ascii="Book Antiqua" w:hAnsi="Book Antiqua"/>
          <w:sz w:val="22"/>
          <w:szCs w:val="22"/>
        </w:rPr>
        <w:t xml:space="preserve">Section 117A  </w:t>
      </w:r>
      <w:bookmarkEnd w:id="0"/>
    </w:p>
    <w:p w14:paraId="23F502AB" w14:textId="77777777" w:rsidR="004E5AC8" w:rsidRPr="00CF50B0" w:rsidRDefault="004E5AC8" w:rsidP="00F2203C">
      <w:pPr>
        <w:spacing w:before="100" w:after="100"/>
        <w:ind w:left="567" w:right="720"/>
        <w:jc w:val="both"/>
        <w:rPr>
          <w:rFonts w:ascii="Book Antiqua" w:hAnsi="Book Antiqua"/>
          <w:sz w:val="22"/>
          <w:szCs w:val="22"/>
        </w:rPr>
      </w:pPr>
      <w:r w:rsidRPr="00CF50B0">
        <w:rPr>
          <w:rFonts w:ascii="Book Antiqua" w:hAnsi="Book Antiqua"/>
          <w:sz w:val="22"/>
          <w:szCs w:val="22"/>
        </w:rPr>
        <w:t>(1) This Part applies where a court or tribunal is required to determine whether a decision made under the Immigration Acts—</w:t>
      </w:r>
    </w:p>
    <w:p w14:paraId="097422F4" w14:textId="77777777" w:rsidR="004E5AC8" w:rsidRPr="00CF50B0" w:rsidRDefault="004E5AC8" w:rsidP="00F2203C">
      <w:pPr>
        <w:spacing w:before="100" w:after="100"/>
        <w:ind w:left="1134" w:right="1440"/>
        <w:jc w:val="both"/>
        <w:rPr>
          <w:rFonts w:ascii="Book Antiqua" w:hAnsi="Book Antiqua"/>
          <w:sz w:val="22"/>
          <w:szCs w:val="22"/>
        </w:rPr>
      </w:pPr>
      <w:r w:rsidRPr="00CF50B0">
        <w:rPr>
          <w:rFonts w:ascii="Book Antiqua" w:hAnsi="Book Antiqua"/>
          <w:sz w:val="22"/>
          <w:szCs w:val="22"/>
        </w:rPr>
        <w:t>(a) breaches a person's right to respect for private and family life under Article 8, and</w:t>
      </w:r>
    </w:p>
    <w:p w14:paraId="476DB365" w14:textId="77777777" w:rsidR="004E5AC8" w:rsidRPr="00CF50B0" w:rsidRDefault="004E5AC8" w:rsidP="00F2203C">
      <w:pPr>
        <w:spacing w:before="100" w:after="100"/>
        <w:ind w:left="1134" w:right="1440"/>
        <w:jc w:val="both"/>
        <w:rPr>
          <w:rFonts w:ascii="Book Antiqua" w:hAnsi="Book Antiqua"/>
          <w:sz w:val="22"/>
          <w:szCs w:val="22"/>
        </w:rPr>
      </w:pPr>
      <w:r w:rsidRPr="00CF50B0">
        <w:rPr>
          <w:rFonts w:ascii="Book Antiqua" w:hAnsi="Book Antiqua"/>
          <w:sz w:val="22"/>
          <w:szCs w:val="22"/>
        </w:rPr>
        <w:t>(b) as a result would be unlawful under section 6 of the Human Rights Act 1998.</w:t>
      </w:r>
    </w:p>
    <w:p w14:paraId="568811D7" w14:textId="77777777" w:rsidR="004E5AC8" w:rsidRPr="00CF50B0" w:rsidRDefault="004E5AC8" w:rsidP="00F2203C">
      <w:pPr>
        <w:spacing w:before="100" w:after="100"/>
        <w:ind w:left="567" w:right="720"/>
        <w:jc w:val="both"/>
        <w:rPr>
          <w:rFonts w:ascii="Book Antiqua" w:hAnsi="Book Antiqua"/>
          <w:sz w:val="22"/>
          <w:szCs w:val="22"/>
        </w:rPr>
      </w:pPr>
      <w:r w:rsidRPr="00CF50B0">
        <w:rPr>
          <w:rFonts w:ascii="Book Antiqua" w:hAnsi="Book Antiqua"/>
          <w:sz w:val="22"/>
          <w:szCs w:val="22"/>
        </w:rPr>
        <w:t>(2) In considering the public interest question, the court or tribunal must (in particular) have regard—</w:t>
      </w:r>
    </w:p>
    <w:p w14:paraId="3D215161" w14:textId="77777777" w:rsidR="004E5AC8" w:rsidRPr="00CF50B0" w:rsidRDefault="004E5AC8" w:rsidP="00F2203C">
      <w:pPr>
        <w:spacing w:before="100" w:after="100"/>
        <w:ind w:left="567" w:right="1440" w:firstLine="567"/>
        <w:jc w:val="both"/>
        <w:rPr>
          <w:rFonts w:ascii="Book Antiqua" w:hAnsi="Book Antiqua"/>
          <w:sz w:val="22"/>
          <w:szCs w:val="22"/>
        </w:rPr>
      </w:pPr>
      <w:r w:rsidRPr="00CF50B0">
        <w:rPr>
          <w:rFonts w:ascii="Book Antiqua" w:hAnsi="Book Antiqua"/>
          <w:sz w:val="22"/>
          <w:szCs w:val="22"/>
        </w:rPr>
        <w:t>(a) in all cases, to the considerations listed in section 117B, and</w:t>
      </w:r>
    </w:p>
    <w:p w14:paraId="423BBBC6" w14:textId="77777777" w:rsidR="004E5AC8" w:rsidRPr="00CF50B0" w:rsidRDefault="004E5AC8" w:rsidP="00F2203C">
      <w:pPr>
        <w:spacing w:before="100" w:after="100"/>
        <w:ind w:left="1134" w:right="1440"/>
        <w:jc w:val="both"/>
        <w:rPr>
          <w:rFonts w:ascii="Book Antiqua" w:hAnsi="Book Antiqua"/>
          <w:sz w:val="22"/>
          <w:szCs w:val="22"/>
        </w:rPr>
      </w:pPr>
      <w:r w:rsidRPr="00CF50B0">
        <w:rPr>
          <w:rFonts w:ascii="Book Antiqua" w:hAnsi="Book Antiqua"/>
          <w:sz w:val="22"/>
          <w:szCs w:val="22"/>
        </w:rPr>
        <w:t>(b) in cases concerning the deportation of foreign criminals, to the considerations listed in section 117C.</w:t>
      </w:r>
    </w:p>
    <w:p w14:paraId="089F63FD" w14:textId="77777777" w:rsidR="004E5AC8" w:rsidRPr="00CF50B0" w:rsidRDefault="004E5AC8" w:rsidP="00F2203C">
      <w:pPr>
        <w:spacing w:before="100" w:after="100"/>
        <w:ind w:left="567" w:right="720"/>
        <w:jc w:val="both"/>
        <w:rPr>
          <w:rFonts w:ascii="Book Antiqua" w:hAnsi="Book Antiqua"/>
          <w:sz w:val="22"/>
          <w:szCs w:val="22"/>
        </w:rPr>
      </w:pPr>
      <w:r w:rsidRPr="00CF50B0">
        <w:rPr>
          <w:rFonts w:ascii="Book Antiqua" w:hAnsi="Book Antiqua"/>
          <w:sz w:val="22"/>
          <w:szCs w:val="22"/>
        </w:rPr>
        <w:t xml:space="preserve">(3) In subsection (2), </w:t>
      </w:r>
      <w:r w:rsidRPr="00CF50B0">
        <w:rPr>
          <w:rFonts w:ascii="Book Antiqua" w:hAnsi="Book Antiqua"/>
          <w:i/>
          <w:iCs/>
          <w:sz w:val="22"/>
          <w:szCs w:val="22"/>
        </w:rPr>
        <w:t>"the public interest question"</w:t>
      </w:r>
      <w:r w:rsidRPr="00CF50B0">
        <w:rPr>
          <w:rFonts w:ascii="Book Antiqua" w:hAnsi="Book Antiqua"/>
          <w:sz w:val="22"/>
          <w:szCs w:val="22"/>
        </w:rPr>
        <w:t xml:space="preserve"> means the question of whether an interference with a person's right to respect for private and family life is justified under Article 8(2).</w:t>
      </w:r>
    </w:p>
    <w:p w14:paraId="65CB9835" w14:textId="77777777" w:rsidR="004E5AC8" w:rsidRPr="00CF50B0" w:rsidRDefault="004E5AC8" w:rsidP="00F2203C">
      <w:pPr>
        <w:ind w:left="567"/>
        <w:jc w:val="both"/>
        <w:rPr>
          <w:rFonts w:ascii="Book Antiqua" w:hAnsi="Book Antiqua"/>
          <w:sz w:val="22"/>
          <w:szCs w:val="22"/>
        </w:rPr>
      </w:pPr>
      <w:bookmarkStart w:id="1" w:name="para10"/>
      <w:r w:rsidRPr="00CF50B0">
        <w:rPr>
          <w:rFonts w:ascii="Book Antiqua" w:hAnsi="Book Antiqua"/>
          <w:sz w:val="22"/>
          <w:szCs w:val="22"/>
        </w:rPr>
        <w:t xml:space="preserve">Section 117B: </w:t>
      </w:r>
      <w:bookmarkEnd w:id="1"/>
    </w:p>
    <w:p w14:paraId="4E9B050A" w14:textId="77777777" w:rsidR="004E5AC8" w:rsidRPr="00CF50B0" w:rsidRDefault="004E5AC8" w:rsidP="00F2203C">
      <w:pPr>
        <w:ind w:left="567"/>
        <w:jc w:val="both"/>
        <w:rPr>
          <w:rFonts w:ascii="Book Antiqua" w:hAnsi="Book Antiqua"/>
          <w:sz w:val="22"/>
          <w:szCs w:val="22"/>
        </w:rPr>
      </w:pPr>
      <w:r w:rsidRPr="00CF50B0">
        <w:rPr>
          <w:rFonts w:ascii="Book Antiqua" w:hAnsi="Book Antiqua"/>
          <w:sz w:val="22"/>
          <w:szCs w:val="22"/>
        </w:rPr>
        <w:t>(1) The maintenance of effective immigration controls is in the public interest.</w:t>
      </w:r>
    </w:p>
    <w:p w14:paraId="2C1D3E08" w14:textId="77777777" w:rsidR="004E5AC8" w:rsidRDefault="004E5AC8" w:rsidP="00F2203C">
      <w:pPr>
        <w:ind w:left="567"/>
        <w:jc w:val="both"/>
        <w:rPr>
          <w:rFonts w:ascii="Book Antiqua" w:hAnsi="Book Antiqua"/>
          <w:sz w:val="22"/>
          <w:szCs w:val="22"/>
        </w:rPr>
      </w:pPr>
    </w:p>
    <w:p w14:paraId="78E173DF" w14:textId="77777777" w:rsidR="004E5AC8" w:rsidRPr="00CF50B0" w:rsidRDefault="004E5AC8" w:rsidP="00F2203C">
      <w:pPr>
        <w:ind w:left="567"/>
        <w:jc w:val="both"/>
        <w:rPr>
          <w:rFonts w:ascii="Book Antiqua" w:hAnsi="Book Antiqua"/>
          <w:sz w:val="22"/>
          <w:szCs w:val="22"/>
        </w:rPr>
      </w:pPr>
      <w:r w:rsidRPr="00CF50B0">
        <w:rPr>
          <w:rFonts w:ascii="Book Antiqua" w:hAnsi="Book Antiqua"/>
          <w:sz w:val="22"/>
          <w:szCs w:val="22"/>
        </w:rPr>
        <w:t>(2) It is in the public interest, and in particular in the interests of the economic well-being of the United Kingdom, that persons who seek to enter or remain in the United Kingdom are able to speak English, because persons who can speak English—</w:t>
      </w:r>
    </w:p>
    <w:p w14:paraId="7C273056" w14:textId="77777777" w:rsidR="004E5AC8" w:rsidRPr="00CF50B0" w:rsidRDefault="004E5AC8" w:rsidP="00F2203C">
      <w:pPr>
        <w:ind w:left="567" w:firstLine="567"/>
        <w:jc w:val="both"/>
        <w:rPr>
          <w:rFonts w:ascii="Book Antiqua" w:hAnsi="Book Antiqua"/>
          <w:sz w:val="22"/>
          <w:szCs w:val="22"/>
        </w:rPr>
      </w:pPr>
      <w:r w:rsidRPr="00CF50B0">
        <w:rPr>
          <w:rFonts w:ascii="Book Antiqua" w:hAnsi="Book Antiqua"/>
          <w:sz w:val="22"/>
          <w:szCs w:val="22"/>
        </w:rPr>
        <w:t>(a) are less of a burden on taxpayers, and</w:t>
      </w:r>
    </w:p>
    <w:p w14:paraId="06765D0A" w14:textId="77777777" w:rsidR="004E5AC8" w:rsidRPr="00CF50B0" w:rsidRDefault="004E5AC8" w:rsidP="00F2203C">
      <w:pPr>
        <w:ind w:left="567" w:firstLine="567"/>
        <w:jc w:val="both"/>
        <w:rPr>
          <w:rFonts w:ascii="Book Antiqua" w:hAnsi="Book Antiqua"/>
          <w:sz w:val="22"/>
          <w:szCs w:val="22"/>
        </w:rPr>
      </w:pPr>
      <w:r w:rsidRPr="00CF50B0">
        <w:rPr>
          <w:rFonts w:ascii="Book Antiqua" w:hAnsi="Book Antiqua"/>
          <w:sz w:val="22"/>
          <w:szCs w:val="22"/>
        </w:rPr>
        <w:t>(b) are better able to integrate into society.</w:t>
      </w:r>
    </w:p>
    <w:p w14:paraId="05DBFD9C" w14:textId="77777777" w:rsidR="004E5AC8" w:rsidRDefault="004E5AC8" w:rsidP="00F2203C">
      <w:pPr>
        <w:ind w:left="567"/>
        <w:jc w:val="both"/>
        <w:rPr>
          <w:rFonts w:ascii="Book Antiqua" w:hAnsi="Book Antiqua"/>
          <w:sz w:val="22"/>
          <w:szCs w:val="22"/>
        </w:rPr>
      </w:pPr>
    </w:p>
    <w:p w14:paraId="639D0D41" w14:textId="77777777" w:rsidR="004E5AC8" w:rsidRPr="00CF50B0" w:rsidRDefault="004E5AC8" w:rsidP="00F2203C">
      <w:pPr>
        <w:ind w:left="567"/>
        <w:jc w:val="both"/>
        <w:rPr>
          <w:rFonts w:ascii="Book Antiqua" w:hAnsi="Book Antiqua"/>
          <w:sz w:val="22"/>
          <w:szCs w:val="22"/>
        </w:rPr>
      </w:pPr>
      <w:r w:rsidRPr="00CF50B0">
        <w:rPr>
          <w:rFonts w:ascii="Book Antiqua" w:hAnsi="Book Antiqua"/>
          <w:sz w:val="22"/>
          <w:szCs w:val="22"/>
        </w:rPr>
        <w:t>(3) It is in the public interest, and in particular in the interests of the economic well-being of the United Kingdom, that persons who seek to enter or remain in the United Kingdom are financially independent, because such persons—</w:t>
      </w:r>
    </w:p>
    <w:p w14:paraId="1B1270AD" w14:textId="77777777" w:rsidR="004E5AC8" w:rsidRPr="00CF50B0" w:rsidRDefault="004E5AC8" w:rsidP="00F2203C">
      <w:pPr>
        <w:ind w:left="567" w:firstLine="567"/>
        <w:jc w:val="both"/>
        <w:rPr>
          <w:rFonts w:ascii="Book Antiqua" w:hAnsi="Book Antiqua"/>
          <w:sz w:val="22"/>
          <w:szCs w:val="22"/>
        </w:rPr>
      </w:pPr>
      <w:r w:rsidRPr="00CF50B0">
        <w:rPr>
          <w:rFonts w:ascii="Book Antiqua" w:hAnsi="Book Antiqua"/>
          <w:sz w:val="22"/>
          <w:szCs w:val="22"/>
        </w:rPr>
        <w:t>(a) are not a burden on taxpayers, and</w:t>
      </w:r>
    </w:p>
    <w:p w14:paraId="2D794C34" w14:textId="77777777" w:rsidR="004E5AC8" w:rsidRPr="00CF50B0" w:rsidRDefault="004E5AC8" w:rsidP="00F2203C">
      <w:pPr>
        <w:ind w:left="567" w:firstLine="567"/>
        <w:jc w:val="both"/>
        <w:rPr>
          <w:rFonts w:ascii="Book Antiqua" w:hAnsi="Book Antiqua"/>
          <w:sz w:val="22"/>
          <w:szCs w:val="22"/>
        </w:rPr>
      </w:pPr>
      <w:r w:rsidRPr="00CF50B0">
        <w:rPr>
          <w:rFonts w:ascii="Book Antiqua" w:hAnsi="Book Antiqua"/>
          <w:sz w:val="22"/>
          <w:szCs w:val="22"/>
        </w:rPr>
        <w:t>(b) are better able to integrate into society.</w:t>
      </w:r>
    </w:p>
    <w:p w14:paraId="216D38F0" w14:textId="77777777" w:rsidR="004E5AC8" w:rsidRDefault="004E5AC8" w:rsidP="00F2203C">
      <w:pPr>
        <w:ind w:left="567"/>
        <w:jc w:val="both"/>
        <w:rPr>
          <w:rFonts w:ascii="Book Antiqua" w:hAnsi="Book Antiqua"/>
          <w:sz w:val="22"/>
          <w:szCs w:val="22"/>
        </w:rPr>
      </w:pPr>
    </w:p>
    <w:p w14:paraId="762E250D" w14:textId="77777777" w:rsidR="004E5AC8" w:rsidRPr="00CF50B0" w:rsidRDefault="004E5AC8" w:rsidP="00F2203C">
      <w:pPr>
        <w:ind w:left="567"/>
        <w:jc w:val="both"/>
        <w:rPr>
          <w:rFonts w:ascii="Book Antiqua" w:hAnsi="Book Antiqua"/>
          <w:sz w:val="22"/>
          <w:szCs w:val="22"/>
        </w:rPr>
      </w:pPr>
      <w:r w:rsidRPr="00CF50B0">
        <w:rPr>
          <w:rFonts w:ascii="Book Antiqua" w:hAnsi="Book Antiqua"/>
          <w:sz w:val="22"/>
          <w:szCs w:val="22"/>
        </w:rPr>
        <w:t>(4) Little weight should be given to—</w:t>
      </w:r>
    </w:p>
    <w:p w14:paraId="63506A11" w14:textId="77777777" w:rsidR="004E5AC8" w:rsidRPr="00CF50B0" w:rsidRDefault="004E5AC8" w:rsidP="00F2203C">
      <w:pPr>
        <w:ind w:left="567" w:firstLine="567"/>
        <w:jc w:val="both"/>
        <w:rPr>
          <w:rFonts w:ascii="Book Antiqua" w:hAnsi="Book Antiqua"/>
          <w:sz w:val="22"/>
          <w:szCs w:val="22"/>
        </w:rPr>
      </w:pPr>
      <w:r w:rsidRPr="00CF50B0">
        <w:rPr>
          <w:rFonts w:ascii="Book Antiqua" w:hAnsi="Book Antiqua"/>
          <w:sz w:val="22"/>
          <w:szCs w:val="22"/>
        </w:rPr>
        <w:t>(a) a private life, or</w:t>
      </w:r>
    </w:p>
    <w:p w14:paraId="1F02023E" w14:textId="77777777" w:rsidR="004E5AC8" w:rsidRPr="00CF50B0" w:rsidRDefault="004E5AC8" w:rsidP="00F2203C">
      <w:pPr>
        <w:ind w:left="567" w:firstLine="567"/>
        <w:jc w:val="both"/>
        <w:rPr>
          <w:rFonts w:ascii="Book Antiqua" w:hAnsi="Book Antiqua"/>
          <w:sz w:val="22"/>
          <w:szCs w:val="22"/>
        </w:rPr>
      </w:pPr>
      <w:r w:rsidRPr="00CF50B0">
        <w:rPr>
          <w:rFonts w:ascii="Book Antiqua" w:hAnsi="Book Antiqua"/>
          <w:sz w:val="22"/>
          <w:szCs w:val="22"/>
        </w:rPr>
        <w:t>(b) a relationship formed with a qualifying partner,</w:t>
      </w:r>
    </w:p>
    <w:p w14:paraId="2B1CC5DD" w14:textId="77777777" w:rsidR="004E5AC8" w:rsidRPr="00CF50B0" w:rsidRDefault="004E5AC8" w:rsidP="00F2203C">
      <w:pPr>
        <w:ind w:left="1134"/>
        <w:jc w:val="both"/>
        <w:rPr>
          <w:rFonts w:ascii="Book Antiqua" w:hAnsi="Book Antiqua"/>
          <w:sz w:val="22"/>
          <w:szCs w:val="22"/>
        </w:rPr>
      </w:pPr>
      <w:r w:rsidRPr="00CF50B0">
        <w:rPr>
          <w:rFonts w:ascii="Book Antiqua" w:hAnsi="Book Antiqua"/>
          <w:sz w:val="22"/>
          <w:szCs w:val="22"/>
        </w:rPr>
        <w:t>that is established by a person at a time when the person is in the United Kingdom unlawfully.</w:t>
      </w:r>
    </w:p>
    <w:p w14:paraId="09DF71C0" w14:textId="77777777" w:rsidR="004E5AC8" w:rsidRPr="00CF50B0" w:rsidRDefault="004E5AC8" w:rsidP="00F2203C">
      <w:pPr>
        <w:ind w:left="567"/>
        <w:jc w:val="both"/>
        <w:rPr>
          <w:rFonts w:ascii="Book Antiqua" w:hAnsi="Book Antiqua"/>
          <w:sz w:val="22"/>
          <w:szCs w:val="22"/>
        </w:rPr>
      </w:pPr>
      <w:r w:rsidRPr="00CF50B0">
        <w:rPr>
          <w:rFonts w:ascii="Book Antiqua" w:hAnsi="Book Antiqua"/>
          <w:sz w:val="22"/>
          <w:szCs w:val="22"/>
        </w:rPr>
        <w:t>(5) Little weight should be given to a private life established by a person at a time when the person's immigration status is precarious.</w:t>
      </w:r>
    </w:p>
    <w:p w14:paraId="5C1B8AA5" w14:textId="77777777" w:rsidR="004E5AC8" w:rsidRDefault="004E5AC8" w:rsidP="00F2203C">
      <w:pPr>
        <w:ind w:left="567"/>
        <w:jc w:val="both"/>
        <w:rPr>
          <w:rFonts w:ascii="Book Antiqua" w:hAnsi="Book Antiqua"/>
          <w:sz w:val="22"/>
          <w:szCs w:val="22"/>
        </w:rPr>
      </w:pPr>
    </w:p>
    <w:p w14:paraId="27A2C91D" w14:textId="77777777" w:rsidR="004E5AC8" w:rsidRPr="00CF50B0" w:rsidRDefault="004E5AC8" w:rsidP="00F2203C">
      <w:pPr>
        <w:ind w:left="567"/>
        <w:jc w:val="both"/>
        <w:rPr>
          <w:rFonts w:ascii="Book Antiqua" w:hAnsi="Book Antiqua"/>
          <w:sz w:val="22"/>
          <w:szCs w:val="22"/>
        </w:rPr>
      </w:pPr>
      <w:r w:rsidRPr="00CF50B0">
        <w:rPr>
          <w:rFonts w:ascii="Book Antiqua" w:hAnsi="Book Antiqua"/>
          <w:sz w:val="22"/>
          <w:szCs w:val="22"/>
        </w:rPr>
        <w:t>(6) In the case of a person who is not liable to deportation, the public interest does not require the person's removal where—</w:t>
      </w:r>
    </w:p>
    <w:p w14:paraId="2B0A29F7" w14:textId="77777777" w:rsidR="004E5AC8" w:rsidRPr="00CF50B0" w:rsidRDefault="004E5AC8" w:rsidP="00F2203C">
      <w:pPr>
        <w:ind w:left="1134"/>
        <w:jc w:val="both"/>
        <w:rPr>
          <w:rFonts w:ascii="Book Antiqua" w:hAnsi="Book Antiqua"/>
          <w:sz w:val="22"/>
          <w:szCs w:val="22"/>
        </w:rPr>
      </w:pPr>
      <w:r w:rsidRPr="00CF50B0">
        <w:rPr>
          <w:rFonts w:ascii="Book Antiqua" w:hAnsi="Book Antiqua"/>
          <w:sz w:val="22"/>
          <w:szCs w:val="22"/>
        </w:rPr>
        <w:t>(a) the person has a genuine and subsisting parental relationship with a qualifying child, and</w:t>
      </w:r>
    </w:p>
    <w:p w14:paraId="3FF8A6B2" w14:textId="77777777" w:rsidR="004E5AC8" w:rsidRPr="00CF50B0" w:rsidRDefault="004E5AC8" w:rsidP="00F2203C">
      <w:pPr>
        <w:ind w:left="567" w:firstLine="567"/>
        <w:jc w:val="both"/>
        <w:rPr>
          <w:rFonts w:ascii="Book Antiqua" w:hAnsi="Book Antiqua"/>
          <w:sz w:val="22"/>
          <w:szCs w:val="22"/>
        </w:rPr>
      </w:pPr>
      <w:r w:rsidRPr="00CF50B0">
        <w:rPr>
          <w:rFonts w:ascii="Book Antiqua" w:hAnsi="Book Antiqua"/>
          <w:sz w:val="22"/>
          <w:szCs w:val="22"/>
        </w:rPr>
        <w:t>(b) it would not be reasonable to expect the child to leave the United Kingdom.</w:t>
      </w:r>
    </w:p>
    <w:p w14:paraId="411FDCD2" w14:textId="77777777" w:rsidR="004E5AC8" w:rsidRDefault="004E5AC8" w:rsidP="00F2203C">
      <w:pPr>
        <w:jc w:val="both"/>
      </w:pPr>
      <w:bookmarkStart w:id="2" w:name="para11"/>
    </w:p>
    <w:p w14:paraId="7E673C2D" w14:textId="77777777" w:rsidR="004E5AC8" w:rsidRPr="00CF50B0" w:rsidRDefault="004E5AC8" w:rsidP="00F2203C">
      <w:pPr>
        <w:ind w:left="567"/>
        <w:jc w:val="both"/>
        <w:rPr>
          <w:rFonts w:ascii="Book Antiqua" w:hAnsi="Book Antiqua"/>
          <w:sz w:val="22"/>
          <w:szCs w:val="22"/>
        </w:rPr>
      </w:pPr>
      <w:r w:rsidRPr="00CF50B0">
        <w:rPr>
          <w:rFonts w:ascii="Book Antiqua" w:hAnsi="Book Antiqua"/>
          <w:sz w:val="22"/>
          <w:szCs w:val="22"/>
        </w:rPr>
        <w:t xml:space="preserve"> "qualifying child" is defined in section 117D: </w:t>
      </w:r>
      <w:bookmarkEnd w:id="2"/>
    </w:p>
    <w:p w14:paraId="597C8D05" w14:textId="77777777" w:rsidR="004E5AC8" w:rsidRPr="00CF50B0" w:rsidRDefault="004E5AC8" w:rsidP="00F2203C">
      <w:pPr>
        <w:ind w:left="567"/>
        <w:jc w:val="both"/>
        <w:rPr>
          <w:rFonts w:ascii="Book Antiqua" w:hAnsi="Book Antiqua"/>
          <w:sz w:val="22"/>
          <w:szCs w:val="22"/>
        </w:rPr>
      </w:pPr>
      <w:r w:rsidRPr="00CF50B0">
        <w:rPr>
          <w:rFonts w:ascii="Book Antiqua" w:hAnsi="Book Antiqua"/>
          <w:sz w:val="22"/>
          <w:szCs w:val="22"/>
        </w:rPr>
        <w:t xml:space="preserve">"qualifying child" means a person who is under the age of 18 and who- </w:t>
      </w:r>
    </w:p>
    <w:p w14:paraId="1A3AF0A1" w14:textId="77777777" w:rsidR="004E5AC8" w:rsidRPr="00CF50B0" w:rsidRDefault="004E5AC8" w:rsidP="00F2203C">
      <w:pPr>
        <w:ind w:left="567" w:firstLine="567"/>
        <w:jc w:val="both"/>
        <w:rPr>
          <w:rFonts w:ascii="Book Antiqua" w:hAnsi="Book Antiqua"/>
          <w:sz w:val="22"/>
          <w:szCs w:val="22"/>
        </w:rPr>
      </w:pPr>
      <w:r w:rsidRPr="00CF50B0">
        <w:rPr>
          <w:rFonts w:ascii="Book Antiqua" w:hAnsi="Book Antiqua"/>
          <w:sz w:val="22"/>
          <w:szCs w:val="22"/>
        </w:rPr>
        <w:t>(a) is a British citizen, or</w:t>
      </w:r>
    </w:p>
    <w:p w14:paraId="622E14F9" w14:textId="77777777" w:rsidR="004E5AC8" w:rsidRPr="00CF50B0" w:rsidRDefault="004E5AC8" w:rsidP="00F2203C">
      <w:pPr>
        <w:ind w:left="567" w:firstLine="567"/>
        <w:jc w:val="both"/>
        <w:rPr>
          <w:rFonts w:ascii="Book Antiqua" w:hAnsi="Book Antiqua"/>
          <w:sz w:val="22"/>
          <w:szCs w:val="22"/>
        </w:rPr>
      </w:pPr>
      <w:r w:rsidRPr="00CF50B0">
        <w:rPr>
          <w:rFonts w:ascii="Book Antiqua" w:hAnsi="Book Antiqua"/>
          <w:sz w:val="22"/>
          <w:szCs w:val="22"/>
        </w:rPr>
        <w:t>(b) has lived in the United Kingdom for a continuous period of seven years or more;</w:t>
      </w:r>
    </w:p>
    <w:p w14:paraId="1CE76F0C" w14:textId="77777777" w:rsidR="004E5AC8" w:rsidRDefault="004E5AC8" w:rsidP="00F2203C">
      <w:pPr>
        <w:numPr>
          <w:ilvl w:val="0"/>
          <w:numId w:val="1"/>
        </w:numPr>
        <w:tabs>
          <w:tab w:val="clear" w:pos="567"/>
        </w:tabs>
        <w:spacing w:before="240"/>
        <w:jc w:val="both"/>
        <w:rPr>
          <w:rFonts w:ascii="Book Antiqua" w:hAnsi="Book Antiqua" w:cs="Arial"/>
        </w:rPr>
      </w:pPr>
      <w:r>
        <w:rPr>
          <w:rFonts w:ascii="Book Antiqua" w:hAnsi="Book Antiqua" w:cs="Arial"/>
        </w:rPr>
        <w:t xml:space="preserve">It is necessary to consider also in this context what was held in </w:t>
      </w:r>
      <w:r w:rsidRPr="000D0902">
        <w:rPr>
          <w:rFonts w:ascii="Book Antiqua" w:hAnsi="Book Antiqua" w:cs="Arial"/>
          <w:u w:val="single"/>
        </w:rPr>
        <w:t>MA(Pakistan)</w:t>
      </w:r>
      <w:r>
        <w:rPr>
          <w:rFonts w:ascii="Book Antiqua" w:hAnsi="Book Antiqua" w:cs="Arial"/>
        </w:rPr>
        <w:t xml:space="preserve"> at [40] to [47].</w:t>
      </w:r>
    </w:p>
    <w:p w14:paraId="759BE9FC" w14:textId="77777777" w:rsidR="004E5AC8" w:rsidRDefault="00CD0708" w:rsidP="00082F0A">
      <w:pPr>
        <w:pStyle w:val="p"/>
      </w:pPr>
      <w:r>
        <w:t>The starting point for the assessment of Article 8 in this context is the findings reached by Judge Paul and also the b</w:t>
      </w:r>
      <w:r w:rsidR="004E5AC8">
        <w:t>est interests of the children which is the first matter to be considered.</w:t>
      </w:r>
      <w:r w:rsidR="004E5AC8" w:rsidRPr="008A2699">
        <w:t xml:space="preserve">  </w:t>
      </w:r>
    </w:p>
    <w:p w14:paraId="796C6573" w14:textId="77777777" w:rsidR="008A767D" w:rsidRDefault="005C1ED6" w:rsidP="00082F0A">
      <w:pPr>
        <w:pStyle w:val="p"/>
      </w:pPr>
      <w:r>
        <w:t>M</w:t>
      </w:r>
      <w:r w:rsidR="00CD0708">
        <w:t>y task in assessing the best interests of the children has been considerably hampered by the failure to provide any proper evidential basis as to whether the children would, as the appellant contends, not be permitted to reside in Lebanon</w:t>
      </w:r>
      <w:r w:rsidR="009F5200">
        <w:t xml:space="preserve"> on anything other than a temporary basis or that her husband would not be in the same position.</w:t>
      </w:r>
      <w:r w:rsidR="000077D9">
        <w:t xml:space="preserve">  </w:t>
      </w:r>
      <w:r w:rsidR="009F5200">
        <w:t xml:space="preserve">This is, I consider, </w:t>
      </w:r>
      <w:r w:rsidR="00082F0A">
        <w:t xml:space="preserve">an important issue.  This is not a situation in which the appellant is a citizen of </w:t>
      </w:r>
      <w:r>
        <w:t>the</w:t>
      </w:r>
      <w:r w:rsidR="00082F0A">
        <w:t xml:space="preserve"> country </w:t>
      </w:r>
      <w:r>
        <w:t xml:space="preserve">to </w:t>
      </w:r>
      <w:r w:rsidR="00082F0A">
        <w:t xml:space="preserve">which she faces removal.  On the contrary, she </w:t>
      </w:r>
      <w:r>
        <w:t>was resident</w:t>
      </w:r>
      <w:r w:rsidR="00082F0A">
        <w:t xml:space="preserve"> there on </w:t>
      </w:r>
      <w:r w:rsidR="008A767D">
        <w:t>a</w:t>
      </w:r>
      <w:r w:rsidR="00082F0A">
        <w:t xml:space="preserve"> limited basis</w:t>
      </w:r>
      <w:r>
        <w:t xml:space="preserve"> as </w:t>
      </w:r>
      <w:r w:rsidR="00082F0A">
        <w:t>a stateless person.</w:t>
      </w:r>
    </w:p>
    <w:p w14:paraId="4E7CE530" w14:textId="77777777" w:rsidR="009F5200" w:rsidRPr="008A767D" w:rsidRDefault="008A767D" w:rsidP="00E80EB5">
      <w:pPr>
        <w:pStyle w:val="p"/>
      </w:pPr>
      <w:r w:rsidRPr="008A767D">
        <w:t xml:space="preserve">No </w:t>
      </w:r>
      <w:r w:rsidR="005C1ED6">
        <w:t xml:space="preserve">direct </w:t>
      </w:r>
      <w:r w:rsidRPr="008A767D">
        <w:t xml:space="preserve">evidence has been before me as to </w:t>
      </w:r>
      <w:r>
        <w:t xml:space="preserve">whether the Lebanese authorities would permit </w:t>
      </w:r>
      <w:r w:rsidR="005C1ED6">
        <w:t>the appellant’s</w:t>
      </w:r>
      <w:r>
        <w:t xml:space="preserve"> husband, who is a British citizen, and the children, who are also British citizens, to enter Lebanon on anything other than a temporary basis as for example tourists.  That is</w:t>
      </w:r>
      <w:r w:rsidR="005C1ED6">
        <w:t xml:space="preserve"> despite </w:t>
      </w:r>
      <w:r>
        <w:t>the direction</w:t>
      </w:r>
      <w:r w:rsidR="005C1ED6">
        <w:t xml:space="preserve"> made</w:t>
      </w:r>
      <w:r>
        <w:t xml:space="preserve"> on 22 March</w:t>
      </w:r>
      <w:r w:rsidR="005C1ED6">
        <w:t xml:space="preserve"> 2018, indicating that I would be assisted by </w:t>
      </w:r>
      <w:r w:rsidR="001E1B7A">
        <w:t xml:space="preserve">the </w:t>
      </w:r>
      <w:r>
        <w:t xml:space="preserve">production of an opinion from a Lebanese </w:t>
      </w:r>
      <w:r w:rsidR="001E1B7A">
        <w:t>lawyer</w:t>
      </w:r>
      <w:r w:rsidR="005C1ED6">
        <w:t xml:space="preserve"> as to whether the appellant’s husband and children would be permitted to go to live there with her, and if so, on what basis</w:t>
      </w:r>
      <w:r w:rsidR="001E1B7A">
        <w:t>.  All that I have been provided with is a report from Dr Alan George, who is not a lawyer, who ha</w:t>
      </w:r>
      <w:r w:rsidR="005C1ED6">
        <w:t>s</w:t>
      </w:r>
      <w:r w:rsidR="001E1B7A">
        <w:t xml:space="preserve"> produced a report of considerable length which is, with respect, almost entirely irrelevant to the </w:t>
      </w:r>
      <w:r w:rsidR="000E13D8">
        <w:t>issues in this appeal.  He does, however, say that the children would arrive as foreign nationals without any right of residence</w:t>
      </w:r>
      <w:r w:rsidR="000D5405">
        <w:t>, w</w:t>
      </w:r>
      <w:r w:rsidR="000E13D8">
        <w:t>ould require entry and residence visas</w:t>
      </w:r>
      <w:r w:rsidR="000D5405">
        <w:t>,</w:t>
      </w:r>
      <w:r w:rsidR="000E13D8">
        <w:t xml:space="preserve"> which might well be granted but would require repeated renewal</w:t>
      </w:r>
      <w:r w:rsidR="000D5405">
        <w:t xml:space="preserve">, and equally, he adds, they would not have any right of access to Lebanese or Palestinian education or healthcare or other welfare services and they would have to use private services.  Nothing is said about the father but I consider it </w:t>
      </w:r>
      <w:r w:rsidR="00E80EB5">
        <w:t>reasonable to infer that he would be in a similar situation.</w:t>
      </w:r>
    </w:p>
    <w:p w14:paraId="28713862" w14:textId="77777777" w:rsidR="00942156" w:rsidRDefault="00E80EB5" w:rsidP="00942156">
      <w:pPr>
        <w:pStyle w:val="p"/>
      </w:pPr>
      <w:r>
        <w:t xml:space="preserve">Understandably, that makes is the assessment of the best interests of the children, difficult.  I accept, as Dr George says in his opinion, which I consider he is able to opine, which is the general situation in </w:t>
      </w:r>
      <w:smartTag w:uri="urn:schemas-microsoft-com:office:smarttags" w:element="country-region">
        <w:smartTag w:uri="urn:schemas-microsoft-com:office:smarttags" w:element="place">
          <w:r>
            <w:t>Lebanon</w:t>
          </w:r>
        </w:smartTag>
      </w:smartTag>
      <w:r>
        <w:t xml:space="preserve"> for Palestinians, set out at paragraphs </w:t>
      </w:r>
      <w:r w:rsidR="004E5AC8">
        <w:t>[</w:t>
      </w:r>
      <w:r>
        <w:t>72</w:t>
      </w:r>
      <w:r w:rsidR="004E5AC8">
        <w:t>]</w:t>
      </w:r>
      <w:r>
        <w:t xml:space="preserve"> to </w:t>
      </w:r>
      <w:r w:rsidR="004E5AC8">
        <w:t>[</w:t>
      </w:r>
      <w:r>
        <w:t>101</w:t>
      </w:r>
      <w:r w:rsidR="004E5AC8">
        <w:t>]</w:t>
      </w:r>
      <w:r>
        <w:t xml:space="preserve"> of his decision.  Essentially, Palestinians have significant problems in </w:t>
      </w:r>
      <w:r w:rsidR="000077D9">
        <w:t>obtaining</w:t>
      </w:r>
      <w:r>
        <w:t xml:space="preserve"> work permits</w:t>
      </w:r>
      <w:r w:rsidR="000077D9">
        <w:t xml:space="preserve">, in obtaining work and access to services and in reality it is extremely difficult for them to obtain Lebanese citizenship.  They are, I accept, marginalised and their position would be difficult. </w:t>
      </w:r>
      <w:r w:rsidR="004E5AC8">
        <w:t>That would be the position of the mother; there is no indication that the father could lawfully obtain employment as he is now a British Citizen.</w:t>
      </w:r>
      <w:r w:rsidR="000077D9">
        <w:t xml:space="preserve"> Whilst the children have lived in the </w:t>
      </w:r>
      <w:smartTag w:uri="urn:schemas-microsoft-com:office:smarttags" w:element="country-region">
        <w:smartTag w:uri="urn:schemas-microsoft-com:office:smarttags" w:element="place">
          <w:r w:rsidR="000077D9">
            <w:t>United Kingdom</w:t>
          </w:r>
        </w:smartTag>
      </w:smartTag>
      <w:r w:rsidR="000077D9">
        <w:t xml:space="preserve"> for a relatively short time they are British citizens.  I find that it is in their best interests to have both of their parents with them and I consider that there is a strong interest in them doing so</w:t>
      </w:r>
      <w:r w:rsidR="005C068E">
        <w:t>.</w:t>
      </w:r>
    </w:p>
    <w:p w14:paraId="1A8CC831" w14:textId="77777777" w:rsidR="00082F0A" w:rsidRDefault="005C068E" w:rsidP="00942156">
      <w:pPr>
        <w:pStyle w:val="p"/>
      </w:pPr>
      <w:r>
        <w:lastRenderedPageBreak/>
        <w:t xml:space="preserve">I consider it also to be the case that the difficulties that they would face in </w:t>
      </w:r>
      <w:smartTag w:uri="urn:schemas-microsoft-com:office:smarttags" w:element="country-region">
        <w:r>
          <w:t>Lebanon</w:t>
        </w:r>
      </w:smartTag>
      <w:r>
        <w:t xml:space="preserve"> are significant and that their life chances would in this case be considerably greater were they to be educated in the </w:t>
      </w:r>
      <w:smartTag w:uri="urn:schemas-microsoft-com:office:smarttags" w:element="country-region">
        <w:smartTag w:uri="urn:schemas-microsoft-com:office:smarttags" w:element="place">
          <w:r>
            <w:t>United Kingdom</w:t>
          </w:r>
        </w:smartTag>
      </w:smartTag>
      <w:r>
        <w:t xml:space="preserve">, their country of citizenship.  This is not a scenario in which either parents have a citizenship with the country </w:t>
      </w:r>
      <w:r w:rsidR="00584EAF">
        <w:t xml:space="preserve">in </w:t>
      </w:r>
      <w:r w:rsidR="00446E9A">
        <w:t xml:space="preserve">which they would have to </w:t>
      </w:r>
      <w:r w:rsidR="00584EAF">
        <w:t>live</w:t>
      </w:r>
      <w:r w:rsidR="00446E9A">
        <w:t xml:space="preserve"> </w:t>
      </w:r>
      <w:r w:rsidR="00584EAF">
        <w:t xml:space="preserve">and I find on balance that it is unlikely that they would be able to obtain any permanent residence status there but at least as it appears from the U.S. State Department Report </w:t>
      </w:r>
      <w:r w:rsidR="00626C9D">
        <w:t>the</w:t>
      </w:r>
      <w:r w:rsidR="00942156">
        <w:t xml:space="preserve">re were </w:t>
      </w:r>
      <w:r w:rsidR="00626C9D">
        <w:t xml:space="preserve">difficulties </w:t>
      </w:r>
      <w:r w:rsidR="00942156">
        <w:t>for even Lebanese women obtaining residence permits for their husbands.</w:t>
      </w:r>
    </w:p>
    <w:p w14:paraId="25E8C94F" w14:textId="77777777" w:rsidR="00502464" w:rsidRPr="00502464" w:rsidRDefault="00942156" w:rsidP="00502464">
      <w:pPr>
        <w:pStyle w:val="p"/>
      </w:pPr>
      <w:r>
        <w:t xml:space="preserve">There are therefore, I consider, strong reasons why the children’s best interests are to remain in the </w:t>
      </w:r>
      <w:smartTag w:uri="urn:schemas-microsoft-com:office:smarttags" w:element="country-region">
        <w:smartTag w:uri="urn:schemas-microsoft-com:office:smarttags" w:element="place">
          <w:r>
            <w:t>United Kingdom</w:t>
          </w:r>
        </w:smartTag>
      </w:smartTag>
      <w:r>
        <w:t xml:space="preserve">.  That of course is the starting point.  </w:t>
      </w:r>
      <w:r w:rsidR="00D15383">
        <w:t>I must therefore go on to reach conclusions as to proportionality and in doing so I consider that it is appropriate to dot the balance sheet method of doing so.  In assessing the factors in favour of the appellant I bear in mind that she does not meet the requirements of the Immigration Rules.  It is not suggested that she does and I consider that that is a factor which counts against her.  I consider also that the fact that she does not comply</w:t>
      </w:r>
      <w:r w:rsidR="00E24E3D">
        <w:t>,</w:t>
      </w:r>
      <w:r w:rsidR="00D15383">
        <w:t xml:space="preserve"> </w:t>
      </w:r>
      <w:r w:rsidR="00E24E3D">
        <w:t>that there is a strong interest in the maintenance of immigration control, which the appellant has flouted.</w:t>
      </w:r>
    </w:p>
    <w:p w14:paraId="6E7F9671" w14:textId="77777777" w:rsidR="00942156" w:rsidRDefault="00502464" w:rsidP="00FC621F">
      <w:pPr>
        <w:pStyle w:val="p"/>
      </w:pPr>
      <w:r>
        <w:t xml:space="preserve">There is significant weight to be attached to the public interest in the maintenance of immigration control, which includes maintaining a system which applies to all </w:t>
      </w:r>
      <w:r w:rsidR="00400397">
        <w:t xml:space="preserve">equally and is </w:t>
      </w:r>
      <w:r w:rsidR="00DA04E9">
        <w:t>consistently applied</w:t>
      </w:r>
      <w:r w:rsidR="00400397">
        <w:t xml:space="preserve">. </w:t>
      </w:r>
      <w:r w:rsidR="00DA04E9">
        <w:t xml:space="preserve">The appellant does not meet the requirements of the Immigration Rules, which is a factor which, in light of the strong public interest, weighs significantly against her. </w:t>
      </w:r>
      <w:r w:rsidR="00400397">
        <w:t xml:space="preserve">It is also a factor against the appellant that she does not speak </w:t>
      </w:r>
      <w:r w:rsidR="00FC621F">
        <w:t xml:space="preserve">English and there is insufficient evidence to show that the family are financially independent in the </w:t>
      </w:r>
      <w:smartTag w:uri="urn:schemas-microsoft-com:office:smarttags" w:element="country-region">
        <w:smartTag w:uri="urn:schemas-microsoft-com:office:smarttags" w:element="place">
          <w:r w:rsidR="00FC621F">
            <w:t>United Kingdom</w:t>
          </w:r>
        </w:smartTag>
      </w:smartTag>
      <w:r w:rsidR="00FC621F">
        <w:t>.</w:t>
      </w:r>
    </w:p>
    <w:p w14:paraId="2FBB567A" w14:textId="77777777" w:rsidR="00FC621F" w:rsidRPr="000F2506" w:rsidRDefault="00FC621F" w:rsidP="000F2506">
      <w:pPr>
        <w:pStyle w:val="p"/>
      </w:pPr>
      <w:r>
        <w:t>As against that I consider that there are a number of factors which count in the appellant’s favour.  It is not disputed that she has a genuine and subsisting parental relationship with three children who are British citizens</w:t>
      </w:r>
      <w:r w:rsidR="00CD37E0">
        <w:t xml:space="preserve"> and it is therefore necessary to consider whether it would be reasonable to expect the children to leave the </w:t>
      </w:r>
      <w:smartTag w:uri="urn:schemas-microsoft-com:office:smarttags" w:element="country-region">
        <w:smartTag w:uri="urn:schemas-microsoft-com:office:smarttags" w:element="place">
          <w:r w:rsidR="00CD37E0">
            <w:t>United Kingdom</w:t>
          </w:r>
        </w:smartTag>
      </w:smartTag>
      <w:r w:rsidR="00CD37E0">
        <w:t xml:space="preserve">.  That is not the same as compulsion and requires an analysis of their best interests.  It also includes consideration of the wider public interest as accepted in </w:t>
      </w:r>
      <w:r w:rsidR="00CD37E0" w:rsidRPr="00CD37E0">
        <w:rPr>
          <w:b/>
          <w:u w:val="single"/>
        </w:rPr>
        <w:t>MA</w:t>
      </w:r>
      <w:r w:rsidR="00CD37E0" w:rsidRPr="00CD37E0">
        <w:rPr>
          <w:b/>
        </w:rPr>
        <w:t xml:space="preserve"> (</w:t>
      </w:r>
      <w:smartTag w:uri="urn:schemas-microsoft-com:office:smarttags" w:element="place">
        <w:smartTag w:uri="urn:schemas-microsoft-com:office:smarttags" w:element="country-region">
          <w:r w:rsidR="00CD37E0" w:rsidRPr="00CD37E0">
            <w:rPr>
              <w:b/>
            </w:rPr>
            <w:t>Pakistan</w:t>
          </w:r>
        </w:smartTag>
      </w:smartTag>
      <w:r w:rsidR="00CD37E0" w:rsidRPr="00CD37E0">
        <w:rPr>
          <w:b/>
        </w:rPr>
        <w:t>)</w:t>
      </w:r>
      <w:r w:rsidR="00CD37E0" w:rsidRPr="00CD37E0">
        <w:t xml:space="preserve"> </w:t>
      </w:r>
      <w:r w:rsidR="000F2506">
        <w:t>and these all must be factored into account.</w:t>
      </w:r>
    </w:p>
    <w:p w14:paraId="40F14FAD" w14:textId="77777777" w:rsidR="00723483" w:rsidRPr="00723483" w:rsidRDefault="000F2506" w:rsidP="00723483">
      <w:pPr>
        <w:pStyle w:val="p"/>
      </w:pPr>
      <w:r>
        <w:t>I consider that on the facts of this case, which are very unusual in that there is no country of nationality for the appellant to return to</w:t>
      </w:r>
      <w:r w:rsidR="00DA04E9">
        <w:t xml:space="preserve">. She is not a citizen of Lebanon and I conclude that family life could not properly be established there, given the legal restrictions on the husband and children living there except on a limited, temporary basis for short period. I conclude that in the circumstances, </w:t>
      </w:r>
      <w:r>
        <w:t xml:space="preserve">it would not be reasonable to expect the children to leave the </w:t>
      </w:r>
      <w:smartTag w:uri="urn:schemas-microsoft-com:office:smarttags" w:element="country-region">
        <w:smartTag w:uri="urn:schemas-microsoft-com:office:smarttags" w:element="place">
          <w:r>
            <w:t>United Kingdom</w:t>
          </w:r>
        </w:smartTag>
      </w:smartTag>
      <w:r>
        <w:t xml:space="preserve">.  I reach that conclusion taking into account all of the negative factors set out above and I conclude therefore following the guidance in </w:t>
      </w:r>
      <w:r w:rsidRPr="00DA04E9">
        <w:rPr>
          <w:b/>
          <w:u w:val="single"/>
        </w:rPr>
        <w:t>MA</w:t>
      </w:r>
      <w:r w:rsidRPr="00DA04E9">
        <w:rPr>
          <w:b/>
        </w:rPr>
        <w:t xml:space="preserve"> (</w:t>
      </w:r>
      <w:smartTag w:uri="urn:schemas-microsoft-com:office:smarttags" w:element="place">
        <w:smartTag w:uri="urn:schemas-microsoft-com:office:smarttags" w:element="country-region">
          <w:r w:rsidRPr="00DA04E9">
            <w:rPr>
              <w:b/>
            </w:rPr>
            <w:t>Pakistan</w:t>
          </w:r>
        </w:smartTag>
      </w:smartTag>
      <w:r w:rsidRPr="00DA04E9">
        <w:rPr>
          <w:b/>
        </w:rPr>
        <w:t>)</w:t>
      </w:r>
      <w:r w:rsidR="00723483">
        <w:t xml:space="preserve"> that this is a factor which counts significantly in the appellant’s favour.</w:t>
      </w:r>
    </w:p>
    <w:p w14:paraId="048A7306" w14:textId="77777777" w:rsidR="00444096" w:rsidRDefault="00723483" w:rsidP="00444096">
      <w:pPr>
        <w:pStyle w:val="p"/>
      </w:pPr>
      <w:r>
        <w:t xml:space="preserve">Further, there have to be good reasons why this factor should not prevail over the others.  There is, I consider in this case, a significant </w:t>
      </w:r>
      <w:r w:rsidR="00DA04E9">
        <w:t xml:space="preserve">and very weighty </w:t>
      </w:r>
      <w:r>
        <w:t xml:space="preserve">public interest in the maintenance of immigration control, not least because it has effectively been </w:t>
      </w:r>
      <w:r>
        <w:lastRenderedPageBreak/>
        <w:t xml:space="preserve">flouted.  Nonetheless, I bear in mind that what I am dealing with here </w:t>
      </w:r>
      <w:r w:rsidR="00ED2501">
        <w:t xml:space="preserve">is the </w:t>
      </w:r>
      <w:r w:rsidR="00DA04E9">
        <w:t xml:space="preserve">best </w:t>
      </w:r>
      <w:r w:rsidR="00ED2501">
        <w:t xml:space="preserve">interests of three children, one of whom is barely a year old, all three </w:t>
      </w:r>
      <w:r w:rsidR="00DA04E9">
        <w:t xml:space="preserve">of whom </w:t>
      </w:r>
      <w:r w:rsidR="00ED2501">
        <w:t>are British citizens.  I bear in mind the negative factors including the lack of speaking English and the lack of financial independence but equally I bear in mind, as I must, that the best interests of the children are a primary consider</w:t>
      </w:r>
      <w:r w:rsidR="00DA04E9">
        <w:t xml:space="preserve">ation. </w:t>
      </w:r>
    </w:p>
    <w:p w14:paraId="4E6B521E" w14:textId="77777777" w:rsidR="000F2506" w:rsidRDefault="00ED2501" w:rsidP="00444096">
      <w:pPr>
        <w:pStyle w:val="p"/>
      </w:pPr>
      <w:r>
        <w:t xml:space="preserve">Given the very real difficulties that the children would face even </w:t>
      </w:r>
      <w:r w:rsidR="00DA04E9">
        <w:t>though they</w:t>
      </w:r>
      <w:r>
        <w:t xml:space="preserve"> lived in </w:t>
      </w:r>
      <w:smartTag w:uri="urn:schemas-microsoft-com:office:smarttags" w:element="country-region">
        <w:smartTag w:uri="urn:schemas-microsoft-com:office:smarttags" w:element="place">
          <w:r>
            <w:t>Lebanon</w:t>
          </w:r>
        </w:smartTag>
      </w:smartTag>
      <w:r>
        <w:t xml:space="preserve"> in the past</w:t>
      </w:r>
      <w:r w:rsidR="00B57DFE">
        <w:t xml:space="preserve">, </w:t>
      </w:r>
      <w:r w:rsidR="00DA04E9">
        <w:t xml:space="preserve">given that they would be seeking entry as British Citizens, </w:t>
      </w:r>
      <w:r w:rsidR="00B57DFE">
        <w:t xml:space="preserve">I consider significant weight has to be attached to that.  </w:t>
      </w:r>
      <w:r w:rsidR="00444096">
        <w:t xml:space="preserve">They are therefore in a different position, as far as I can be satisfied, in </w:t>
      </w:r>
      <w:r w:rsidR="00F2203C">
        <w:t>Lebanese law.  The lack of any permanent status would make their situation precarious.</w:t>
      </w:r>
    </w:p>
    <w:p w14:paraId="063A37CC" w14:textId="77777777" w:rsidR="00444096" w:rsidRDefault="00D203BF" w:rsidP="007E4D35">
      <w:pPr>
        <w:pStyle w:val="p"/>
      </w:pPr>
      <w:r>
        <w:t xml:space="preserve">Taking all of these factors into account and attaching significant and great weight to the public interest in the maintenance of immigration control in this case and the need to maintain integrity in the system, I am nonetheless, given the </w:t>
      </w:r>
      <w:r w:rsidR="00F2203C">
        <w:t>difficulties facing the children</w:t>
      </w:r>
      <w:r>
        <w:t xml:space="preserve">, satisfied </w:t>
      </w:r>
      <w:r w:rsidR="00F21D41">
        <w:t xml:space="preserve">that removal of the appellant in this case would not be proportionate, given the very real difficulties in the family being able to have family life anywhere other than in the United Kingdom because of the nationalities of the children and the husband and the fact that the appellant has no nationality and the difficulties that there would be inherent in them having </w:t>
      </w:r>
      <w:r w:rsidR="007E4D35">
        <w:t>any basis of life together in Lebanon, the only other country which realistically they could be expected to live.</w:t>
      </w:r>
    </w:p>
    <w:p w14:paraId="027B39FF" w14:textId="77777777" w:rsidR="007E4D35" w:rsidRPr="00444096" w:rsidRDefault="007E4D35" w:rsidP="007E4D35">
      <w:pPr>
        <w:pStyle w:val="p"/>
      </w:pPr>
      <w:r>
        <w:t>Accordingly, for these reasons I allow the appeal.</w:t>
      </w:r>
    </w:p>
    <w:p w14:paraId="4C6C978B" w14:textId="77777777" w:rsidR="001F2716" w:rsidRPr="009B7433" w:rsidRDefault="001F2716" w:rsidP="00780F86">
      <w:pPr>
        <w:ind w:left="540" w:hanging="540"/>
        <w:jc w:val="both"/>
        <w:rPr>
          <w:rFonts w:ascii="Book Antiqua" w:hAnsi="Book Antiqua" w:cs="Arial"/>
        </w:rPr>
      </w:pPr>
    </w:p>
    <w:p w14:paraId="67D8D30F" w14:textId="77777777" w:rsidR="00D949B7" w:rsidRPr="00D949B7" w:rsidRDefault="00D949B7" w:rsidP="00D949B7">
      <w:pPr>
        <w:jc w:val="both"/>
        <w:rPr>
          <w:rFonts w:ascii="Book Antiqua" w:hAnsi="Book Antiqua" w:cs="Arial"/>
          <w:b/>
          <w:u w:val="single"/>
        </w:rPr>
      </w:pPr>
      <w:r w:rsidRPr="00D949B7">
        <w:rPr>
          <w:rFonts w:ascii="Book Antiqua" w:hAnsi="Book Antiqua" w:cs="Arial"/>
          <w:b/>
          <w:u w:val="single"/>
        </w:rPr>
        <w:t>Notice of Decision</w:t>
      </w:r>
    </w:p>
    <w:p w14:paraId="0425C46A" w14:textId="77777777" w:rsidR="00F2203C" w:rsidRDefault="00F2203C" w:rsidP="00F2203C">
      <w:pPr>
        <w:pStyle w:val="p"/>
        <w:numPr>
          <w:ilvl w:val="0"/>
          <w:numId w:val="4"/>
        </w:numPr>
        <w:tabs>
          <w:tab w:val="clear" w:pos="567"/>
        </w:tabs>
      </w:pPr>
      <w:r>
        <w:t xml:space="preserve">The decision of the First-tier Tribunal involves the making of an error of law and I set it aside. </w:t>
      </w:r>
    </w:p>
    <w:p w14:paraId="37ECC171" w14:textId="77777777" w:rsidR="00F2203C" w:rsidRDefault="00F2203C" w:rsidP="00F2203C">
      <w:pPr>
        <w:pStyle w:val="p"/>
        <w:tabs>
          <w:tab w:val="clear" w:pos="567"/>
        </w:tabs>
      </w:pPr>
      <w:r>
        <w:t>I remake the decision by allowing the appeal on human rights grounds</w:t>
      </w:r>
    </w:p>
    <w:p w14:paraId="10C5E8F7" w14:textId="77777777" w:rsidR="00F2203C" w:rsidRDefault="00F2203C" w:rsidP="00F2203C">
      <w:pPr>
        <w:pStyle w:val="p"/>
        <w:tabs>
          <w:tab w:val="clear" w:pos="567"/>
        </w:tabs>
      </w:pPr>
      <w:r>
        <w:t>I make an anonymity direction in respect of the appellant</w:t>
      </w:r>
    </w:p>
    <w:p w14:paraId="13870833" w14:textId="77777777" w:rsidR="00F2203C" w:rsidRPr="00D949B7" w:rsidRDefault="00F2203C" w:rsidP="00D949B7">
      <w:pPr>
        <w:jc w:val="both"/>
        <w:rPr>
          <w:rFonts w:ascii="Book Antiqua" w:hAnsi="Book Antiqua" w:cs="Arial"/>
        </w:rPr>
      </w:pPr>
    </w:p>
    <w:p w14:paraId="3E525668" w14:textId="77777777" w:rsidR="00D949B7" w:rsidRPr="00D949B7" w:rsidRDefault="00D949B7" w:rsidP="00D949B7">
      <w:pPr>
        <w:jc w:val="both"/>
        <w:rPr>
          <w:rFonts w:ascii="Book Antiqua" w:hAnsi="Book Antiqua" w:cs="Arial"/>
        </w:rPr>
      </w:pPr>
      <w:r w:rsidRPr="00D949B7">
        <w:rPr>
          <w:rFonts w:ascii="Book Antiqua" w:hAnsi="Book Antiqua" w:cs="Arial"/>
          <w:b/>
          <w:u w:val="single"/>
        </w:rPr>
        <w:t>Direction Regarding Anonymity – Rule 14 of the Tribunal Procedure (Upper Tribunal) Rules 2008</w:t>
      </w:r>
    </w:p>
    <w:p w14:paraId="77C9B15D" w14:textId="77777777" w:rsidR="00D949B7" w:rsidRPr="00D949B7" w:rsidRDefault="00D949B7" w:rsidP="00D949B7">
      <w:pPr>
        <w:jc w:val="both"/>
        <w:rPr>
          <w:rFonts w:ascii="Book Antiqua" w:hAnsi="Book Antiqua" w:cs="Arial"/>
        </w:rPr>
      </w:pPr>
    </w:p>
    <w:p w14:paraId="0FA637F8" w14:textId="77777777" w:rsidR="00D949B7" w:rsidRPr="00687601" w:rsidRDefault="00D949B7" w:rsidP="00D949B7">
      <w:pPr>
        <w:jc w:val="both"/>
        <w:rPr>
          <w:rFonts w:ascii="Book Antiqua" w:hAnsi="Book Antiqua" w:cs="Arial"/>
        </w:rPr>
      </w:pPr>
      <w:r w:rsidRPr="00D949B7">
        <w:rPr>
          <w:rFonts w:ascii="Book Antiqua" w:hAnsi="Book Antiqua" w:cs="Arial"/>
        </w:rPr>
        <w:t xml:space="preserve">Unless and </w:t>
      </w:r>
      <w:r w:rsidRPr="00D949B7">
        <w:rPr>
          <w:rFonts w:ascii="Book Antiqua" w:hAnsi="Book Antiqua"/>
        </w:rPr>
        <w:t xml:space="preserve">until a Tribunal or court directs otherwise, the </w:t>
      </w:r>
      <w:r w:rsidR="00B528BB">
        <w:rPr>
          <w:rFonts w:ascii="Book Antiqua" w:hAnsi="Book Antiqua"/>
        </w:rPr>
        <w:t>a</w:t>
      </w:r>
      <w:r w:rsidRPr="00D949B7">
        <w:rPr>
          <w:rFonts w:ascii="Book Antiqua" w:hAnsi="Book Antiqua"/>
        </w:rPr>
        <w:t xml:space="preserve">ppellant is granted anonymity.  No report of these proceedings shall directly or indirectly identify </w:t>
      </w:r>
      <w:r w:rsidR="00B05850">
        <w:rPr>
          <w:rFonts w:ascii="Book Antiqua" w:hAnsi="Book Antiqua"/>
        </w:rPr>
        <w:t>her</w:t>
      </w:r>
      <w:r w:rsidRPr="00D949B7">
        <w:rPr>
          <w:rFonts w:ascii="Book Antiqua" w:hAnsi="Book Antiqua"/>
        </w:rPr>
        <w:t xml:space="preserve"> or any member of </w:t>
      </w:r>
      <w:r w:rsidR="00B05850">
        <w:rPr>
          <w:rFonts w:ascii="Book Antiqua" w:hAnsi="Book Antiqua"/>
        </w:rPr>
        <w:t>her</w:t>
      </w:r>
      <w:r w:rsidRPr="00D949B7">
        <w:rPr>
          <w:rFonts w:ascii="Book Antiqua" w:hAnsi="Book Antiqua"/>
        </w:rPr>
        <w:t xml:space="preserve"> family.  This direction applies both to the </w:t>
      </w:r>
      <w:r w:rsidR="00B528BB">
        <w:rPr>
          <w:rFonts w:ascii="Book Antiqua" w:hAnsi="Book Antiqua"/>
        </w:rPr>
        <w:t>a</w:t>
      </w:r>
      <w:r w:rsidRPr="00D949B7">
        <w:rPr>
          <w:rFonts w:ascii="Book Antiqua" w:hAnsi="Book Antiqua"/>
        </w:rPr>
        <w:t xml:space="preserve">ppellant and to the </w:t>
      </w:r>
      <w:r w:rsidR="00B528BB">
        <w:rPr>
          <w:rFonts w:ascii="Book Antiqua" w:hAnsi="Book Antiqua"/>
        </w:rPr>
        <w:t>r</w:t>
      </w:r>
      <w:r w:rsidRPr="00D949B7">
        <w:rPr>
          <w:rFonts w:ascii="Book Antiqua" w:hAnsi="Book Antiqua"/>
        </w:rPr>
        <w:t>espondent.  Failure to comply with this direction could lead to contempt of court proceedings.</w:t>
      </w:r>
    </w:p>
    <w:p w14:paraId="76BDF03E" w14:textId="77777777" w:rsidR="009F5220" w:rsidRPr="009B7433" w:rsidRDefault="009F5220" w:rsidP="00780F86">
      <w:pPr>
        <w:ind w:left="540" w:hanging="540"/>
        <w:jc w:val="both"/>
        <w:rPr>
          <w:rFonts w:ascii="Book Antiqua" w:hAnsi="Book Antiqua" w:cs="Arial"/>
        </w:rPr>
      </w:pPr>
    </w:p>
    <w:p w14:paraId="6FB681D7" w14:textId="77777777"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F2203C">
        <w:rPr>
          <w:rFonts w:ascii="Book Antiqua" w:hAnsi="Book Antiqua" w:cs="Arial"/>
        </w:rPr>
        <w:t>:  21 June 2018</w:t>
      </w:r>
    </w:p>
    <w:p w14:paraId="47A0171B" w14:textId="77777777" w:rsidR="001F2716" w:rsidRPr="009B7433" w:rsidRDefault="001F2716" w:rsidP="00402B9E">
      <w:pPr>
        <w:tabs>
          <w:tab w:val="left" w:pos="2520"/>
        </w:tabs>
        <w:ind w:left="540" w:hanging="540"/>
        <w:jc w:val="both"/>
        <w:rPr>
          <w:rFonts w:ascii="Book Antiqua" w:hAnsi="Book Antiqua" w:cs="Arial"/>
        </w:rPr>
      </w:pPr>
    </w:p>
    <w:p w14:paraId="63A34657" w14:textId="33EECDB1" w:rsidR="001F2716" w:rsidRPr="009B7433" w:rsidRDefault="00B965E7" w:rsidP="00402B9E">
      <w:pPr>
        <w:tabs>
          <w:tab w:val="left" w:pos="2520"/>
        </w:tabs>
        <w:ind w:left="540" w:hanging="540"/>
        <w:jc w:val="both"/>
        <w:rPr>
          <w:rFonts w:ascii="Book Antiqua" w:hAnsi="Book Antiqua" w:cs="Arial"/>
        </w:rPr>
      </w:pPr>
      <w:r>
        <w:rPr>
          <w:rFonts w:ascii="Book Antiqua" w:hAnsi="Book Antiqua" w:cs="Arial"/>
          <w:noProof/>
        </w:rPr>
        <w:drawing>
          <wp:inline distT="0" distB="0" distL="0" distR="0" wp14:anchorId="62831598" wp14:editId="146CFB3B">
            <wp:extent cx="2047875"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14:paraId="09CE6827" w14:textId="77777777" w:rsidR="00F2203C" w:rsidRDefault="00173F50" w:rsidP="004B70D7">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p w14:paraId="4E7E4CE6" w14:textId="77777777" w:rsidR="00B95326" w:rsidRDefault="00F2203C" w:rsidP="004B70D7">
      <w:pPr>
        <w:tabs>
          <w:tab w:val="left" w:pos="2520"/>
        </w:tabs>
        <w:ind w:left="540" w:hanging="540"/>
        <w:jc w:val="both"/>
        <w:rPr>
          <w:rFonts w:ascii="Book Antiqua" w:hAnsi="Book Antiqua" w:cs="Arial"/>
          <w:color w:val="000000"/>
        </w:rPr>
      </w:pPr>
      <w:r>
        <w:rPr>
          <w:rFonts w:ascii="Book Antiqua" w:hAnsi="Book Antiqua" w:cs="Arial"/>
          <w:color w:val="000000"/>
        </w:rPr>
        <w:br w:type="page"/>
      </w:r>
      <w:r>
        <w:rPr>
          <w:rFonts w:ascii="Book Antiqua" w:hAnsi="Book Antiqua" w:cs="Arial"/>
          <w:color w:val="000000"/>
        </w:rPr>
        <w:lastRenderedPageBreak/>
        <w:t>ANNEX – ERROR OF LAW DECISION</w:t>
      </w:r>
    </w:p>
    <w:p w14:paraId="5E58FE40" w14:textId="6148258A" w:rsidR="00F2203C" w:rsidRPr="009B7433" w:rsidRDefault="00B965E7" w:rsidP="00F2203C">
      <w:pPr>
        <w:jc w:val="center"/>
        <w:rPr>
          <w:rFonts w:ascii="Book Antiqua" w:hAnsi="Book Antiqua" w:cs="Arial"/>
          <w:caps/>
          <w:color w:val="000000"/>
          <w:sz w:val="16"/>
          <w:szCs w:val="16"/>
        </w:rPr>
      </w:pPr>
      <w:r>
        <w:rPr>
          <w:noProof/>
        </w:rPr>
        <w:drawing>
          <wp:inline distT="0" distB="0" distL="0" distR="0" wp14:anchorId="59E04162" wp14:editId="4F28899A">
            <wp:extent cx="1184400" cy="10332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4400" cy="1033200"/>
                    </a:xfrm>
                    <a:prstGeom prst="rect">
                      <a:avLst/>
                    </a:prstGeom>
                    <a:noFill/>
                    <a:ln>
                      <a:noFill/>
                    </a:ln>
                  </pic:spPr>
                </pic:pic>
              </a:graphicData>
            </a:graphic>
          </wp:inline>
        </w:drawing>
      </w:r>
    </w:p>
    <w:p w14:paraId="73B24431" w14:textId="77777777" w:rsidR="00F2203C" w:rsidRPr="009B7433" w:rsidRDefault="00F2203C" w:rsidP="00F2203C">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18EF0B2E" w14:textId="6343E690" w:rsidR="00F2203C" w:rsidRPr="00551EC1" w:rsidRDefault="00F2203C" w:rsidP="00F2203C">
      <w:pPr>
        <w:tabs>
          <w:tab w:val="right" w:pos="9720"/>
        </w:tabs>
        <w:ind w:right="-82"/>
        <w:rPr>
          <w:rFonts w:ascii="Book Antiqua" w:hAnsi="Book Antiqua" w:cs="Arial"/>
          <w:b/>
          <w:color w:val="000000"/>
        </w:rPr>
      </w:pPr>
      <w:r w:rsidRPr="009B7433">
        <w:rPr>
          <w:rFonts w:ascii="Book Antiqua" w:hAnsi="Book Antiqua" w:cs="Arial"/>
          <w:b/>
          <w:color w:val="000000"/>
        </w:rPr>
        <w:t>(</w:t>
      </w:r>
      <w:r w:rsidR="00551EC1">
        <w:rPr>
          <w:rFonts w:ascii="Book Antiqua" w:hAnsi="Book Antiqua" w:cs="Arial"/>
          <w:b/>
          <w:color w:val="000000"/>
        </w:rPr>
        <w:t xml:space="preserve">Immigration and Asylum </w:t>
      </w:r>
      <w:proofErr w:type="gramStart"/>
      <w:r w:rsidR="00551EC1">
        <w:rPr>
          <w:rFonts w:ascii="Book Antiqua" w:hAnsi="Book Antiqua" w:cs="Arial"/>
          <w:b/>
          <w:color w:val="000000"/>
        </w:rPr>
        <w:t xml:space="preserve">Chamber)   </w:t>
      </w:r>
      <w:proofErr w:type="gramEnd"/>
      <w:r w:rsidR="00551EC1">
        <w:rPr>
          <w:rFonts w:ascii="Book Antiqua" w:hAnsi="Book Antiqua" w:cs="Arial"/>
          <w:b/>
          <w:color w:val="000000"/>
        </w:rPr>
        <w:t xml:space="preserve">                  </w:t>
      </w:r>
      <w:r w:rsidRPr="00551EC1">
        <w:rPr>
          <w:rFonts w:ascii="Book Antiqua" w:hAnsi="Book Antiqua" w:cs="Arial"/>
          <w:b/>
          <w:color w:val="000000"/>
        </w:rPr>
        <w:t xml:space="preserve">Appeal Number: </w:t>
      </w:r>
      <w:r w:rsidRPr="00551EC1">
        <w:rPr>
          <w:rFonts w:ascii="Book Antiqua" w:hAnsi="Book Antiqua" w:cs="Arial"/>
          <w:b/>
          <w:caps/>
          <w:color w:val="000000"/>
        </w:rPr>
        <w:t>PA/11607/2016</w:t>
      </w:r>
    </w:p>
    <w:p w14:paraId="258CB576" w14:textId="77777777" w:rsidR="00F2203C" w:rsidRPr="009B7433" w:rsidRDefault="00F2203C" w:rsidP="00F2203C">
      <w:pPr>
        <w:jc w:val="center"/>
        <w:rPr>
          <w:rFonts w:ascii="Book Antiqua" w:hAnsi="Book Antiqua" w:cs="Arial"/>
          <w:color w:val="000000"/>
        </w:rPr>
      </w:pPr>
    </w:p>
    <w:p w14:paraId="221A29DD" w14:textId="77777777" w:rsidR="00F2203C" w:rsidRPr="009B7433" w:rsidRDefault="00F2203C" w:rsidP="00F2203C">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60C4CD63" w14:textId="77777777" w:rsidR="00F2203C" w:rsidRPr="009B7433" w:rsidRDefault="00F2203C" w:rsidP="00F2203C">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F2203C" w:rsidRPr="009B7433" w14:paraId="138CC2B9" w14:textId="77777777" w:rsidTr="00757249">
        <w:tc>
          <w:tcPr>
            <w:tcW w:w="6048" w:type="dxa"/>
          </w:tcPr>
          <w:p w14:paraId="79084174" w14:textId="77777777" w:rsidR="00F2203C" w:rsidRPr="009B7433" w:rsidRDefault="00F2203C" w:rsidP="00757249">
            <w:pPr>
              <w:jc w:val="both"/>
              <w:rPr>
                <w:rFonts w:ascii="Book Antiqua" w:hAnsi="Book Antiqua" w:cs="Arial"/>
                <w:b/>
              </w:rPr>
            </w:pPr>
            <w:r w:rsidRPr="009B7433">
              <w:rPr>
                <w:rFonts w:ascii="Book Antiqua" w:hAnsi="Book Antiqua" w:cs="Arial"/>
                <w:b/>
              </w:rPr>
              <w:t xml:space="preserve">Heard at </w:t>
            </w:r>
            <w:r>
              <w:rPr>
                <w:rFonts w:ascii="Book Antiqua" w:hAnsi="Book Antiqua" w:cs="Arial"/>
                <w:b/>
              </w:rPr>
              <w:t>Field House</w:t>
            </w:r>
          </w:p>
        </w:tc>
        <w:tc>
          <w:tcPr>
            <w:tcW w:w="3960" w:type="dxa"/>
          </w:tcPr>
          <w:p w14:paraId="4CC3EDF6" w14:textId="77777777" w:rsidR="00F2203C" w:rsidRPr="009B7433" w:rsidRDefault="00F2203C" w:rsidP="00757249">
            <w:pPr>
              <w:jc w:val="both"/>
              <w:rPr>
                <w:rFonts w:ascii="Book Antiqua" w:hAnsi="Book Antiqua" w:cs="Arial"/>
                <w:b/>
                <w:color w:val="000000"/>
              </w:rPr>
            </w:pPr>
            <w:r>
              <w:rPr>
                <w:rFonts w:ascii="Book Antiqua" w:hAnsi="Book Antiqua" w:cs="Arial"/>
                <w:b/>
                <w:color w:val="000000"/>
              </w:rPr>
              <w:t>Decision &amp; Reasons</w:t>
            </w:r>
            <w:r w:rsidRPr="009B7433">
              <w:rPr>
                <w:rFonts w:ascii="Book Antiqua" w:hAnsi="Book Antiqua" w:cs="Arial"/>
                <w:b/>
                <w:color w:val="000000"/>
              </w:rPr>
              <w:t xml:space="preserve"> Promulgated</w:t>
            </w:r>
          </w:p>
        </w:tc>
      </w:tr>
      <w:tr w:rsidR="00F2203C" w:rsidRPr="009B7433" w14:paraId="009D5024" w14:textId="77777777" w:rsidTr="00757249">
        <w:tc>
          <w:tcPr>
            <w:tcW w:w="6048" w:type="dxa"/>
          </w:tcPr>
          <w:p w14:paraId="1A16EA35" w14:textId="77777777" w:rsidR="00F2203C" w:rsidRPr="009B7433" w:rsidRDefault="00F2203C" w:rsidP="00757249">
            <w:pPr>
              <w:jc w:val="both"/>
              <w:rPr>
                <w:rFonts w:ascii="Book Antiqua" w:hAnsi="Book Antiqua" w:cs="Arial"/>
                <w:b/>
              </w:rPr>
            </w:pPr>
            <w:r w:rsidRPr="009B7433">
              <w:rPr>
                <w:rFonts w:ascii="Book Antiqua" w:hAnsi="Book Antiqua" w:cs="Arial"/>
                <w:b/>
              </w:rPr>
              <w:t xml:space="preserve">On </w:t>
            </w:r>
            <w:r>
              <w:rPr>
                <w:rFonts w:ascii="Book Antiqua" w:hAnsi="Book Antiqua" w:cs="Arial"/>
                <w:b/>
              </w:rPr>
              <w:t>15 February 2018</w:t>
            </w:r>
          </w:p>
        </w:tc>
        <w:tc>
          <w:tcPr>
            <w:tcW w:w="3960" w:type="dxa"/>
          </w:tcPr>
          <w:p w14:paraId="7C23B32A" w14:textId="77777777" w:rsidR="00F2203C" w:rsidRPr="009B7433" w:rsidRDefault="00F2203C" w:rsidP="00757249">
            <w:pPr>
              <w:jc w:val="both"/>
              <w:rPr>
                <w:rFonts w:ascii="Book Antiqua" w:hAnsi="Book Antiqua" w:cs="Arial"/>
                <w:b/>
              </w:rPr>
            </w:pPr>
          </w:p>
        </w:tc>
      </w:tr>
      <w:tr w:rsidR="00F2203C" w:rsidRPr="009B7433" w14:paraId="5AB05D1F" w14:textId="77777777" w:rsidTr="00757249">
        <w:tc>
          <w:tcPr>
            <w:tcW w:w="6048" w:type="dxa"/>
          </w:tcPr>
          <w:p w14:paraId="2E182E8D" w14:textId="77777777" w:rsidR="00F2203C" w:rsidRPr="009B7433" w:rsidRDefault="00F2203C" w:rsidP="00757249">
            <w:pPr>
              <w:jc w:val="both"/>
              <w:rPr>
                <w:rFonts w:ascii="Book Antiqua" w:hAnsi="Book Antiqua" w:cs="Arial"/>
                <w:b/>
              </w:rPr>
            </w:pPr>
            <w:r>
              <w:rPr>
                <w:rFonts w:ascii="Book Antiqua" w:hAnsi="Book Antiqua" w:cs="Arial"/>
                <w:b/>
              </w:rPr>
              <w:t>Extempore</w:t>
            </w:r>
          </w:p>
        </w:tc>
        <w:tc>
          <w:tcPr>
            <w:tcW w:w="3960" w:type="dxa"/>
          </w:tcPr>
          <w:p w14:paraId="70BE96E9" w14:textId="77777777" w:rsidR="00F2203C" w:rsidRPr="009B7433" w:rsidRDefault="00F2203C" w:rsidP="00757249">
            <w:pPr>
              <w:jc w:val="both"/>
              <w:rPr>
                <w:rFonts w:ascii="Book Antiqua" w:hAnsi="Book Antiqua" w:cs="Arial"/>
                <w:b/>
              </w:rPr>
            </w:pPr>
            <w:r w:rsidRPr="009B7433">
              <w:rPr>
                <w:rFonts w:ascii="Book Antiqua" w:hAnsi="Book Antiqua" w:cs="Arial"/>
              </w:rPr>
              <w:t>…………………………………</w:t>
            </w:r>
          </w:p>
        </w:tc>
      </w:tr>
    </w:tbl>
    <w:p w14:paraId="3AF142DB" w14:textId="77777777" w:rsidR="00F2203C" w:rsidRPr="009B7433" w:rsidRDefault="00F2203C" w:rsidP="00F2203C">
      <w:pPr>
        <w:jc w:val="center"/>
        <w:rPr>
          <w:rFonts w:ascii="Book Antiqua" w:hAnsi="Book Antiqua" w:cs="Arial"/>
        </w:rPr>
      </w:pPr>
    </w:p>
    <w:p w14:paraId="549EA82B" w14:textId="77777777" w:rsidR="00F2203C" w:rsidRPr="009B7433" w:rsidRDefault="00F2203C" w:rsidP="00F2203C">
      <w:pPr>
        <w:jc w:val="center"/>
        <w:rPr>
          <w:rFonts w:ascii="Book Antiqua" w:hAnsi="Book Antiqua" w:cs="Arial"/>
          <w:b/>
        </w:rPr>
      </w:pPr>
      <w:r w:rsidRPr="009B7433">
        <w:rPr>
          <w:rFonts w:ascii="Book Antiqua" w:hAnsi="Book Antiqua" w:cs="Arial"/>
          <w:b/>
        </w:rPr>
        <w:t>Before</w:t>
      </w:r>
    </w:p>
    <w:p w14:paraId="65A666F1" w14:textId="77777777" w:rsidR="00F2203C" w:rsidRPr="009B7433" w:rsidRDefault="00F2203C" w:rsidP="00F2203C">
      <w:pPr>
        <w:jc w:val="center"/>
        <w:rPr>
          <w:rFonts w:ascii="Book Antiqua" w:hAnsi="Book Antiqua" w:cs="Arial"/>
          <w:b/>
        </w:rPr>
      </w:pPr>
    </w:p>
    <w:p w14:paraId="3BC805EA" w14:textId="77777777" w:rsidR="00F2203C" w:rsidRPr="009B7433" w:rsidRDefault="00F2203C" w:rsidP="00F2203C">
      <w:pPr>
        <w:jc w:val="center"/>
        <w:rPr>
          <w:rFonts w:ascii="Book Antiqua" w:hAnsi="Book Antiqua" w:cs="Arial"/>
          <w:b/>
          <w:color w:val="000000"/>
        </w:rPr>
      </w:pPr>
      <w:r>
        <w:rPr>
          <w:rFonts w:ascii="Book Antiqua" w:hAnsi="Book Antiqua" w:cs="Arial"/>
          <w:b/>
          <w:color w:val="000000"/>
        </w:rPr>
        <w:t>UPPER TRIBUNAL</w:t>
      </w:r>
      <w:r w:rsidRPr="009B7433">
        <w:rPr>
          <w:rFonts w:ascii="Book Antiqua" w:hAnsi="Book Antiqua" w:cs="Arial"/>
          <w:b/>
          <w:color w:val="000000"/>
        </w:rPr>
        <w:t xml:space="preserve"> JUDGE </w:t>
      </w:r>
      <w:r>
        <w:rPr>
          <w:rFonts w:ascii="Book Antiqua" w:hAnsi="Book Antiqua" w:cs="Arial"/>
          <w:b/>
          <w:color w:val="000000"/>
        </w:rPr>
        <w:t>RINTOUL</w:t>
      </w:r>
    </w:p>
    <w:p w14:paraId="0397BE19" w14:textId="77777777" w:rsidR="00F2203C" w:rsidRPr="009B7433" w:rsidRDefault="00F2203C" w:rsidP="00F2203C">
      <w:pPr>
        <w:jc w:val="center"/>
        <w:rPr>
          <w:rFonts w:ascii="Book Antiqua" w:hAnsi="Book Antiqua" w:cs="Arial"/>
          <w:b/>
          <w:color w:val="000000"/>
        </w:rPr>
      </w:pPr>
    </w:p>
    <w:p w14:paraId="6F64819F" w14:textId="77777777" w:rsidR="00F2203C" w:rsidRPr="009B7433" w:rsidRDefault="00F2203C" w:rsidP="00551EC1">
      <w:pPr>
        <w:jc w:val="center"/>
        <w:rPr>
          <w:rFonts w:ascii="Book Antiqua" w:hAnsi="Book Antiqua" w:cs="Arial"/>
          <w:b/>
        </w:rPr>
      </w:pPr>
      <w:r w:rsidRPr="009B7433">
        <w:rPr>
          <w:rFonts w:ascii="Book Antiqua" w:hAnsi="Book Antiqua" w:cs="Arial"/>
          <w:b/>
        </w:rPr>
        <w:t>Between</w:t>
      </w:r>
    </w:p>
    <w:p w14:paraId="7DCDA7F8" w14:textId="77777777" w:rsidR="00F2203C" w:rsidRPr="009B7433" w:rsidRDefault="00F2203C" w:rsidP="00F2203C">
      <w:pPr>
        <w:jc w:val="center"/>
        <w:rPr>
          <w:rFonts w:ascii="Book Antiqua" w:hAnsi="Book Antiqua" w:cs="Arial"/>
          <w:b/>
        </w:rPr>
      </w:pPr>
    </w:p>
    <w:p w14:paraId="55B1D4FF" w14:textId="77777777" w:rsidR="00F2203C" w:rsidRDefault="00F2203C" w:rsidP="00F2203C">
      <w:pPr>
        <w:jc w:val="center"/>
        <w:rPr>
          <w:rFonts w:ascii="Book Antiqua" w:hAnsi="Book Antiqua" w:cs="Arial"/>
          <w:b/>
          <w:caps/>
        </w:rPr>
      </w:pPr>
      <w:r>
        <w:rPr>
          <w:rFonts w:ascii="Book Antiqua" w:hAnsi="Book Antiqua" w:cs="Arial"/>
          <w:b/>
          <w:caps/>
        </w:rPr>
        <w:t xml:space="preserve">M </w:t>
      </w:r>
      <w:proofErr w:type="spellStart"/>
      <w:r>
        <w:rPr>
          <w:rFonts w:ascii="Book Antiqua" w:hAnsi="Book Antiqua" w:cs="Arial"/>
          <w:b/>
          <w:caps/>
        </w:rPr>
        <w:t>M</w:t>
      </w:r>
      <w:proofErr w:type="spellEnd"/>
      <w:r>
        <w:rPr>
          <w:rFonts w:ascii="Book Antiqua" w:hAnsi="Book Antiqua" w:cs="Arial"/>
          <w:b/>
          <w:caps/>
        </w:rPr>
        <w:t xml:space="preserve"> A</w:t>
      </w:r>
    </w:p>
    <w:p w14:paraId="224516E0" w14:textId="77777777" w:rsidR="00F2203C" w:rsidRPr="00551EC1" w:rsidRDefault="00F2203C" w:rsidP="00F2203C">
      <w:pPr>
        <w:jc w:val="center"/>
        <w:rPr>
          <w:rFonts w:ascii="Book Antiqua" w:hAnsi="Book Antiqua" w:cs="Arial"/>
          <w:caps/>
        </w:rPr>
      </w:pPr>
      <w:r w:rsidRPr="00551EC1">
        <w:rPr>
          <w:rFonts w:ascii="Book Antiqua" w:hAnsi="Book Antiqua" w:cs="Arial"/>
          <w:caps/>
        </w:rPr>
        <w:t>(ANONYMITY DIRECTION MADE)</w:t>
      </w:r>
    </w:p>
    <w:p w14:paraId="4F8B59DA" w14:textId="77777777" w:rsidR="00F2203C" w:rsidRDefault="00F2203C" w:rsidP="00F2203C">
      <w:pPr>
        <w:jc w:val="right"/>
        <w:rPr>
          <w:rFonts w:ascii="Book Antiqua" w:hAnsi="Book Antiqua" w:cs="Arial"/>
          <w:u w:val="single"/>
        </w:rPr>
      </w:pPr>
      <w:r w:rsidRPr="009B7433">
        <w:rPr>
          <w:rFonts w:ascii="Book Antiqua" w:hAnsi="Book Antiqua" w:cs="Arial"/>
          <w:u w:val="single"/>
        </w:rPr>
        <w:t>Appellant</w:t>
      </w:r>
    </w:p>
    <w:p w14:paraId="3002EF2A" w14:textId="77777777" w:rsidR="00F2203C" w:rsidRDefault="00F2203C" w:rsidP="00F2203C">
      <w:pPr>
        <w:jc w:val="right"/>
        <w:rPr>
          <w:rFonts w:ascii="Book Antiqua" w:hAnsi="Book Antiqua" w:cs="Arial"/>
          <w:u w:val="single"/>
        </w:rPr>
      </w:pPr>
    </w:p>
    <w:p w14:paraId="7B9DF878" w14:textId="77777777" w:rsidR="00F2203C" w:rsidRPr="009B7433" w:rsidRDefault="00F2203C" w:rsidP="00F2203C">
      <w:pPr>
        <w:jc w:val="right"/>
        <w:rPr>
          <w:rFonts w:ascii="Book Antiqua" w:hAnsi="Book Antiqua" w:cs="Arial"/>
          <w:u w:val="single"/>
        </w:rPr>
      </w:pPr>
    </w:p>
    <w:p w14:paraId="7652081B" w14:textId="77777777" w:rsidR="00F2203C" w:rsidRPr="009B7433" w:rsidRDefault="00F2203C" w:rsidP="00F2203C">
      <w:pPr>
        <w:jc w:val="center"/>
        <w:rPr>
          <w:rFonts w:ascii="Book Antiqua" w:hAnsi="Book Antiqua" w:cs="Arial"/>
          <w:b/>
        </w:rPr>
      </w:pPr>
      <w:r w:rsidRPr="009B7433">
        <w:rPr>
          <w:rFonts w:ascii="Book Antiqua" w:hAnsi="Book Antiqua" w:cs="Arial"/>
          <w:b/>
        </w:rPr>
        <w:t>and</w:t>
      </w:r>
    </w:p>
    <w:p w14:paraId="63320D0C" w14:textId="77777777" w:rsidR="00F2203C" w:rsidRDefault="00F2203C" w:rsidP="00F2203C">
      <w:pPr>
        <w:jc w:val="center"/>
        <w:rPr>
          <w:rFonts w:ascii="Book Antiqua" w:hAnsi="Book Antiqua" w:cs="Arial"/>
          <w:b/>
        </w:rPr>
      </w:pPr>
    </w:p>
    <w:p w14:paraId="122B68B8" w14:textId="50AEAB50" w:rsidR="00F2203C" w:rsidRPr="009B7433" w:rsidRDefault="00415604" w:rsidP="00F2203C">
      <w:pPr>
        <w:jc w:val="center"/>
        <w:rPr>
          <w:rFonts w:ascii="Book Antiqua" w:hAnsi="Book Antiqua" w:cs="Arial"/>
          <w:b/>
        </w:rPr>
      </w:pPr>
      <w:r>
        <w:rPr>
          <w:rFonts w:ascii="Book Antiqua" w:hAnsi="Book Antiqua" w:cs="Arial"/>
          <w:b/>
        </w:rPr>
        <w:t>THE SECRETARY OF STATE FOR THE HOME DEPARTMENT</w:t>
      </w:r>
    </w:p>
    <w:p w14:paraId="114AB95A" w14:textId="77777777" w:rsidR="00F2203C" w:rsidRPr="009B7433" w:rsidRDefault="00F2203C" w:rsidP="00F2203C">
      <w:pPr>
        <w:jc w:val="right"/>
        <w:rPr>
          <w:rFonts w:ascii="Book Antiqua" w:hAnsi="Book Antiqua" w:cs="Arial"/>
          <w:u w:val="single"/>
        </w:rPr>
      </w:pPr>
      <w:r w:rsidRPr="009B7433">
        <w:rPr>
          <w:rFonts w:ascii="Book Antiqua" w:hAnsi="Book Antiqua" w:cs="Arial"/>
          <w:u w:val="single"/>
        </w:rPr>
        <w:t>Respondent</w:t>
      </w:r>
    </w:p>
    <w:p w14:paraId="7AB56432" w14:textId="77777777" w:rsidR="00F2203C" w:rsidRPr="009B7433" w:rsidRDefault="00F2203C" w:rsidP="00F2203C">
      <w:pPr>
        <w:rPr>
          <w:rFonts w:ascii="Book Antiqua" w:hAnsi="Book Antiqua" w:cs="Arial"/>
          <w:u w:val="single"/>
        </w:rPr>
      </w:pPr>
    </w:p>
    <w:p w14:paraId="583317EA" w14:textId="77777777" w:rsidR="00F2203C" w:rsidRPr="009B7433" w:rsidRDefault="00F2203C" w:rsidP="00F2203C">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3B2962B2" w14:textId="77777777" w:rsidR="00F2203C" w:rsidRPr="009B7433" w:rsidRDefault="00F2203C" w:rsidP="00F2203C">
      <w:pPr>
        <w:rPr>
          <w:rFonts w:ascii="Book Antiqua" w:hAnsi="Book Antiqua" w:cs="Arial"/>
        </w:rPr>
      </w:pPr>
    </w:p>
    <w:p w14:paraId="3DBC15B7" w14:textId="77777777" w:rsidR="00F2203C" w:rsidRPr="009B7433" w:rsidRDefault="00F2203C" w:rsidP="00F2203C">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Pr>
          <w:rFonts w:ascii="Book Antiqua" w:hAnsi="Book Antiqua" w:cs="Arial"/>
        </w:rPr>
        <w:t xml:space="preserve">Mr C </w:t>
      </w:r>
      <w:proofErr w:type="spellStart"/>
      <w:r>
        <w:rPr>
          <w:rFonts w:ascii="Book Antiqua" w:hAnsi="Book Antiqua" w:cs="Arial"/>
        </w:rPr>
        <w:t>Emezie</w:t>
      </w:r>
      <w:proofErr w:type="spellEnd"/>
      <w:r>
        <w:rPr>
          <w:rFonts w:ascii="Book Antiqua" w:hAnsi="Book Antiqua" w:cs="Arial"/>
        </w:rPr>
        <w:t xml:space="preserve"> Solicitor Advocate instructed by </w:t>
      </w:r>
      <w:proofErr w:type="spellStart"/>
      <w:r>
        <w:rPr>
          <w:rFonts w:ascii="Book Antiqua" w:hAnsi="Book Antiqua" w:cs="Arial"/>
        </w:rPr>
        <w:t>Roli</w:t>
      </w:r>
      <w:proofErr w:type="spellEnd"/>
      <w:r>
        <w:rPr>
          <w:rFonts w:ascii="Book Antiqua" w:hAnsi="Book Antiqua" w:cs="Arial"/>
        </w:rPr>
        <w:t xml:space="preserve"> Solicitors</w:t>
      </w:r>
    </w:p>
    <w:p w14:paraId="7399D928" w14:textId="77777777" w:rsidR="00F2203C" w:rsidRPr="009B7433" w:rsidRDefault="00F2203C" w:rsidP="00F2203C">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Pr>
          <w:rFonts w:ascii="Book Antiqua" w:hAnsi="Book Antiqua" w:cs="Arial"/>
        </w:rPr>
        <w:t>Ms A Brocklesby-Weller</w:t>
      </w:r>
    </w:p>
    <w:p w14:paraId="702CBEE7" w14:textId="77777777" w:rsidR="00F2203C" w:rsidRPr="009B7433" w:rsidRDefault="00F2203C" w:rsidP="00F2203C">
      <w:pPr>
        <w:tabs>
          <w:tab w:val="left" w:pos="2520"/>
        </w:tabs>
        <w:jc w:val="center"/>
        <w:rPr>
          <w:rFonts w:ascii="Book Antiqua" w:hAnsi="Book Antiqua" w:cs="Arial"/>
        </w:rPr>
      </w:pPr>
    </w:p>
    <w:p w14:paraId="7FA488FE" w14:textId="77777777" w:rsidR="00F2203C" w:rsidRPr="009B7433" w:rsidRDefault="00F2203C" w:rsidP="00F2203C">
      <w:pPr>
        <w:tabs>
          <w:tab w:val="left" w:pos="2520"/>
        </w:tabs>
        <w:jc w:val="center"/>
        <w:rPr>
          <w:rFonts w:ascii="Book Antiqua" w:hAnsi="Book Antiqua" w:cs="Arial"/>
        </w:rPr>
      </w:pPr>
    </w:p>
    <w:p w14:paraId="662879D3" w14:textId="77777777" w:rsidR="00F2203C" w:rsidRPr="009B7433" w:rsidRDefault="00F2203C" w:rsidP="00F2203C">
      <w:pPr>
        <w:tabs>
          <w:tab w:val="left" w:pos="2520"/>
        </w:tabs>
        <w:jc w:val="center"/>
        <w:rPr>
          <w:rFonts w:ascii="Book Antiqua" w:hAnsi="Book Antiqua" w:cs="Arial"/>
        </w:rPr>
      </w:pPr>
      <w:r>
        <w:rPr>
          <w:rFonts w:ascii="Book Antiqua" w:hAnsi="Book Antiqua" w:cs="Arial"/>
          <w:b/>
          <w:u w:val="single"/>
        </w:rPr>
        <w:t xml:space="preserve">DECISION </w:t>
      </w:r>
      <w:r w:rsidRPr="009B7433">
        <w:rPr>
          <w:rFonts w:ascii="Book Antiqua" w:hAnsi="Book Antiqua" w:cs="Arial"/>
          <w:b/>
          <w:u w:val="single"/>
        </w:rPr>
        <w:t>AND REASONS</w:t>
      </w:r>
    </w:p>
    <w:p w14:paraId="39D66FBD" w14:textId="77777777" w:rsidR="00F2203C" w:rsidRDefault="00F2203C" w:rsidP="00F2203C">
      <w:pPr>
        <w:numPr>
          <w:ilvl w:val="0"/>
          <w:numId w:val="1"/>
        </w:numPr>
        <w:tabs>
          <w:tab w:val="clear" w:pos="567"/>
        </w:tabs>
        <w:spacing w:before="240"/>
        <w:jc w:val="both"/>
        <w:rPr>
          <w:rFonts w:ascii="Book Antiqua" w:hAnsi="Book Antiqua" w:cs="Arial"/>
        </w:rPr>
      </w:pPr>
      <w:bookmarkStart w:id="3" w:name="_Hlk517357091"/>
      <w:r>
        <w:rPr>
          <w:rFonts w:ascii="Book Antiqua" w:hAnsi="Book Antiqua" w:cs="Arial"/>
        </w:rPr>
        <w:t xml:space="preserve">The appellant appeals with permission against the decision of First-tier Tribunal Judge Paul promulgated on 1 December 2017 in which he dismissed her appeal on all grounds.  Whilst the appeal was on asylum, humanitarian protection and human rights grounds the sole ground which is challenged before me is Article 8.  </w:t>
      </w:r>
      <w:bookmarkEnd w:id="3"/>
      <w:r>
        <w:rPr>
          <w:rFonts w:ascii="Book Antiqua" w:hAnsi="Book Antiqua" w:cs="Arial"/>
        </w:rPr>
        <w:t xml:space="preserve">There is no challenge to the dismissal on asylum or humanitarian protection grounds.  The appellant is a Palestinian formerly resident in Lebanon.  She is married to a British citizen who was formerly also a Palestinian but who was naturalised in the United Kingdom.  There are three children of the family, two born in Lebanon both of whom are British citizens as they were born after their father had acquired citizenship and a </w:t>
      </w:r>
      <w:r>
        <w:rPr>
          <w:rFonts w:ascii="Book Antiqua" w:hAnsi="Book Antiqua" w:cs="Arial"/>
        </w:rPr>
        <w:lastRenderedPageBreak/>
        <w:t xml:space="preserve">third child born in the United Kingdom.  The judge concluded that it would having had regard to paragraph EX.1 and Section 117B of the 2002 Act concluded that it would on the facts of this case be reasonable to expect the children to return to Lebanon.  </w:t>
      </w:r>
    </w:p>
    <w:p w14:paraId="72898890" w14:textId="77777777" w:rsidR="00F2203C" w:rsidRDefault="00F2203C" w:rsidP="00F2203C">
      <w:pPr>
        <w:numPr>
          <w:ilvl w:val="0"/>
          <w:numId w:val="1"/>
        </w:numPr>
        <w:tabs>
          <w:tab w:val="clear" w:pos="567"/>
        </w:tabs>
        <w:spacing w:before="240"/>
        <w:jc w:val="both"/>
        <w:rPr>
          <w:rFonts w:ascii="Book Antiqua" w:hAnsi="Book Antiqua" w:cs="Arial"/>
        </w:rPr>
      </w:pPr>
      <w:r>
        <w:rPr>
          <w:rFonts w:ascii="Book Antiqua" w:hAnsi="Book Antiqua" w:cs="Arial"/>
        </w:rPr>
        <w:t xml:space="preserve">There are two principle grounds put forward in the grounds of challenge.  First  that the Secretary of State had approached the matter in an entirely incorrect matter and second that the judge’s assessment of the children‘s position failed to take account of the fact that they are not citizens of Lebanon did not have a right to enter and reside and that </w:t>
      </w:r>
      <w:r w:rsidRPr="00F377DA">
        <w:rPr>
          <w:rFonts w:ascii="Book Antiqua" w:hAnsi="Book Antiqua" w:cs="Arial"/>
          <w:b/>
          <w:u w:val="single"/>
        </w:rPr>
        <w:t>EV</w:t>
      </w:r>
      <w:r w:rsidRPr="00F377DA">
        <w:rPr>
          <w:rFonts w:ascii="Book Antiqua" w:hAnsi="Book Antiqua" w:cs="Arial"/>
          <w:b/>
        </w:rPr>
        <w:t xml:space="preserve"> </w:t>
      </w:r>
      <w:r>
        <w:rPr>
          <w:rFonts w:ascii="Book Antiqua" w:hAnsi="Book Antiqua" w:cs="Arial"/>
          <w:b/>
        </w:rPr>
        <w:t>(</w:t>
      </w:r>
      <w:r w:rsidRPr="00F377DA">
        <w:rPr>
          <w:rFonts w:ascii="Book Antiqua" w:hAnsi="Book Antiqua" w:cs="Arial"/>
          <w:b/>
        </w:rPr>
        <w:t>Philippines</w:t>
      </w:r>
      <w:r>
        <w:rPr>
          <w:rFonts w:ascii="Book Antiqua" w:hAnsi="Book Antiqua" w:cs="Arial"/>
          <w:b/>
        </w:rPr>
        <w:t>)</w:t>
      </w:r>
      <w:r w:rsidRPr="00F377DA">
        <w:rPr>
          <w:rFonts w:ascii="Book Antiqua" w:hAnsi="Book Antiqua" w:cs="Arial"/>
          <w:b/>
        </w:rPr>
        <w:t xml:space="preserve"> </w:t>
      </w:r>
      <w:r>
        <w:rPr>
          <w:rFonts w:ascii="Book Antiqua" w:hAnsi="Book Antiqua" w:cs="Arial"/>
        </w:rPr>
        <w:t xml:space="preserve">on which the judge relied was clearly distinguishable it is also considered that the proportionality considerations are wholly inadequate as the assessment in relation to the children was subjective and flawed.  </w:t>
      </w:r>
    </w:p>
    <w:p w14:paraId="2148F387" w14:textId="77777777" w:rsidR="00F2203C" w:rsidRDefault="00F2203C" w:rsidP="00F2203C">
      <w:pPr>
        <w:numPr>
          <w:ilvl w:val="0"/>
          <w:numId w:val="1"/>
        </w:numPr>
        <w:tabs>
          <w:tab w:val="clear" w:pos="567"/>
        </w:tabs>
        <w:spacing w:before="240"/>
        <w:jc w:val="both"/>
        <w:rPr>
          <w:rFonts w:ascii="Book Antiqua" w:hAnsi="Book Antiqua" w:cs="Arial"/>
        </w:rPr>
      </w:pPr>
      <w:r>
        <w:rPr>
          <w:rFonts w:ascii="Book Antiqua" w:hAnsi="Book Antiqua" w:cs="Arial"/>
        </w:rPr>
        <w:t xml:space="preserve">I have a number of concerns about the manner in which the judge approached the facts.   There appears not to have been any consideration that the scenario in this case is entirely different from that in </w:t>
      </w:r>
      <w:r w:rsidRPr="006C05D6">
        <w:rPr>
          <w:rFonts w:ascii="Book Antiqua" w:hAnsi="Book Antiqua" w:cs="Arial"/>
          <w:b/>
          <w:u w:val="single"/>
        </w:rPr>
        <w:t>EV</w:t>
      </w:r>
      <w:r w:rsidRPr="006C05D6">
        <w:rPr>
          <w:rFonts w:ascii="Book Antiqua" w:hAnsi="Book Antiqua" w:cs="Arial"/>
          <w:b/>
        </w:rPr>
        <w:t xml:space="preserve"> </w:t>
      </w:r>
      <w:r>
        <w:rPr>
          <w:rFonts w:ascii="Book Antiqua" w:hAnsi="Book Antiqua" w:cs="Arial"/>
          <w:b/>
        </w:rPr>
        <w:t>(</w:t>
      </w:r>
      <w:r w:rsidRPr="006C05D6">
        <w:rPr>
          <w:rFonts w:ascii="Book Antiqua" w:hAnsi="Book Antiqua" w:cs="Arial"/>
          <w:b/>
        </w:rPr>
        <w:t>Philippines</w:t>
      </w:r>
      <w:r>
        <w:rPr>
          <w:rFonts w:ascii="Book Antiqua" w:hAnsi="Book Antiqua" w:cs="Arial"/>
          <w:b/>
        </w:rPr>
        <w:t>)</w:t>
      </w:r>
      <w:r>
        <w:rPr>
          <w:rFonts w:ascii="Book Antiqua" w:hAnsi="Book Antiqua" w:cs="Arial"/>
        </w:rPr>
        <w:t xml:space="preserve">.  In that case none of the parties were British citizens and in this case the father and the three children including the youngest are all British citizens.  The youngest child is barely a year old.  There is no appreciation that under Section 117B(6) and following </w:t>
      </w:r>
      <w:r w:rsidRPr="001D680C">
        <w:rPr>
          <w:rFonts w:ascii="Book Antiqua" w:hAnsi="Book Antiqua" w:cs="Arial"/>
          <w:b/>
          <w:u w:val="single"/>
        </w:rPr>
        <w:t>MA</w:t>
      </w:r>
      <w:r w:rsidRPr="001D680C">
        <w:rPr>
          <w:rFonts w:ascii="Book Antiqua" w:hAnsi="Book Antiqua" w:cs="Arial"/>
          <w:b/>
        </w:rPr>
        <w:t xml:space="preserve"> Pakistan</w:t>
      </w:r>
      <w:r>
        <w:rPr>
          <w:rFonts w:ascii="Book Antiqua" w:hAnsi="Book Antiqua" w:cs="Arial"/>
        </w:rPr>
        <w:t xml:space="preserve"> the fact that the children are British citizens is a factor of significant weight to be taken into account.  There does not appear to have been any consideration as to whether the children could in fact relocate to Lebanon even if they wished so to do or that their parents wished them to do so.  There is evidence in the witness statements of the appellant and her husband that he would not be able to return there except as a tourist.  </w:t>
      </w:r>
    </w:p>
    <w:p w14:paraId="06B33539" w14:textId="77777777" w:rsidR="00F2203C" w:rsidRDefault="00F2203C" w:rsidP="00F2203C">
      <w:pPr>
        <w:numPr>
          <w:ilvl w:val="0"/>
          <w:numId w:val="1"/>
        </w:numPr>
        <w:tabs>
          <w:tab w:val="clear" w:pos="567"/>
        </w:tabs>
        <w:spacing w:before="240"/>
        <w:jc w:val="both"/>
        <w:rPr>
          <w:rFonts w:ascii="Book Antiqua" w:hAnsi="Book Antiqua" w:cs="Arial"/>
        </w:rPr>
      </w:pPr>
      <w:r>
        <w:rPr>
          <w:rFonts w:ascii="Book Antiqua" w:hAnsi="Book Antiqua" w:cs="Arial"/>
        </w:rPr>
        <w:t>It to be borne in mind that the appellant is not entitled  to Lebanese citizenship are the children.  Further whilst at paragraph [26], as the respondent submits, there is some consideration of the best interests of the children this is couched in terms of their welfare and it being said to be upper most.  But there was no consideration of their position in the United Kingdom nor of the fact that significant weight is to be attached to the fact that they are British citizens.</w:t>
      </w:r>
    </w:p>
    <w:p w14:paraId="240D8182" w14:textId="77777777" w:rsidR="00F2203C" w:rsidRDefault="00F2203C" w:rsidP="00F2203C">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also appears to have assumed that both parents were able to work in the future and that they have extensive family ties but this does not resolve the question of  whether the father could in fact relocate there.  To state that there is nothing but the children’s circumstances here which means that does not apply does not in this context make sense.  It is also unclear how the judge who could have concluded in the light of </w:t>
      </w:r>
      <w:r w:rsidRPr="00BE799B">
        <w:rPr>
          <w:rFonts w:ascii="Book Antiqua" w:hAnsi="Book Antiqua" w:cs="Arial"/>
          <w:b/>
          <w:u w:val="single"/>
        </w:rPr>
        <w:t>MA</w:t>
      </w:r>
      <w:r w:rsidRPr="00BE799B">
        <w:rPr>
          <w:rFonts w:ascii="Book Antiqua" w:hAnsi="Book Antiqua" w:cs="Arial"/>
          <w:b/>
        </w:rPr>
        <w:t xml:space="preserve"> Pakistan</w:t>
      </w:r>
      <w:r>
        <w:rPr>
          <w:rFonts w:ascii="Book Antiqua" w:hAnsi="Book Antiqua" w:cs="Arial"/>
        </w:rPr>
        <w:t xml:space="preserve"> that the family could relocate to Lebanon and live there as they had done before the husband had come to the United Kingdom with the children.  There is no evidential basis for that assumption.</w:t>
      </w:r>
    </w:p>
    <w:p w14:paraId="352E1BBD" w14:textId="77777777" w:rsidR="00F2203C" w:rsidRDefault="00F2203C" w:rsidP="00F2203C">
      <w:pPr>
        <w:numPr>
          <w:ilvl w:val="0"/>
          <w:numId w:val="1"/>
        </w:numPr>
        <w:tabs>
          <w:tab w:val="clear" w:pos="567"/>
        </w:tabs>
        <w:spacing w:before="240"/>
        <w:jc w:val="both"/>
        <w:rPr>
          <w:rFonts w:ascii="Book Antiqua" w:hAnsi="Book Antiqua" w:cs="Arial"/>
        </w:rPr>
      </w:pPr>
      <w:r>
        <w:rPr>
          <w:rFonts w:ascii="Book Antiqua" w:hAnsi="Book Antiqua" w:cs="Arial"/>
        </w:rPr>
        <w:t xml:space="preserve">There appears in my view to have been no proper consideration of the unusual factorial scenario in this case where in a family of five people only one is not a British citizen and there may well be significant legal obstacles to the family life which clearly exists continuing in Lebanon. There is simply no consideration as to whether the separation of the appellant from her children would be reasonable.  </w:t>
      </w:r>
    </w:p>
    <w:p w14:paraId="44EAEE63" w14:textId="77777777" w:rsidR="00F2203C" w:rsidRPr="002106B3" w:rsidRDefault="00F2203C" w:rsidP="00F2203C">
      <w:pPr>
        <w:numPr>
          <w:ilvl w:val="0"/>
          <w:numId w:val="1"/>
        </w:numPr>
        <w:tabs>
          <w:tab w:val="clear" w:pos="567"/>
        </w:tabs>
        <w:spacing w:before="240"/>
        <w:jc w:val="both"/>
        <w:rPr>
          <w:rFonts w:ascii="Book Antiqua" w:hAnsi="Book Antiqua" w:cs="Arial"/>
        </w:rPr>
      </w:pPr>
      <w:r w:rsidRPr="002106B3">
        <w:rPr>
          <w:rFonts w:ascii="Book Antiqua" w:hAnsi="Book Antiqua" w:cs="Arial"/>
        </w:rPr>
        <w:t xml:space="preserve">For these reasons I consider that the decision of the First-tier Tribunal did involve the making of an error of law and I set it aside.  I am however satisfied that this is a case which should be remade in the Upper Tribunal.  </w:t>
      </w:r>
    </w:p>
    <w:p w14:paraId="03C825CF" w14:textId="77777777" w:rsidR="00F2203C" w:rsidRPr="009B7433" w:rsidRDefault="00F2203C" w:rsidP="00F2203C">
      <w:pPr>
        <w:ind w:left="540" w:hanging="540"/>
        <w:jc w:val="both"/>
        <w:rPr>
          <w:rFonts w:ascii="Book Antiqua" w:hAnsi="Book Antiqua" w:cs="Arial"/>
        </w:rPr>
      </w:pPr>
    </w:p>
    <w:p w14:paraId="305F2182" w14:textId="77777777" w:rsidR="00F2203C" w:rsidRPr="00D949B7" w:rsidRDefault="00F2203C" w:rsidP="00F2203C">
      <w:pPr>
        <w:jc w:val="both"/>
        <w:rPr>
          <w:rFonts w:ascii="Book Antiqua" w:hAnsi="Book Antiqua" w:cs="Arial"/>
          <w:b/>
          <w:u w:val="single"/>
        </w:rPr>
      </w:pPr>
      <w:r w:rsidRPr="00D949B7">
        <w:rPr>
          <w:rFonts w:ascii="Book Antiqua" w:hAnsi="Book Antiqua" w:cs="Arial"/>
          <w:b/>
          <w:u w:val="single"/>
        </w:rPr>
        <w:t>Notice of Decision</w:t>
      </w:r>
    </w:p>
    <w:p w14:paraId="4C95519E" w14:textId="77777777" w:rsidR="00F2203C" w:rsidRPr="00D949B7" w:rsidRDefault="00F2203C" w:rsidP="00F2203C">
      <w:pPr>
        <w:jc w:val="both"/>
        <w:rPr>
          <w:rFonts w:ascii="Book Antiqua" w:hAnsi="Book Antiqua" w:cs="Arial"/>
        </w:rPr>
      </w:pPr>
    </w:p>
    <w:p w14:paraId="1768E8A0" w14:textId="77777777" w:rsidR="00F2203C" w:rsidRDefault="00F2203C" w:rsidP="00F2203C">
      <w:pPr>
        <w:numPr>
          <w:ilvl w:val="0"/>
          <w:numId w:val="5"/>
        </w:numPr>
        <w:tabs>
          <w:tab w:val="clear" w:pos="567"/>
        </w:tabs>
        <w:spacing w:before="240"/>
        <w:jc w:val="both"/>
        <w:rPr>
          <w:rFonts w:ascii="Book Antiqua" w:hAnsi="Book Antiqua" w:cs="Arial"/>
        </w:rPr>
      </w:pPr>
      <w:r>
        <w:rPr>
          <w:rFonts w:ascii="Book Antiqua" w:hAnsi="Book Antiqua" w:cs="Arial"/>
        </w:rPr>
        <w:t>The decision of the First-tier Tribunal involved the making of an error of law and I set it aside.</w:t>
      </w:r>
    </w:p>
    <w:p w14:paraId="2EB10DE1" w14:textId="77777777" w:rsidR="00F2203C" w:rsidRDefault="00F2203C" w:rsidP="00F2203C">
      <w:pPr>
        <w:numPr>
          <w:ilvl w:val="0"/>
          <w:numId w:val="5"/>
        </w:numPr>
        <w:tabs>
          <w:tab w:val="clear" w:pos="567"/>
        </w:tabs>
        <w:spacing w:before="240"/>
        <w:jc w:val="both"/>
        <w:rPr>
          <w:rFonts w:ascii="Book Antiqua" w:hAnsi="Book Antiqua" w:cs="Arial"/>
        </w:rPr>
      </w:pPr>
      <w:r>
        <w:rPr>
          <w:rFonts w:ascii="Book Antiqua" w:hAnsi="Book Antiqua" w:cs="Arial"/>
        </w:rPr>
        <w:t>The decision will be remade in the Upper Tribunal</w:t>
      </w:r>
    </w:p>
    <w:p w14:paraId="596E3CB7" w14:textId="2818E792" w:rsidR="00F2203C" w:rsidRDefault="00365C05" w:rsidP="00F2203C">
      <w:pPr>
        <w:numPr>
          <w:ilvl w:val="0"/>
          <w:numId w:val="5"/>
        </w:numPr>
        <w:tabs>
          <w:tab w:val="clear" w:pos="567"/>
        </w:tabs>
        <w:spacing w:before="240"/>
        <w:jc w:val="both"/>
        <w:rPr>
          <w:rFonts w:ascii="Book Antiqua" w:hAnsi="Book Antiqua" w:cs="Arial"/>
        </w:rPr>
      </w:pPr>
      <w:r>
        <w:rPr>
          <w:rFonts w:ascii="Book Antiqua" w:hAnsi="Book Antiqua" w:cs="Arial"/>
        </w:rPr>
        <w:t>An</w:t>
      </w:r>
      <w:bookmarkStart w:id="4" w:name="_GoBack"/>
      <w:bookmarkEnd w:id="4"/>
      <w:r w:rsidR="00F2203C" w:rsidRPr="0084113C">
        <w:rPr>
          <w:rFonts w:ascii="Book Antiqua" w:hAnsi="Book Antiqua" w:cs="Arial"/>
        </w:rPr>
        <w:t xml:space="preserve"> anonymity direction is made.</w:t>
      </w:r>
    </w:p>
    <w:p w14:paraId="751C195C" w14:textId="77777777" w:rsidR="00F2203C" w:rsidRDefault="00F2203C" w:rsidP="00F2203C">
      <w:pPr>
        <w:numPr>
          <w:ilvl w:val="0"/>
          <w:numId w:val="5"/>
        </w:numPr>
        <w:tabs>
          <w:tab w:val="clear" w:pos="567"/>
        </w:tabs>
        <w:spacing w:before="240"/>
        <w:jc w:val="both"/>
        <w:rPr>
          <w:rFonts w:ascii="Book Antiqua" w:hAnsi="Book Antiqua" w:cs="Arial"/>
        </w:rPr>
      </w:pPr>
      <w:r>
        <w:rPr>
          <w:rFonts w:ascii="Book Antiqua" w:hAnsi="Book Antiqua" w:cs="Arial"/>
        </w:rPr>
        <w:t xml:space="preserve">Any additional material upon which the </w:t>
      </w:r>
      <w:r w:rsidR="00266744">
        <w:rPr>
          <w:rFonts w:ascii="Book Antiqua" w:hAnsi="Book Antiqua" w:cs="Arial"/>
        </w:rPr>
        <w:t>parties wishes</w:t>
      </w:r>
      <w:r>
        <w:rPr>
          <w:rFonts w:ascii="Book Antiqua" w:hAnsi="Book Antiqua" w:cs="Arial"/>
        </w:rPr>
        <w:t xml:space="preserve"> to rely must be served on the Upper Tribunal and on the opposite party at least 10 working days before the next hearing. </w:t>
      </w:r>
    </w:p>
    <w:p w14:paraId="5205D94E" w14:textId="77777777" w:rsidR="00F2203C" w:rsidRDefault="00F2203C" w:rsidP="00F2203C">
      <w:pPr>
        <w:numPr>
          <w:ilvl w:val="0"/>
          <w:numId w:val="5"/>
        </w:numPr>
        <w:tabs>
          <w:tab w:val="clear" w:pos="567"/>
        </w:tabs>
        <w:spacing w:before="240"/>
        <w:jc w:val="both"/>
        <w:rPr>
          <w:rFonts w:ascii="Book Antiqua" w:hAnsi="Book Antiqua" w:cs="Arial"/>
        </w:rPr>
      </w:pPr>
      <w:r>
        <w:rPr>
          <w:rFonts w:ascii="Book Antiqua" w:hAnsi="Book Antiqua" w:cs="Arial"/>
        </w:rPr>
        <w:t xml:space="preserve">The Upper Tribunal will be assisted by evidence, preferably in the form on an opinion from a Lebanese lawyer </w:t>
      </w:r>
      <w:bookmarkStart w:id="5" w:name="_Hlk517355912"/>
      <w:r>
        <w:rPr>
          <w:rFonts w:ascii="Book Antiqua" w:hAnsi="Book Antiqua" w:cs="Arial"/>
        </w:rPr>
        <w:t>as to whether the appellant’s husband and children would be permitted to go to live there with her, and if so, on what basis</w:t>
      </w:r>
      <w:bookmarkEnd w:id="5"/>
      <w:r>
        <w:rPr>
          <w:rFonts w:ascii="Book Antiqua" w:hAnsi="Book Antiqua" w:cs="Arial"/>
        </w:rPr>
        <w:t xml:space="preserve">.  </w:t>
      </w:r>
    </w:p>
    <w:p w14:paraId="456E5AFB" w14:textId="77777777" w:rsidR="00F2203C" w:rsidRPr="009B7433" w:rsidRDefault="00F2203C" w:rsidP="00F2203C">
      <w:pPr>
        <w:ind w:left="540" w:hanging="540"/>
        <w:jc w:val="both"/>
        <w:rPr>
          <w:rFonts w:ascii="Book Antiqua" w:hAnsi="Book Antiqua" w:cs="Arial"/>
        </w:rPr>
      </w:pPr>
    </w:p>
    <w:p w14:paraId="35A51A43" w14:textId="77777777" w:rsidR="00F2203C" w:rsidRPr="009B7433" w:rsidRDefault="00F2203C" w:rsidP="00F2203C">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t>Date</w:t>
      </w:r>
      <w:r>
        <w:rPr>
          <w:rFonts w:ascii="Book Antiqua" w:hAnsi="Book Antiqua" w:cs="Arial"/>
        </w:rPr>
        <w:t>:  22 March 2018</w:t>
      </w:r>
    </w:p>
    <w:p w14:paraId="19ED5655" w14:textId="5FBC8F1D" w:rsidR="00F2203C" w:rsidRPr="009B7433" w:rsidRDefault="00B965E7" w:rsidP="00F2203C">
      <w:pPr>
        <w:tabs>
          <w:tab w:val="left" w:pos="2520"/>
        </w:tabs>
        <w:ind w:left="540" w:hanging="540"/>
        <w:jc w:val="both"/>
        <w:rPr>
          <w:rFonts w:ascii="Book Antiqua" w:hAnsi="Book Antiqua" w:cs="Arial"/>
        </w:rPr>
      </w:pPr>
      <w:r>
        <w:rPr>
          <w:rFonts w:ascii="Book Antiqua" w:hAnsi="Book Antiqua" w:cs="Arial"/>
          <w:noProof/>
        </w:rPr>
        <w:drawing>
          <wp:inline distT="0" distB="0" distL="0" distR="0" wp14:anchorId="0B392C4A" wp14:editId="09356050">
            <wp:extent cx="2047875" cy="800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14:paraId="4115B420" w14:textId="77777777" w:rsidR="00F2203C" w:rsidRDefault="00F2203C" w:rsidP="00F2203C">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Pr="009B7433">
        <w:rPr>
          <w:rFonts w:ascii="Book Antiqua" w:hAnsi="Book Antiqua" w:cs="Arial"/>
          <w:color w:val="000000"/>
        </w:rPr>
        <w:t xml:space="preserve"> Judge </w:t>
      </w:r>
      <w:r>
        <w:rPr>
          <w:rFonts w:ascii="Book Antiqua" w:hAnsi="Book Antiqua" w:cs="Arial"/>
          <w:color w:val="000000"/>
        </w:rPr>
        <w:t>Rintoul</w:t>
      </w:r>
      <w:r w:rsidRPr="009B7433">
        <w:rPr>
          <w:rFonts w:ascii="Book Antiqua" w:hAnsi="Book Antiqua" w:cs="Arial"/>
          <w:color w:val="000000"/>
        </w:rPr>
        <w:t xml:space="preserve"> </w:t>
      </w:r>
    </w:p>
    <w:p w14:paraId="78AC00C5" w14:textId="77777777" w:rsidR="00F2203C" w:rsidRDefault="00F2203C" w:rsidP="004B70D7">
      <w:pPr>
        <w:tabs>
          <w:tab w:val="left" w:pos="2520"/>
        </w:tabs>
        <w:ind w:left="540" w:hanging="540"/>
        <w:jc w:val="both"/>
        <w:rPr>
          <w:rFonts w:ascii="Book Antiqua" w:hAnsi="Book Antiqua" w:cs="Arial"/>
          <w:color w:val="000000"/>
        </w:rPr>
      </w:pPr>
    </w:p>
    <w:p w14:paraId="79A67AE7" w14:textId="77777777" w:rsidR="00D949B7" w:rsidRDefault="00D949B7" w:rsidP="004B70D7">
      <w:pPr>
        <w:tabs>
          <w:tab w:val="left" w:pos="2520"/>
        </w:tabs>
        <w:ind w:left="540" w:hanging="540"/>
        <w:jc w:val="both"/>
        <w:rPr>
          <w:rFonts w:ascii="Book Antiqua" w:hAnsi="Book Antiqua" w:cs="Arial"/>
          <w:color w:val="000000"/>
        </w:rPr>
      </w:pPr>
    </w:p>
    <w:p w14:paraId="02C5DB25" w14:textId="77777777" w:rsidR="00D949B7" w:rsidRDefault="00D949B7" w:rsidP="004B70D7">
      <w:pPr>
        <w:tabs>
          <w:tab w:val="left" w:pos="2520"/>
        </w:tabs>
        <w:ind w:left="540" w:hanging="540"/>
        <w:jc w:val="both"/>
        <w:rPr>
          <w:rFonts w:ascii="Book Antiqua" w:hAnsi="Book Antiqua" w:cs="Arial"/>
          <w:color w:val="000000"/>
        </w:rPr>
      </w:pPr>
    </w:p>
    <w:p w14:paraId="7B74CB37" w14:textId="77777777" w:rsidR="00D949B7" w:rsidRDefault="00D949B7" w:rsidP="00D949B7">
      <w:pPr>
        <w:jc w:val="both"/>
        <w:rPr>
          <w:rFonts w:ascii="Book Antiqua" w:hAnsi="Book Antiqua" w:cs="Arial"/>
        </w:rPr>
      </w:pPr>
    </w:p>
    <w:p w14:paraId="4AA506B3" w14:textId="77777777" w:rsidR="00B95326" w:rsidRPr="009B7433" w:rsidRDefault="00B95326" w:rsidP="00266744">
      <w:pPr>
        <w:tabs>
          <w:tab w:val="left" w:pos="2520"/>
        </w:tabs>
        <w:jc w:val="both"/>
        <w:rPr>
          <w:rFonts w:ascii="Book Antiqua" w:hAnsi="Book Antiqua" w:cs="Arial"/>
        </w:rPr>
        <w:sectPr w:rsidR="00B95326" w:rsidRPr="009B7433" w:rsidSect="00BE499A">
          <w:headerReference w:type="default" r:id="rId9"/>
          <w:footerReference w:type="default" r:id="rId10"/>
          <w:headerReference w:type="first" r:id="rId11"/>
          <w:footerReference w:type="first" r:id="rId12"/>
          <w:pgSz w:w="11906" w:h="16838"/>
          <w:pgMar w:top="851" w:right="1134" w:bottom="1440" w:left="1134" w:header="709" w:footer="709" w:gutter="0"/>
          <w:cols w:space="708"/>
          <w:titlePg/>
          <w:docGrid w:linePitch="360"/>
        </w:sectPr>
      </w:pPr>
    </w:p>
    <w:p w14:paraId="37FEEC67"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B965E7">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5B4441" w14:textId="77777777" w:rsidR="006C5233" w:rsidRDefault="006C5233">
      <w:r>
        <w:separator/>
      </w:r>
    </w:p>
  </w:endnote>
  <w:endnote w:type="continuationSeparator" w:id="0">
    <w:p w14:paraId="4B9BD027" w14:textId="77777777" w:rsidR="006C5233" w:rsidRDefault="006C52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B63151" w14:textId="39F5A4E0" w:rsidR="00D20648" w:rsidRPr="00BE499A" w:rsidRDefault="00D20648" w:rsidP="00593795">
    <w:pPr>
      <w:pStyle w:val="Footer"/>
      <w:jc w:val="center"/>
      <w:rPr>
        <w:rFonts w:ascii="Book Antiqua" w:hAnsi="Book Antiqua" w:cs="Arial"/>
      </w:rPr>
    </w:pPr>
    <w:r w:rsidRPr="00BE499A">
      <w:rPr>
        <w:rStyle w:val="PageNumber"/>
        <w:rFonts w:ascii="Book Antiqua" w:hAnsi="Book Antiqua" w:cs="Arial"/>
      </w:rPr>
      <w:fldChar w:fldCharType="begin"/>
    </w:r>
    <w:r w:rsidRPr="00BE499A">
      <w:rPr>
        <w:rStyle w:val="PageNumber"/>
        <w:rFonts w:ascii="Book Antiqua" w:hAnsi="Book Antiqua" w:cs="Arial"/>
      </w:rPr>
      <w:instrText xml:space="preserve"> PAGE </w:instrText>
    </w:r>
    <w:r w:rsidRPr="00BE499A">
      <w:rPr>
        <w:rStyle w:val="PageNumber"/>
        <w:rFonts w:ascii="Book Antiqua" w:hAnsi="Book Antiqua" w:cs="Arial"/>
      </w:rPr>
      <w:fldChar w:fldCharType="separate"/>
    </w:r>
    <w:r w:rsidR="00A76C2E">
      <w:rPr>
        <w:rStyle w:val="PageNumber"/>
        <w:rFonts w:ascii="Book Antiqua" w:hAnsi="Book Antiqua" w:cs="Arial"/>
        <w:noProof/>
      </w:rPr>
      <w:t>7</w:t>
    </w:r>
    <w:r w:rsidRPr="00BE499A">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3825" w14:textId="77777777" w:rsidR="00D20648" w:rsidRPr="009B7433" w:rsidRDefault="00D20648"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165D84" w14:textId="77777777" w:rsidR="006C5233" w:rsidRDefault="006C5233">
      <w:r>
        <w:separator/>
      </w:r>
    </w:p>
  </w:footnote>
  <w:footnote w:type="continuationSeparator" w:id="0">
    <w:p w14:paraId="0512D738" w14:textId="77777777" w:rsidR="006C5233" w:rsidRDefault="006C52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F0A53" w14:textId="6E4B9732" w:rsidR="00D20648" w:rsidRDefault="00D20648"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Pr="00B05850">
      <w:rPr>
        <w:rFonts w:ascii="Book Antiqua" w:hAnsi="Book Antiqua" w:cs="Arial"/>
        <w:sz w:val="16"/>
        <w:szCs w:val="16"/>
      </w:rPr>
      <w:t>PA/11607/2016</w:t>
    </w:r>
  </w:p>
  <w:p w14:paraId="64F43B18" w14:textId="77777777" w:rsidR="00BE499A" w:rsidRPr="00B05850" w:rsidRDefault="00BE499A"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241BB9" w14:textId="77777777" w:rsidR="00D20648" w:rsidRPr="009B7433" w:rsidRDefault="00D20648">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4119C8"/>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CAF84AFE"/>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756"/>
    <w:rsid w:val="0000011B"/>
    <w:rsid w:val="00000621"/>
    <w:rsid w:val="000036C2"/>
    <w:rsid w:val="000077D9"/>
    <w:rsid w:val="00016C1A"/>
    <w:rsid w:val="00033588"/>
    <w:rsid w:val="00033D3D"/>
    <w:rsid w:val="0004776F"/>
    <w:rsid w:val="00052895"/>
    <w:rsid w:val="000539A2"/>
    <w:rsid w:val="00053C0D"/>
    <w:rsid w:val="00062F02"/>
    <w:rsid w:val="00071A7E"/>
    <w:rsid w:val="000746C0"/>
    <w:rsid w:val="00074D1D"/>
    <w:rsid w:val="00082F0A"/>
    <w:rsid w:val="00092580"/>
    <w:rsid w:val="00093D4D"/>
    <w:rsid w:val="000D5405"/>
    <w:rsid w:val="000D5D94"/>
    <w:rsid w:val="000E13D8"/>
    <w:rsid w:val="000F1A0E"/>
    <w:rsid w:val="000F2506"/>
    <w:rsid w:val="001165A7"/>
    <w:rsid w:val="001311C2"/>
    <w:rsid w:val="00151266"/>
    <w:rsid w:val="0016508E"/>
    <w:rsid w:val="00167D3A"/>
    <w:rsid w:val="00173F50"/>
    <w:rsid w:val="00185986"/>
    <w:rsid w:val="00193594"/>
    <w:rsid w:val="001A3082"/>
    <w:rsid w:val="001B186A"/>
    <w:rsid w:val="001B2F75"/>
    <w:rsid w:val="001C6F5F"/>
    <w:rsid w:val="001D6167"/>
    <w:rsid w:val="001E1B7A"/>
    <w:rsid w:val="001F2716"/>
    <w:rsid w:val="001F3AC0"/>
    <w:rsid w:val="001F7FBB"/>
    <w:rsid w:val="00207617"/>
    <w:rsid w:val="0023134B"/>
    <w:rsid w:val="00266744"/>
    <w:rsid w:val="00283659"/>
    <w:rsid w:val="002A7CBE"/>
    <w:rsid w:val="002C6BD4"/>
    <w:rsid w:val="002D68BF"/>
    <w:rsid w:val="002E4541"/>
    <w:rsid w:val="002E55D1"/>
    <w:rsid w:val="002F6B98"/>
    <w:rsid w:val="003235A2"/>
    <w:rsid w:val="00336CBF"/>
    <w:rsid w:val="00343FE3"/>
    <w:rsid w:val="003546C8"/>
    <w:rsid w:val="00365C05"/>
    <w:rsid w:val="003825D4"/>
    <w:rsid w:val="003A7CF2"/>
    <w:rsid w:val="003C5CE5"/>
    <w:rsid w:val="003D6FAD"/>
    <w:rsid w:val="003E267B"/>
    <w:rsid w:val="003E7CD1"/>
    <w:rsid w:val="00400397"/>
    <w:rsid w:val="00402B9E"/>
    <w:rsid w:val="00415604"/>
    <w:rsid w:val="0042037F"/>
    <w:rsid w:val="004249CB"/>
    <w:rsid w:val="0044127D"/>
    <w:rsid w:val="00444096"/>
    <w:rsid w:val="004448DB"/>
    <w:rsid w:val="00446C9A"/>
    <w:rsid w:val="00446E9A"/>
    <w:rsid w:val="00452F2B"/>
    <w:rsid w:val="00477193"/>
    <w:rsid w:val="004A1848"/>
    <w:rsid w:val="004A6F4A"/>
    <w:rsid w:val="004B70D7"/>
    <w:rsid w:val="004D6B45"/>
    <w:rsid w:val="004E4717"/>
    <w:rsid w:val="004E5AC8"/>
    <w:rsid w:val="00502464"/>
    <w:rsid w:val="00507FEC"/>
    <w:rsid w:val="00510F0E"/>
    <w:rsid w:val="0051417F"/>
    <w:rsid w:val="005479E1"/>
    <w:rsid w:val="00551EC1"/>
    <w:rsid w:val="00553E0A"/>
    <w:rsid w:val="005570FD"/>
    <w:rsid w:val="005575EA"/>
    <w:rsid w:val="0057790C"/>
    <w:rsid w:val="00584EAF"/>
    <w:rsid w:val="0059298F"/>
    <w:rsid w:val="00593795"/>
    <w:rsid w:val="005A75FF"/>
    <w:rsid w:val="005C068E"/>
    <w:rsid w:val="005C1ED6"/>
    <w:rsid w:val="005D10AB"/>
    <w:rsid w:val="005D180B"/>
    <w:rsid w:val="005D18C9"/>
    <w:rsid w:val="00601D8F"/>
    <w:rsid w:val="00605582"/>
    <w:rsid w:val="00611F34"/>
    <w:rsid w:val="00621FE8"/>
    <w:rsid w:val="00626C9D"/>
    <w:rsid w:val="006434B6"/>
    <w:rsid w:val="00653E97"/>
    <w:rsid w:val="006667DB"/>
    <w:rsid w:val="00684A74"/>
    <w:rsid w:val="0068620A"/>
    <w:rsid w:val="00690B8A"/>
    <w:rsid w:val="00694111"/>
    <w:rsid w:val="006A03E2"/>
    <w:rsid w:val="006C5233"/>
    <w:rsid w:val="006F2CF1"/>
    <w:rsid w:val="007038ED"/>
    <w:rsid w:val="00703BC3"/>
    <w:rsid w:val="00704B61"/>
    <w:rsid w:val="0071058C"/>
    <w:rsid w:val="00715A64"/>
    <w:rsid w:val="00715C3E"/>
    <w:rsid w:val="00722E5D"/>
    <w:rsid w:val="00723483"/>
    <w:rsid w:val="00740C1F"/>
    <w:rsid w:val="007552A9"/>
    <w:rsid w:val="0075658A"/>
    <w:rsid w:val="00761858"/>
    <w:rsid w:val="00767D59"/>
    <w:rsid w:val="00776E97"/>
    <w:rsid w:val="00780F86"/>
    <w:rsid w:val="007912AD"/>
    <w:rsid w:val="007B0824"/>
    <w:rsid w:val="007B5D3C"/>
    <w:rsid w:val="007E4D35"/>
    <w:rsid w:val="00815011"/>
    <w:rsid w:val="00821B72"/>
    <w:rsid w:val="00823EF2"/>
    <w:rsid w:val="008303B8"/>
    <w:rsid w:val="00833DCE"/>
    <w:rsid w:val="00871D34"/>
    <w:rsid w:val="008A25EC"/>
    <w:rsid w:val="008A6059"/>
    <w:rsid w:val="008A767D"/>
    <w:rsid w:val="008B270C"/>
    <w:rsid w:val="008B5078"/>
    <w:rsid w:val="008C3D3D"/>
    <w:rsid w:val="008D4131"/>
    <w:rsid w:val="008F1932"/>
    <w:rsid w:val="0090151B"/>
    <w:rsid w:val="009042A9"/>
    <w:rsid w:val="00921062"/>
    <w:rsid w:val="00942156"/>
    <w:rsid w:val="009722BC"/>
    <w:rsid w:val="009727A3"/>
    <w:rsid w:val="00987774"/>
    <w:rsid w:val="009A11E8"/>
    <w:rsid w:val="009B7433"/>
    <w:rsid w:val="009C57C8"/>
    <w:rsid w:val="009F5200"/>
    <w:rsid w:val="009F5220"/>
    <w:rsid w:val="00A07919"/>
    <w:rsid w:val="00A15234"/>
    <w:rsid w:val="00A201AB"/>
    <w:rsid w:val="00A31C8B"/>
    <w:rsid w:val="00A509FA"/>
    <w:rsid w:val="00A76C2E"/>
    <w:rsid w:val="00A845DC"/>
    <w:rsid w:val="00AF507B"/>
    <w:rsid w:val="00B01CB8"/>
    <w:rsid w:val="00B05850"/>
    <w:rsid w:val="00B26AA2"/>
    <w:rsid w:val="00B3524D"/>
    <w:rsid w:val="00B40F69"/>
    <w:rsid w:val="00B46616"/>
    <w:rsid w:val="00B528BB"/>
    <w:rsid w:val="00B57DFE"/>
    <w:rsid w:val="00B7040A"/>
    <w:rsid w:val="00B83391"/>
    <w:rsid w:val="00B95326"/>
    <w:rsid w:val="00B965E7"/>
    <w:rsid w:val="00BA5756"/>
    <w:rsid w:val="00BD4196"/>
    <w:rsid w:val="00BE499A"/>
    <w:rsid w:val="00BF22CA"/>
    <w:rsid w:val="00BF23BB"/>
    <w:rsid w:val="00C26032"/>
    <w:rsid w:val="00C345E1"/>
    <w:rsid w:val="00C43BFD"/>
    <w:rsid w:val="00C6048A"/>
    <w:rsid w:val="00CB6E35"/>
    <w:rsid w:val="00CD0708"/>
    <w:rsid w:val="00CD37E0"/>
    <w:rsid w:val="00CD3BE9"/>
    <w:rsid w:val="00CE1A46"/>
    <w:rsid w:val="00D15383"/>
    <w:rsid w:val="00D203BF"/>
    <w:rsid w:val="00D20648"/>
    <w:rsid w:val="00D20757"/>
    <w:rsid w:val="00D22636"/>
    <w:rsid w:val="00D22AFC"/>
    <w:rsid w:val="00D40FD9"/>
    <w:rsid w:val="00D53769"/>
    <w:rsid w:val="00D6602D"/>
    <w:rsid w:val="00D85C13"/>
    <w:rsid w:val="00D9111A"/>
    <w:rsid w:val="00D91BE3"/>
    <w:rsid w:val="00D949B7"/>
    <w:rsid w:val="00D94AFC"/>
    <w:rsid w:val="00DA04E9"/>
    <w:rsid w:val="00DB70AE"/>
    <w:rsid w:val="00DD5071"/>
    <w:rsid w:val="00DD5C39"/>
    <w:rsid w:val="00DE7DB7"/>
    <w:rsid w:val="00E00A0A"/>
    <w:rsid w:val="00E066DE"/>
    <w:rsid w:val="00E07F57"/>
    <w:rsid w:val="00E24E3D"/>
    <w:rsid w:val="00E30683"/>
    <w:rsid w:val="00E42107"/>
    <w:rsid w:val="00E453D8"/>
    <w:rsid w:val="00E50BCE"/>
    <w:rsid w:val="00E574BF"/>
    <w:rsid w:val="00E61292"/>
    <w:rsid w:val="00E77C4D"/>
    <w:rsid w:val="00E80EB5"/>
    <w:rsid w:val="00E81D01"/>
    <w:rsid w:val="00EB485A"/>
    <w:rsid w:val="00ED2501"/>
    <w:rsid w:val="00EE45D8"/>
    <w:rsid w:val="00F21D41"/>
    <w:rsid w:val="00F2203C"/>
    <w:rsid w:val="00F22EDA"/>
    <w:rsid w:val="00F5589A"/>
    <w:rsid w:val="00F63A1D"/>
    <w:rsid w:val="00F67804"/>
    <w:rsid w:val="00FC40FA"/>
    <w:rsid w:val="00FC62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6145"/>
    <o:shapelayout v:ext="edit">
      <o:idmap v:ext="edit" data="1"/>
    </o:shapelayout>
  </w:shapeDefaults>
  <w:decimalSymbol w:val="."/>
  <w:listSeparator w:val=","/>
  <w14:docId w14:val="75CECE2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p">
    <w:name w:val="p"/>
    <w:basedOn w:val="Normal"/>
    <w:rsid w:val="00193594"/>
    <w:pPr>
      <w:numPr>
        <w:numId w:val="1"/>
      </w:numPr>
      <w:spacing w:before="240"/>
      <w:jc w:val="both"/>
    </w:pPr>
    <w:rPr>
      <w:rFonts w:ascii="Book Antiqua" w:hAnsi="Book Antiqua" w:cs="Arial"/>
    </w:rPr>
  </w:style>
  <w:style w:type="paragraph" w:styleId="NormalWeb">
    <w:name w:val="Normal (Web)"/>
    <w:basedOn w:val="Normal"/>
    <w:uiPriority w:val="99"/>
    <w:unhideWhenUsed/>
    <w:rsid w:val="0026674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3161</Words>
  <Characters>15315</Characters>
  <Application>Microsoft Office Word</Application>
  <DocSecurity>0</DocSecurity>
  <Lines>127</Lines>
  <Paragraphs>36</Paragraphs>
  <ScaleCrop>false</ScaleCrop>
  <Company/>
  <LinksUpToDate>false</LinksUpToDate>
  <CharactersWithSpaces>18440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2018-07-16T15:28:00Z</dcterms:created>
  <dcterms:modified xsi:type="dcterms:W3CDTF">2018-07-16T15:28:00Z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