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3697F" w14:textId="77777777" w:rsidR="00643BFC" w:rsidRPr="000704BB" w:rsidRDefault="000E64CF" w:rsidP="00643BFC">
      <w:pPr>
        <w:jc w:val="center"/>
        <w:rPr>
          <w:rFonts w:ascii="Book Antiqua" w:hAnsi="Book Antiqua" w:cs="Arial"/>
          <w:caps/>
          <w:color w:val="000000"/>
          <w:sz w:val="16"/>
          <w:szCs w:val="16"/>
        </w:rPr>
      </w:pPr>
      <w:r>
        <w:rPr>
          <w:noProof/>
        </w:rPr>
        <w:drawing>
          <wp:inline distT="0" distB="0" distL="0" distR="0" wp14:anchorId="33D9B61A" wp14:editId="3A4B475E">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14:paraId="4B9BDE41"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35AA3C7B" w14:textId="1625F5BF"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400415">
        <w:rPr>
          <w:rFonts w:ascii="Book Antiqua" w:hAnsi="Book Antiqua" w:cs="Arial"/>
          <w:b/>
          <w:color w:val="000000"/>
        </w:rPr>
        <w:t xml:space="preserve">   </w:t>
      </w:r>
      <w:proofErr w:type="gramEnd"/>
      <w:r w:rsidR="00400415">
        <w:rPr>
          <w:rFonts w:ascii="Book Antiqua" w:hAnsi="Book Antiqua" w:cs="Arial"/>
          <w:b/>
          <w:color w:val="000000"/>
        </w:rPr>
        <w:t xml:space="preserve">                     </w:t>
      </w:r>
      <w:r w:rsidR="00B3524D" w:rsidRPr="00400415">
        <w:rPr>
          <w:rFonts w:ascii="Book Antiqua" w:hAnsi="Book Antiqua" w:cs="Arial"/>
          <w:b/>
          <w:color w:val="000000"/>
        </w:rPr>
        <w:t>Appeal Number</w:t>
      </w:r>
      <w:r w:rsidR="00D53769" w:rsidRPr="00400415">
        <w:rPr>
          <w:rFonts w:ascii="Book Antiqua" w:hAnsi="Book Antiqua" w:cs="Arial"/>
          <w:b/>
          <w:color w:val="000000"/>
        </w:rPr>
        <w:t>:</w:t>
      </w:r>
      <w:r w:rsidR="00B3524D" w:rsidRPr="00400415">
        <w:rPr>
          <w:rFonts w:ascii="Book Antiqua" w:hAnsi="Book Antiqua" w:cs="Arial"/>
          <w:b/>
          <w:color w:val="000000"/>
        </w:rPr>
        <w:t xml:space="preserve"> </w:t>
      </w:r>
      <w:r w:rsidR="000E64CF" w:rsidRPr="00400415">
        <w:rPr>
          <w:rFonts w:ascii="Book Antiqua" w:hAnsi="Book Antiqua" w:cs="Arial"/>
          <w:b/>
          <w:caps/>
          <w:color w:val="000000"/>
        </w:rPr>
        <w:t>pa/11779/2017</w:t>
      </w:r>
    </w:p>
    <w:p w14:paraId="5EDEFE7E" w14:textId="77777777" w:rsidR="00C345E1" w:rsidRPr="000704BB" w:rsidRDefault="00C345E1" w:rsidP="00C345E1">
      <w:pPr>
        <w:jc w:val="center"/>
        <w:rPr>
          <w:rFonts w:ascii="Book Antiqua" w:hAnsi="Book Antiqua" w:cs="Arial"/>
          <w:color w:val="000000"/>
        </w:rPr>
      </w:pPr>
    </w:p>
    <w:p w14:paraId="4E3EFC3B"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1CBEA39D" w14:textId="77777777"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0704BB" w14:paraId="7E919F01" w14:textId="77777777" w:rsidTr="00400415">
        <w:tc>
          <w:tcPr>
            <w:tcW w:w="5245" w:type="dxa"/>
          </w:tcPr>
          <w:p w14:paraId="58978691"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0E64CF">
              <w:rPr>
                <w:rFonts w:ascii="Book Antiqua" w:hAnsi="Book Antiqua" w:cs="Arial"/>
                <w:b/>
              </w:rPr>
              <w:t>Bradford</w:t>
            </w:r>
          </w:p>
        </w:tc>
        <w:tc>
          <w:tcPr>
            <w:tcW w:w="4763" w:type="dxa"/>
          </w:tcPr>
          <w:p w14:paraId="48123BEC" w14:textId="0E02D970" w:rsidR="00D22636" w:rsidRPr="000704BB" w:rsidRDefault="00400415" w:rsidP="00093D4D">
            <w:pPr>
              <w:jc w:val="both"/>
              <w:rPr>
                <w:rFonts w:ascii="Book Antiqua" w:hAnsi="Book Antiqua" w:cs="Arial"/>
                <w:b/>
                <w:color w:val="000000"/>
              </w:rPr>
            </w:pPr>
            <w:r>
              <w:rPr>
                <w:rFonts w:ascii="Book Antiqua" w:hAnsi="Book Antiqua" w:cs="Arial"/>
                <w:b/>
                <w:color w:val="000000"/>
              </w:rPr>
              <w:t xml:space="preserve"> </w:t>
            </w:r>
            <w:r w:rsidR="000B0A3F">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7B388FDC" w14:textId="77777777" w:rsidTr="00400415">
        <w:tc>
          <w:tcPr>
            <w:tcW w:w="5245" w:type="dxa"/>
          </w:tcPr>
          <w:p w14:paraId="338DD423"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0E64CF">
              <w:rPr>
                <w:rFonts w:ascii="Book Antiqua" w:hAnsi="Book Antiqua" w:cs="Arial"/>
                <w:b/>
              </w:rPr>
              <w:t>13</w:t>
            </w:r>
            <w:r w:rsidR="007A0B19">
              <w:rPr>
                <w:rFonts w:ascii="Book Antiqua" w:hAnsi="Book Antiqua" w:cs="Arial"/>
                <w:b/>
              </w:rPr>
              <w:t xml:space="preserve"> August 2018</w:t>
            </w:r>
          </w:p>
        </w:tc>
        <w:tc>
          <w:tcPr>
            <w:tcW w:w="4763" w:type="dxa"/>
          </w:tcPr>
          <w:p w14:paraId="63101668" w14:textId="4A6A7E4D" w:rsidR="00D22636" w:rsidRPr="000704BB" w:rsidRDefault="00400415" w:rsidP="004A1848">
            <w:pPr>
              <w:jc w:val="both"/>
              <w:rPr>
                <w:rFonts w:ascii="Book Antiqua" w:hAnsi="Book Antiqua" w:cs="Arial"/>
                <w:b/>
              </w:rPr>
            </w:pPr>
            <w:r>
              <w:rPr>
                <w:rFonts w:ascii="Book Antiqua" w:hAnsi="Book Antiqua" w:cs="Arial"/>
                <w:b/>
              </w:rPr>
              <w:t xml:space="preserve"> </w:t>
            </w:r>
            <w:r w:rsidR="00723476">
              <w:rPr>
                <w:rFonts w:ascii="Book Antiqua" w:hAnsi="Book Antiqua" w:cs="Arial"/>
                <w:b/>
              </w:rPr>
              <w:t>On 27 September 2018</w:t>
            </w:r>
          </w:p>
        </w:tc>
      </w:tr>
      <w:tr w:rsidR="00D22636" w:rsidRPr="000704BB" w14:paraId="0536A43F" w14:textId="77777777" w:rsidTr="00400415">
        <w:tc>
          <w:tcPr>
            <w:tcW w:w="5245" w:type="dxa"/>
          </w:tcPr>
          <w:p w14:paraId="43F3E355" w14:textId="77777777" w:rsidR="00D22636" w:rsidRPr="000704BB" w:rsidRDefault="002A12D5" w:rsidP="004A1848">
            <w:pPr>
              <w:jc w:val="both"/>
              <w:rPr>
                <w:rFonts w:ascii="Book Antiqua" w:hAnsi="Book Antiqua" w:cs="Arial"/>
                <w:b/>
              </w:rPr>
            </w:pPr>
            <w:r>
              <w:rPr>
                <w:rFonts w:ascii="Book Antiqua" w:hAnsi="Book Antiqua" w:cs="Arial"/>
                <w:b/>
              </w:rPr>
              <w:t>Given 13 August 2018</w:t>
            </w:r>
          </w:p>
        </w:tc>
        <w:tc>
          <w:tcPr>
            <w:tcW w:w="4763" w:type="dxa"/>
          </w:tcPr>
          <w:p w14:paraId="7E6509D1" w14:textId="77777777" w:rsidR="00D22636" w:rsidRPr="000704BB" w:rsidRDefault="00D22636" w:rsidP="004A1848">
            <w:pPr>
              <w:jc w:val="both"/>
              <w:rPr>
                <w:rFonts w:ascii="Book Antiqua" w:hAnsi="Book Antiqua" w:cs="Arial"/>
                <w:b/>
              </w:rPr>
            </w:pPr>
          </w:p>
        </w:tc>
      </w:tr>
    </w:tbl>
    <w:p w14:paraId="1C47A82E" w14:textId="77777777" w:rsidR="00A15234" w:rsidRPr="000704BB" w:rsidRDefault="00A15234" w:rsidP="00A15234">
      <w:pPr>
        <w:jc w:val="center"/>
        <w:rPr>
          <w:rFonts w:ascii="Book Antiqua" w:hAnsi="Book Antiqua" w:cs="Arial"/>
        </w:rPr>
      </w:pPr>
    </w:p>
    <w:p w14:paraId="503A9E82"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73DFD19E" w14:textId="77777777" w:rsidR="00A15234" w:rsidRPr="000704BB" w:rsidRDefault="00A15234" w:rsidP="00A15234">
      <w:pPr>
        <w:jc w:val="center"/>
        <w:rPr>
          <w:rFonts w:ascii="Book Antiqua" w:hAnsi="Book Antiqua" w:cs="Arial"/>
          <w:b/>
        </w:rPr>
      </w:pPr>
    </w:p>
    <w:p w14:paraId="6C7985EB" w14:textId="77777777"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UPPER TRIBUNAL JUDGE DAVEY</w:t>
      </w:r>
    </w:p>
    <w:p w14:paraId="3F7157E9" w14:textId="77777777" w:rsidR="00D20757" w:rsidRPr="000704BB" w:rsidRDefault="00D20757" w:rsidP="00A15234">
      <w:pPr>
        <w:jc w:val="center"/>
        <w:rPr>
          <w:rFonts w:ascii="Book Antiqua" w:hAnsi="Book Antiqua" w:cs="Arial"/>
          <w:b/>
        </w:rPr>
      </w:pPr>
    </w:p>
    <w:p w14:paraId="7A466267"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793A04AC" w14:textId="77777777" w:rsidR="00A845DC" w:rsidRPr="000704BB" w:rsidRDefault="00A845DC" w:rsidP="00A15234">
      <w:pPr>
        <w:jc w:val="center"/>
        <w:rPr>
          <w:rFonts w:ascii="Book Antiqua" w:hAnsi="Book Antiqua" w:cs="Arial"/>
          <w:b/>
        </w:rPr>
      </w:pPr>
    </w:p>
    <w:p w14:paraId="41D2330B" w14:textId="77777777" w:rsidR="00A845DC" w:rsidRDefault="007A0B19" w:rsidP="00A15234">
      <w:pPr>
        <w:jc w:val="center"/>
        <w:rPr>
          <w:rFonts w:ascii="Book Antiqua" w:hAnsi="Book Antiqua" w:cs="Arial"/>
          <w:b/>
          <w:caps/>
        </w:rPr>
      </w:pPr>
      <w:r>
        <w:rPr>
          <w:rFonts w:ascii="Book Antiqua" w:hAnsi="Book Antiqua" w:cs="Arial"/>
          <w:b/>
          <w:caps/>
        </w:rPr>
        <w:t>secretary of state for the home department</w:t>
      </w:r>
    </w:p>
    <w:p w14:paraId="027D4017"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6E79BFE7" w14:textId="77777777" w:rsidR="00400415" w:rsidRDefault="00400415" w:rsidP="00704B61">
      <w:pPr>
        <w:jc w:val="center"/>
        <w:rPr>
          <w:rFonts w:ascii="Book Antiqua" w:hAnsi="Book Antiqua" w:cs="Arial"/>
          <w:b/>
        </w:rPr>
      </w:pPr>
    </w:p>
    <w:p w14:paraId="1A105640" w14:textId="1918FB9F" w:rsidR="00704B61" w:rsidRPr="000704BB" w:rsidRDefault="00DD5071" w:rsidP="00704B61">
      <w:pPr>
        <w:jc w:val="center"/>
        <w:rPr>
          <w:rFonts w:ascii="Book Antiqua" w:hAnsi="Book Antiqua" w:cs="Arial"/>
          <w:b/>
        </w:rPr>
      </w:pPr>
      <w:r w:rsidRPr="000704BB">
        <w:rPr>
          <w:rFonts w:ascii="Book Antiqua" w:hAnsi="Book Antiqua" w:cs="Arial"/>
          <w:b/>
        </w:rPr>
        <w:t>and</w:t>
      </w:r>
    </w:p>
    <w:p w14:paraId="7FC988F3" w14:textId="77777777" w:rsidR="00DD5071" w:rsidRPr="000704BB" w:rsidRDefault="00DD5071" w:rsidP="00704B61">
      <w:pPr>
        <w:jc w:val="center"/>
        <w:rPr>
          <w:rFonts w:ascii="Book Antiqua" w:hAnsi="Book Antiqua" w:cs="Arial"/>
          <w:b/>
        </w:rPr>
      </w:pPr>
    </w:p>
    <w:p w14:paraId="7197CFDB" w14:textId="4D563683" w:rsidR="00DD5071" w:rsidRPr="007A0B19" w:rsidRDefault="007A0B19" w:rsidP="00704B61">
      <w:pPr>
        <w:jc w:val="center"/>
        <w:rPr>
          <w:rFonts w:ascii="Book Antiqua" w:hAnsi="Book Antiqua" w:cs="Arial"/>
          <w:b/>
          <w:sz w:val="28"/>
        </w:rPr>
      </w:pPr>
      <w:r w:rsidRPr="007A0B19">
        <w:rPr>
          <w:rFonts w:ascii="Book Antiqua" w:hAnsi="Book Antiqua" w:cs="Arial"/>
          <w:b/>
          <w:szCs w:val="22"/>
        </w:rPr>
        <w:t xml:space="preserve"> B A</w:t>
      </w:r>
      <w:r w:rsidR="00C1025B">
        <w:rPr>
          <w:rFonts w:ascii="Book Antiqua" w:hAnsi="Book Antiqua" w:cs="Arial"/>
          <w:b/>
          <w:szCs w:val="22"/>
        </w:rPr>
        <w:t xml:space="preserve"> </w:t>
      </w:r>
      <w:r w:rsidRPr="007A0B19">
        <w:rPr>
          <w:rFonts w:ascii="Book Antiqua" w:hAnsi="Book Antiqua" w:cs="Arial"/>
          <w:b/>
          <w:szCs w:val="22"/>
        </w:rPr>
        <w:t xml:space="preserve">H </w:t>
      </w:r>
      <w:proofErr w:type="spellStart"/>
      <w:r w:rsidRPr="007A0B19">
        <w:rPr>
          <w:rFonts w:ascii="Book Antiqua" w:hAnsi="Book Antiqua" w:cs="Arial"/>
          <w:b/>
          <w:szCs w:val="22"/>
        </w:rPr>
        <w:t>H</w:t>
      </w:r>
      <w:bookmarkStart w:id="0" w:name="_GoBack"/>
      <w:bookmarkEnd w:id="0"/>
      <w:proofErr w:type="spellEnd"/>
    </w:p>
    <w:p w14:paraId="79922459" w14:textId="053906D1" w:rsidR="00DD5071" w:rsidRPr="00400415" w:rsidRDefault="007A0B19" w:rsidP="00704B61">
      <w:pPr>
        <w:jc w:val="center"/>
        <w:rPr>
          <w:rFonts w:ascii="Book Antiqua" w:hAnsi="Book Antiqua" w:cs="Arial"/>
        </w:rPr>
      </w:pPr>
      <w:r w:rsidRPr="00400415">
        <w:rPr>
          <w:rFonts w:ascii="Book Antiqua" w:hAnsi="Book Antiqua" w:cs="Arial"/>
          <w:caps/>
        </w:rPr>
        <w:t xml:space="preserve">(ANONYMITY DIRECTION </w:t>
      </w:r>
      <w:r w:rsidR="00291A40" w:rsidRPr="00400415">
        <w:rPr>
          <w:rFonts w:ascii="Book Antiqua" w:hAnsi="Book Antiqua" w:cs="Arial"/>
          <w:caps/>
        </w:rPr>
        <w:t>made</w:t>
      </w:r>
      <w:r w:rsidRPr="00400415">
        <w:rPr>
          <w:rFonts w:ascii="Book Antiqua" w:hAnsi="Book Antiqua" w:cs="Arial"/>
          <w:caps/>
        </w:rPr>
        <w:t>)</w:t>
      </w:r>
      <w:r w:rsidR="00400415" w:rsidRPr="00400415">
        <w:rPr>
          <w:rFonts w:ascii="Book Antiqua" w:hAnsi="Book Antiqua" w:cs="Arial"/>
          <w:caps/>
        </w:rPr>
        <w:t xml:space="preserve"> </w:t>
      </w:r>
    </w:p>
    <w:p w14:paraId="768958C6"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0E1F9A3F" w14:textId="77777777" w:rsidR="00DD5071" w:rsidRPr="000704BB" w:rsidRDefault="00DD5071" w:rsidP="00DD5071">
      <w:pPr>
        <w:rPr>
          <w:rFonts w:ascii="Book Antiqua" w:hAnsi="Book Antiqua" w:cs="Arial"/>
          <w:u w:val="single"/>
        </w:rPr>
      </w:pPr>
    </w:p>
    <w:p w14:paraId="6D6D0F2B" w14:textId="77777777" w:rsidR="00DD5071" w:rsidRPr="000704BB" w:rsidRDefault="00DD5071" w:rsidP="00DD5071">
      <w:pPr>
        <w:rPr>
          <w:rFonts w:ascii="Book Antiqua" w:hAnsi="Book Antiqua" w:cs="Arial"/>
          <w:u w:val="single"/>
        </w:rPr>
      </w:pPr>
    </w:p>
    <w:p w14:paraId="0BEBCBE0" w14:textId="22FC222A" w:rsidR="00DD5071" w:rsidRPr="000704BB" w:rsidRDefault="007A0B19" w:rsidP="00DD5071">
      <w:pPr>
        <w:rPr>
          <w:rFonts w:ascii="Book Antiqua" w:hAnsi="Book Antiqua" w:cs="Arial"/>
        </w:rPr>
      </w:pPr>
      <w:r>
        <w:rPr>
          <w:rFonts w:ascii="Book Antiqua" w:hAnsi="Book Antiqua" w:cs="Arial"/>
          <w:b/>
          <w:u w:val="single"/>
        </w:rPr>
        <w:t>Appearances</w:t>
      </w:r>
      <w:r w:rsidR="00DE7DB7" w:rsidRPr="000704BB">
        <w:rPr>
          <w:rFonts w:ascii="Book Antiqua" w:hAnsi="Book Antiqua" w:cs="Arial"/>
          <w:b/>
        </w:rPr>
        <w:t>:</w:t>
      </w:r>
    </w:p>
    <w:p w14:paraId="6FF90F89" w14:textId="77777777" w:rsidR="00DE7DB7" w:rsidRPr="000704BB" w:rsidRDefault="00DE7DB7" w:rsidP="00DD5071">
      <w:pPr>
        <w:rPr>
          <w:rFonts w:ascii="Book Antiqua" w:hAnsi="Book Antiqua" w:cs="Arial"/>
        </w:rPr>
      </w:pPr>
    </w:p>
    <w:p w14:paraId="40D5FFB1"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7A0B19">
        <w:rPr>
          <w:rFonts w:ascii="Book Antiqua" w:hAnsi="Book Antiqua" w:cs="Arial"/>
        </w:rPr>
        <w:t xml:space="preserve">Miss R Pettersen, Senior Presenting Officer </w:t>
      </w:r>
    </w:p>
    <w:p w14:paraId="6CBF0C21"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7A0B19">
        <w:rPr>
          <w:rFonts w:ascii="Book Antiqua" w:hAnsi="Book Antiqua" w:cs="Arial"/>
        </w:rPr>
        <w:t>Miss R Pickering, Counsel instructed by Legal Justice Solicitors</w:t>
      </w:r>
    </w:p>
    <w:p w14:paraId="78413E3A" w14:textId="77777777" w:rsidR="00DE7DB7" w:rsidRPr="000704BB" w:rsidRDefault="00DE7DB7" w:rsidP="00402B9E">
      <w:pPr>
        <w:tabs>
          <w:tab w:val="left" w:pos="2520"/>
        </w:tabs>
        <w:jc w:val="center"/>
        <w:rPr>
          <w:rFonts w:ascii="Book Antiqua" w:hAnsi="Book Antiqua" w:cs="Arial"/>
        </w:rPr>
      </w:pPr>
    </w:p>
    <w:p w14:paraId="79FD3B2A" w14:textId="77777777" w:rsidR="00DE7DB7" w:rsidRPr="000704BB" w:rsidRDefault="00DE7DB7" w:rsidP="00402B9E">
      <w:pPr>
        <w:tabs>
          <w:tab w:val="left" w:pos="2520"/>
        </w:tabs>
        <w:jc w:val="center"/>
        <w:rPr>
          <w:rFonts w:ascii="Book Antiqua" w:hAnsi="Book Antiqua" w:cs="Arial"/>
        </w:rPr>
      </w:pPr>
    </w:p>
    <w:p w14:paraId="02D3C375" w14:textId="77777777"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10FE0319" w14:textId="77777777" w:rsidR="00402B9E" w:rsidRPr="000704BB" w:rsidRDefault="00402B9E" w:rsidP="00402B9E">
      <w:pPr>
        <w:tabs>
          <w:tab w:val="left" w:pos="2520"/>
        </w:tabs>
        <w:jc w:val="both"/>
        <w:rPr>
          <w:rFonts w:ascii="Book Antiqua" w:hAnsi="Book Antiqua" w:cs="Arial"/>
        </w:rPr>
      </w:pPr>
    </w:p>
    <w:p w14:paraId="7BC99446" w14:textId="77777777" w:rsidR="00BF23BB" w:rsidRDefault="00402B9E" w:rsidP="000B0A3F">
      <w:pPr>
        <w:tabs>
          <w:tab w:val="left" w:pos="567"/>
        </w:tabs>
        <w:spacing w:line="360" w:lineRule="auto"/>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7A0B19">
        <w:rPr>
          <w:rFonts w:ascii="Book Antiqua" w:hAnsi="Book Antiqua" w:cs="Arial"/>
        </w:rPr>
        <w:t>In this decision the Appellant is referred to as the Secretary of State and the Respondent is referred to as the Claimant.</w:t>
      </w:r>
    </w:p>
    <w:p w14:paraId="7F4A2920" w14:textId="77777777" w:rsidR="007A0B19" w:rsidRDefault="007A0B19" w:rsidP="000B0A3F">
      <w:pPr>
        <w:tabs>
          <w:tab w:val="left" w:pos="567"/>
        </w:tabs>
        <w:spacing w:line="360" w:lineRule="auto"/>
        <w:ind w:left="567" w:hanging="567"/>
        <w:jc w:val="both"/>
        <w:rPr>
          <w:rFonts w:ascii="Book Antiqua" w:hAnsi="Book Antiqua" w:cs="Arial"/>
        </w:rPr>
      </w:pPr>
    </w:p>
    <w:p w14:paraId="5B18BFD0" w14:textId="77777777" w:rsidR="007A0B19" w:rsidRDefault="007A0B19" w:rsidP="007A0B19">
      <w:pPr>
        <w:tabs>
          <w:tab w:val="left" w:pos="567"/>
        </w:tabs>
        <w:spacing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t>The Claimant, a national of Iran, appealed against the Secretary of State’s decision</w:t>
      </w:r>
      <w:r w:rsidR="00886687">
        <w:rPr>
          <w:rFonts w:ascii="Book Antiqua" w:hAnsi="Book Antiqua" w:cs="Arial"/>
        </w:rPr>
        <w:t>,</w:t>
      </w:r>
      <w:r>
        <w:rPr>
          <w:rFonts w:ascii="Book Antiqua" w:hAnsi="Book Antiqua" w:cs="Arial"/>
        </w:rPr>
        <w:t xml:space="preserve"> dated 31 October 2017</w:t>
      </w:r>
      <w:r w:rsidR="00886687">
        <w:rPr>
          <w:rFonts w:ascii="Book Antiqua" w:hAnsi="Book Antiqua" w:cs="Arial"/>
        </w:rPr>
        <w:t>,</w:t>
      </w:r>
      <w:r>
        <w:rPr>
          <w:rFonts w:ascii="Book Antiqua" w:hAnsi="Book Antiqua" w:cs="Arial"/>
        </w:rPr>
        <w:t xml:space="preserve"> to refuse an asylum/protection claim.  The matter came before First-tier Tribunal Judge Henderson (the Judge) who on 3 January 2018 allowed the Claimant’s appeal on asylum grounds, human rights grounds and under the </w:t>
      </w:r>
      <w:r>
        <w:rPr>
          <w:rFonts w:ascii="Book Antiqua" w:hAnsi="Book Antiqua" w:cs="Arial"/>
        </w:rPr>
        <w:lastRenderedPageBreak/>
        <w:t xml:space="preserve">Immigration Rules, particularly paragraph 276ADE in relation to his private life.  The Judge accepted </w:t>
      </w:r>
      <w:proofErr w:type="gramStart"/>
      <w:r>
        <w:rPr>
          <w:rFonts w:ascii="Book Antiqua" w:hAnsi="Book Antiqua" w:cs="Arial"/>
        </w:rPr>
        <w:t>in connection with</w:t>
      </w:r>
      <w:proofErr w:type="gramEnd"/>
      <w:r>
        <w:rPr>
          <w:rFonts w:ascii="Book Antiqua" w:hAnsi="Book Antiqua" w:cs="Arial"/>
        </w:rPr>
        <w:t xml:space="preserve"> that claim that there were very significant obstacles to </w:t>
      </w:r>
      <w:r w:rsidR="00886687">
        <w:rPr>
          <w:rFonts w:ascii="Book Antiqua" w:hAnsi="Book Antiqua" w:cs="Arial"/>
        </w:rPr>
        <w:t>the Appellant’s</w:t>
      </w:r>
      <w:r>
        <w:rPr>
          <w:rFonts w:ascii="Book Antiqua" w:hAnsi="Book Antiqua" w:cs="Arial"/>
        </w:rPr>
        <w:t xml:space="preserve"> integration into life in Iran on return.  The Secretary of State’s challenge essentially was in relation to the protection claim and in the drafting of the grounds it is perhaps a touch ambiguous as to </w:t>
      </w:r>
      <w:proofErr w:type="gramStart"/>
      <w:r>
        <w:rPr>
          <w:rFonts w:ascii="Book Antiqua" w:hAnsi="Book Antiqua" w:cs="Arial"/>
        </w:rPr>
        <w:t>whether or not</w:t>
      </w:r>
      <w:proofErr w:type="gramEnd"/>
      <w:r>
        <w:rPr>
          <w:rFonts w:ascii="Book Antiqua" w:hAnsi="Book Antiqua" w:cs="Arial"/>
        </w:rPr>
        <w:t xml:space="preserve"> </w:t>
      </w:r>
      <w:r w:rsidR="00886687">
        <w:rPr>
          <w:rFonts w:ascii="Book Antiqua" w:hAnsi="Book Antiqua" w:cs="Arial"/>
        </w:rPr>
        <w:t>they were</w:t>
      </w:r>
      <w:r>
        <w:rPr>
          <w:rFonts w:ascii="Book Antiqua" w:hAnsi="Book Antiqua" w:cs="Arial"/>
        </w:rPr>
        <w:t xml:space="preserve"> intended to embrace what appears to be the Judge’s findings in relation to risks associated with Article 3 ECHR.  In the circumstances it seemed to me likely although poorly drafted (not by Miss Pettersen) that the grounds were intended to challenge both the Article 3 and the protection claim decisions.  In the circumstances, it </w:t>
      </w:r>
      <w:r w:rsidR="002A12D5">
        <w:rPr>
          <w:rFonts w:ascii="Book Antiqua" w:hAnsi="Book Antiqua" w:cs="Arial"/>
        </w:rPr>
        <w:t>wa</w:t>
      </w:r>
      <w:r>
        <w:rPr>
          <w:rFonts w:ascii="Book Antiqua" w:hAnsi="Book Antiqua" w:cs="Arial"/>
        </w:rPr>
        <w:t xml:space="preserve">s accepted that the Judge’s decision under the Immigration Rules </w:t>
      </w:r>
      <w:r w:rsidR="002A12D5">
        <w:rPr>
          <w:rFonts w:ascii="Book Antiqua" w:hAnsi="Book Antiqua" w:cs="Arial"/>
        </w:rPr>
        <w:t>wa</w:t>
      </w:r>
      <w:r>
        <w:rPr>
          <w:rFonts w:ascii="Book Antiqua" w:hAnsi="Book Antiqua" w:cs="Arial"/>
        </w:rPr>
        <w:t>s unchallenged and stands.</w:t>
      </w:r>
    </w:p>
    <w:p w14:paraId="5F836CE5" w14:textId="77777777" w:rsidR="007A0B19" w:rsidRDefault="007A0B19" w:rsidP="007A0B19">
      <w:pPr>
        <w:tabs>
          <w:tab w:val="left" w:pos="567"/>
        </w:tabs>
        <w:spacing w:line="360" w:lineRule="auto"/>
        <w:ind w:left="567" w:hanging="567"/>
        <w:jc w:val="both"/>
        <w:rPr>
          <w:rFonts w:ascii="Book Antiqua" w:hAnsi="Book Antiqua" w:cs="Arial"/>
        </w:rPr>
      </w:pPr>
    </w:p>
    <w:p w14:paraId="4FF58154" w14:textId="77777777" w:rsidR="007A0B19" w:rsidRDefault="007A0B19" w:rsidP="007A0B19">
      <w:pPr>
        <w:tabs>
          <w:tab w:val="left" w:pos="567"/>
        </w:tabs>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 xml:space="preserve">In relation to the protection and asylum-based claims, the position </w:t>
      </w:r>
      <w:r w:rsidR="002A12D5">
        <w:rPr>
          <w:rFonts w:ascii="Book Antiqua" w:hAnsi="Book Antiqua" w:cs="Arial"/>
        </w:rPr>
        <w:t>wa</w:t>
      </w:r>
      <w:r>
        <w:rPr>
          <w:rFonts w:ascii="Book Antiqua" w:hAnsi="Book Antiqua" w:cs="Arial"/>
        </w:rPr>
        <w:t xml:space="preserve">s that the Judge set out much of the evidence and indicated where she could or could not reach a view upon that evidence.  The Judge also raised, legitimately, concerns about aspects of the evidence which simply had not been addressed with any form of corroborative or supportive evidence bearing in mind an issue existed as to </w:t>
      </w:r>
      <w:proofErr w:type="gramStart"/>
      <w:r>
        <w:rPr>
          <w:rFonts w:ascii="Book Antiqua" w:hAnsi="Book Antiqua" w:cs="Arial"/>
        </w:rPr>
        <w:t>whether or not</w:t>
      </w:r>
      <w:proofErr w:type="gramEnd"/>
      <w:r>
        <w:rPr>
          <w:rFonts w:ascii="Book Antiqua" w:hAnsi="Book Antiqua" w:cs="Arial"/>
        </w:rPr>
        <w:t xml:space="preserve"> as such some could have been </w:t>
      </w:r>
      <w:r w:rsidR="001062BB">
        <w:rPr>
          <w:rFonts w:ascii="Book Antiqua" w:hAnsi="Book Antiqua" w:cs="Arial"/>
        </w:rPr>
        <w:t xml:space="preserve">obtained </w:t>
      </w:r>
      <w:r>
        <w:rPr>
          <w:rFonts w:ascii="Book Antiqua" w:hAnsi="Book Antiqua" w:cs="Arial"/>
        </w:rPr>
        <w:t>in a reasonable period of time</w:t>
      </w:r>
      <w:r w:rsidR="002A12D5">
        <w:rPr>
          <w:rFonts w:ascii="Book Antiqua" w:hAnsi="Book Antiqua" w:cs="Arial"/>
        </w:rPr>
        <w:t>.  R</w:t>
      </w:r>
      <w:r>
        <w:rPr>
          <w:rFonts w:ascii="Book Antiqua" w:hAnsi="Book Antiqua" w:cs="Arial"/>
        </w:rPr>
        <w:t xml:space="preserve">eference to the point that frequently arises by reference to the decision in </w:t>
      </w:r>
      <w:r w:rsidRPr="00902577">
        <w:rPr>
          <w:rFonts w:ascii="Book Antiqua" w:hAnsi="Book Antiqua" w:cs="Arial"/>
        </w:rPr>
        <w:t xml:space="preserve">TK (Burundi) [2009] EWCA </w:t>
      </w:r>
      <w:proofErr w:type="spellStart"/>
      <w:r w:rsidRPr="00902577">
        <w:rPr>
          <w:rFonts w:ascii="Book Antiqua" w:hAnsi="Book Antiqua" w:cs="Arial"/>
        </w:rPr>
        <w:t>Civ</w:t>
      </w:r>
      <w:proofErr w:type="spellEnd"/>
      <w:r w:rsidRPr="00902577">
        <w:rPr>
          <w:rFonts w:ascii="Book Antiqua" w:hAnsi="Book Antiqua" w:cs="Arial"/>
        </w:rPr>
        <w:t xml:space="preserve"> 40</w:t>
      </w:r>
      <w:r>
        <w:rPr>
          <w:rFonts w:ascii="Book Antiqua" w:hAnsi="Book Antiqua" w:cs="Arial"/>
        </w:rPr>
        <w:t xml:space="preserve"> as to the availability of confirmatory evidence bearing in mind it appear</w:t>
      </w:r>
      <w:r w:rsidR="00886687">
        <w:rPr>
          <w:rFonts w:ascii="Book Antiqua" w:hAnsi="Book Antiqua" w:cs="Arial"/>
        </w:rPr>
        <w:t>ed</w:t>
      </w:r>
      <w:r>
        <w:rPr>
          <w:rFonts w:ascii="Book Antiqua" w:hAnsi="Book Antiqua" w:cs="Arial"/>
        </w:rPr>
        <w:t xml:space="preserve"> that on the </w:t>
      </w:r>
      <w:r w:rsidR="002A12D5">
        <w:rPr>
          <w:rFonts w:ascii="Book Antiqua" w:hAnsi="Book Antiqua" w:cs="Arial"/>
        </w:rPr>
        <w:t>Claimant’s</w:t>
      </w:r>
      <w:r>
        <w:rPr>
          <w:rFonts w:ascii="Book Antiqua" w:hAnsi="Book Antiqua" w:cs="Arial"/>
        </w:rPr>
        <w:t xml:space="preserve"> account he had sought to obtain some measure of supporting evidence of his involvement in the </w:t>
      </w:r>
      <w:proofErr w:type="spellStart"/>
      <w:r>
        <w:rPr>
          <w:rFonts w:ascii="Book Antiqua" w:hAnsi="Book Antiqua" w:cs="Arial"/>
        </w:rPr>
        <w:t>Komala</w:t>
      </w:r>
      <w:proofErr w:type="spellEnd"/>
      <w:r>
        <w:rPr>
          <w:rFonts w:ascii="Book Antiqua" w:hAnsi="Book Antiqua" w:cs="Arial"/>
        </w:rPr>
        <w:t xml:space="preserve"> Party.  </w:t>
      </w:r>
    </w:p>
    <w:p w14:paraId="186F6230" w14:textId="77777777" w:rsidR="007A0B19" w:rsidRDefault="007A0B19" w:rsidP="007A0B19">
      <w:pPr>
        <w:tabs>
          <w:tab w:val="left" w:pos="567"/>
        </w:tabs>
        <w:spacing w:line="360" w:lineRule="auto"/>
        <w:ind w:left="567" w:hanging="567"/>
        <w:jc w:val="both"/>
        <w:rPr>
          <w:rFonts w:ascii="Book Antiqua" w:hAnsi="Book Antiqua" w:cs="Arial"/>
        </w:rPr>
      </w:pPr>
    </w:p>
    <w:p w14:paraId="041689C8" w14:textId="77777777" w:rsidR="007A0B19" w:rsidRDefault="007A0B19" w:rsidP="007A0B19">
      <w:pPr>
        <w:tabs>
          <w:tab w:val="left" w:pos="567"/>
        </w:tabs>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t>Miss Pickering attractively argue</w:t>
      </w:r>
      <w:r w:rsidR="002A12D5">
        <w:rPr>
          <w:rFonts w:ascii="Book Antiqua" w:hAnsi="Book Antiqua" w:cs="Arial"/>
        </w:rPr>
        <w:t>d</w:t>
      </w:r>
      <w:r>
        <w:rPr>
          <w:rFonts w:ascii="Book Antiqua" w:hAnsi="Book Antiqua" w:cs="Arial"/>
        </w:rPr>
        <w:t xml:space="preserve"> that essentially the Secretary of State’s objections were </w:t>
      </w:r>
      <w:r w:rsidR="002A12D5">
        <w:rPr>
          <w:rFonts w:ascii="Book Antiqua" w:hAnsi="Book Antiqua" w:cs="Arial"/>
        </w:rPr>
        <w:t xml:space="preserve">to the </w:t>
      </w:r>
      <w:r>
        <w:rPr>
          <w:rFonts w:ascii="Book Antiqua" w:hAnsi="Book Antiqua" w:cs="Arial"/>
        </w:rPr>
        <w:t>original grounds of application</w:t>
      </w:r>
      <w:r w:rsidR="002A12D5">
        <w:rPr>
          <w:rFonts w:ascii="Book Antiqua" w:hAnsi="Book Antiqua" w:cs="Arial"/>
        </w:rPr>
        <w:t xml:space="preserve">.  </w:t>
      </w:r>
      <w:r w:rsidR="00886687">
        <w:rPr>
          <w:rFonts w:ascii="Book Antiqua" w:hAnsi="Book Antiqua" w:cs="Arial"/>
        </w:rPr>
        <w:t>T</w:t>
      </w:r>
      <w:r>
        <w:rPr>
          <w:rFonts w:ascii="Book Antiqua" w:hAnsi="Book Antiqua" w:cs="Arial"/>
        </w:rPr>
        <w:t xml:space="preserve">he </w:t>
      </w:r>
      <w:r w:rsidR="002A12D5">
        <w:rPr>
          <w:rFonts w:ascii="Book Antiqua" w:hAnsi="Book Antiqua" w:cs="Arial"/>
        </w:rPr>
        <w:t xml:space="preserve">Secretary of State’s </w:t>
      </w:r>
      <w:r>
        <w:rPr>
          <w:rFonts w:ascii="Book Antiqua" w:hAnsi="Book Antiqua" w:cs="Arial"/>
        </w:rPr>
        <w:t xml:space="preserve">renewed grounds to the Upper Tribunal are really expressing a repetition of the submissions of disagreement that were made before the First-tier </w:t>
      </w:r>
      <w:proofErr w:type="gramStart"/>
      <w:r>
        <w:rPr>
          <w:rFonts w:ascii="Book Antiqua" w:hAnsi="Book Antiqua" w:cs="Arial"/>
        </w:rPr>
        <w:t>and also</w:t>
      </w:r>
      <w:proofErr w:type="gramEnd"/>
      <w:r>
        <w:rPr>
          <w:rFonts w:ascii="Book Antiqua" w:hAnsi="Book Antiqua" w:cs="Arial"/>
        </w:rPr>
        <w:t xml:space="preserve"> essentially iterative of </w:t>
      </w:r>
      <w:r w:rsidR="00902577">
        <w:rPr>
          <w:rFonts w:ascii="Book Antiqua" w:hAnsi="Book Antiqua" w:cs="Arial"/>
        </w:rPr>
        <w:t>a disagreement with the findings that the Judge made.</w:t>
      </w:r>
    </w:p>
    <w:p w14:paraId="6FB075ED" w14:textId="77777777" w:rsidR="00902577" w:rsidRDefault="00902577" w:rsidP="007A0B19">
      <w:pPr>
        <w:tabs>
          <w:tab w:val="left" w:pos="567"/>
        </w:tabs>
        <w:spacing w:line="360" w:lineRule="auto"/>
        <w:ind w:left="567" w:hanging="567"/>
        <w:jc w:val="both"/>
        <w:rPr>
          <w:rFonts w:ascii="Book Antiqua" w:hAnsi="Book Antiqua" w:cs="Arial"/>
        </w:rPr>
      </w:pPr>
    </w:p>
    <w:p w14:paraId="5FA8EEBF" w14:textId="77777777" w:rsidR="00902577" w:rsidRDefault="00902577" w:rsidP="00902577">
      <w:pPr>
        <w:tabs>
          <w:tab w:val="left" w:pos="567"/>
        </w:tabs>
        <w:spacing w:line="360" w:lineRule="auto"/>
        <w:ind w:left="567" w:hanging="567"/>
        <w:jc w:val="both"/>
        <w:rPr>
          <w:rFonts w:ascii="Book Antiqua" w:hAnsi="Book Antiqua" w:cs="Arial"/>
        </w:rPr>
      </w:pPr>
      <w:r>
        <w:rPr>
          <w:rFonts w:ascii="Book Antiqua" w:hAnsi="Book Antiqua" w:cs="Arial"/>
        </w:rPr>
        <w:t>5.</w:t>
      </w:r>
      <w:r>
        <w:rPr>
          <w:rFonts w:ascii="Book Antiqua" w:hAnsi="Book Antiqua" w:cs="Arial"/>
        </w:rPr>
        <w:tab/>
        <w:t>It is trite law to say that a party to an appeal is entitled to know with sufficient and adequate reasons how the decision has been arrived at or what was the evidence that formed the basis for the Judge’s findings.  In this case the Judge was faced with a</w:t>
      </w:r>
      <w:r w:rsidR="002A12D5">
        <w:rPr>
          <w:rFonts w:ascii="Book Antiqua" w:hAnsi="Book Antiqua" w:cs="Arial"/>
        </w:rPr>
        <w:t xml:space="preserve"> Claimant</w:t>
      </w:r>
      <w:r>
        <w:rPr>
          <w:rFonts w:ascii="Book Antiqua" w:hAnsi="Book Antiqua" w:cs="Arial"/>
        </w:rPr>
        <w:t xml:space="preserve"> who was claiming to be at risk particularly for two reasons.  First, that </w:t>
      </w:r>
      <w:r w:rsidR="00886687">
        <w:rPr>
          <w:rFonts w:ascii="Book Antiqua" w:hAnsi="Book Antiqua" w:cs="Arial"/>
        </w:rPr>
        <w:t>his</w:t>
      </w:r>
      <w:r>
        <w:rPr>
          <w:rFonts w:ascii="Book Antiqua" w:hAnsi="Book Antiqua" w:cs="Arial"/>
        </w:rPr>
        <w:t xml:space="preserve"> </w:t>
      </w:r>
      <w:r>
        <w:rPr>
          <w:rFonts w:ascii="Book Antiqua" w:hAnsi="Book Antiqua" w:cs="Arial"/>
        </w:rPr>
        <w:lastRenderedPageBreak/>
        <w:t xml:space="preserve">identity card issued by the </w:t>
      </w:r>
      <w:proofErr w:type="spellStart"/>
      <w:r>
        <w:rPr>
          <w:rFonts w:ascii="Book Antiqua" w:hAnsi="Book Antiqua" w:cs="Arial"/>
        </w:rPr>
        <w:t>Komala</w:t>
      </w:r>
      <w:proofErr w:type="spellEnd"/>
      <w:r>
        <w:rPr>
          <w:rFonts w:ascii="Book Antiqua" w:hAnsi="Book Antiqua" w:cs="Arial"/>
        </w:rPr>
        <w:t xml:space="preserve"> Party, known to be vigorously opposed by the Iranian regime, had been discovered and that his uncle, said to be a supporter or member of the </w:t>
      </w:r>
      <w:proofErr w:type="spellStart"/>
      <w:r>
        <w:rPr>
          <w:rFonts w:ascii="Book Antiqua" w:hAnsi="Book Antiqua" w:cs="Arial"/>
        </w:rPr>
        <w:t>Komala</w:t>
      </w:r>
      <w:proofErr w:type="spellEnd"/>
      <w:r>
        <w:rPr>
          <w:rFonts w:ascii="Book Antiqua" w:hAnsi="Book Antiqua" w:cs="Arial"/>
        </w:rPr>
        <w:t xml:space="preserve"> Party</w:t>
      </w:r>
      <w:r w:rsidR="00886687">
        <w:rPr>
          <w:rFonts w:ascii="Book Antiqua" w:hAnsi="Book Antiqua" w:cs="Arial"/>
        </w:rPr>
        <w:t>,</w:t>
      </w:r>
      <w:r>
        <w:rPr>
          <w:rFonts w:ascii="Book Antiqua" w:hAnsi="Book Antiqua" w:cs="Arial"/>
        </w:rPr>
        <w:t xml:space="preserve"> had also been detained</w:t>
      </w:r>
      <w:r w:rsidR="002A12D5">
        <w:rPr>
          <w:rFonts w:ascii="Book Antiqua" w:hAnsi="Book Antiqua" w:cs="Arial"/>
        </w:rPr>
        <w:t>: A</w:t>
      </w:r>
      <w:r>
        <w:rPr>
          <w:rFonts w:ascii="Book Antiqua" w:hAnsi="Book Antiqua" w:cs="Arial"/>
        </w:rPr>
        <w:t>lthough what followed therefrom was less than clear.  The Judge look</w:t>
      </w:r>
      <w:r w:rsidR="002A12D5">
        <w:rPr>
          <w:rFonts w:ascii="Book Antiqua" w:hAnsi="Book Antiqua" w:cs="Arial"/>
        </w:rPr>
        <w:t>ed</w:t>
      </w:r>
      <w:r>
        <w:rPr>
          <w:rFonts w:ascii="Book Antiqua" w:hAnsi="Book Antiqua" w:cs="Arial"/>
        </w:rPr>
        <w:t xml:space="preserve"> at what the Claimant had said</w:t>
      </w:r>
      <w:r w:rsidR="002A12D5">
        <w:rPr>
          <w:rFonts w:ascii="Book Antiqua" w:hAnsi="Book Antiqua" w:cs="Arial"/>
        </w:rPr>
        <w:t>,</w:t>
      </w:r>
      <w:r>
        <w:rPr>
          <w:rFonts w:ascii="Book Antiqua" w:hAnsi="Book Antiqua" w:cs="Arial"/>
        </w:rPr>
        <w:t xml:space="preserve"> had considerable and legitimate reservations about whether the </w:t>
      </w:r>
      <w:proofErr w:type="spellStart"/>
      <w:r>
        <w:rPr>
          <w:rFonts w:ascii="Book Antiqua" w:hAnsi="Book Antiqua" w:cs="Arial"/>
        </w:rPr>
        <w:t>Komala</w:t>
      </w:r>
      <w:proofErr w:type="spellEnd"/>
      <w:r>
        <w:rPr>
          <w:rFonts w:ascii="Book Antiqua" w:hAnsi="Book Antiqua" w:cs="Arial"/>
        </w:rPr>
        <w:t xml:space="preserve"> Party would even issue such membership cards</w:t>
      </w:r>
      <w:r w:rsidR="002A12D5">
        <w:rPr>
          <w:rFonts w:ascii="Book Antiqua" w:hAnsi="Book Antiqua" w:cs="Arial"/>
        </w:rPr>
        <w:t>,</w:t>
      </w:r>
      <w:r>
        <w:rPr>
          <w:rFonts w:ascii="Book Antiqua" w:hAnsi="Book Antiqua" w:cs="Arial"/>
        </w:rPr>
        <w:t xml:space="preserve"> bearing in mind the opposition from the Iranian state and the serious penalties that might arise</w:t>
      </w:r>
      <w:r w:rsidR="00886687">
        <w:rPr>
          <w:rFonts w:ascii="Book Antiqua" w:hAnsi="Book Antiqua" w:cs="Arial"/>
        </w:rPr>
        <w:t xml:space="preserve"> from membership</w:t>
      </w:r>
      <w:r>
        <w:rPr>
          <w:rFonts w:ascii="Book Antiqua" w:hAnsi="Book Antiqua" w:cs="Arial"/>
        </w:rPr>
        <w:t>.  The Judge appear</w:t>
      </w:r>
      <w:r w:rsidR="00886687">
        <w:rPr>
          <w:rFonts w:ascii="Book Antiqua" w:hAnsi="Book Antiqua" w:cs="Arial"/>
        </w:rPr>
        <w:t>ed</w:t>
      </w:r>
      <w:r>
        <w:rPr>
          <w:rFonts w:ascii="Book Antiqua" w:hAnsi="Book Antiqua" w:cs="Arial"/>
        </w:rPr>
        <w:t xml:space="preserve"> to have reached no conclusion on that issue and there was nothing by way of evidence from the </w:t>
      </w:r>
      <w:proofErr w:type="spellStart"/>
      <w:r>
        <w:rPr>
          <w:rFonts w:ascii="Book Antiqua" w:hAnsi="Book Antiqua" w:cs="Arial"/>
        </w:rPr>
        <w:t>Komala</w:t>
      </w:r>
      <w:proofErr w:type="spellEnd"/>
      <w:r>
        <w:rPr>
          <w:rFonts w:ascii="Book Antiqua" w:hAnsi="Book Antiqua" w:cs="Arial"/>
        </w:rPr>
        <w:t xml:space="preserve"> Party to confirm the existence or presence of membership cards at the relevant time.  In addition, the Judge made no </w:t>
      </w:r>
      <w:proofErr w:type="gramStart"/>
      <w:r>
        <w:rPr>
          <w:rFonts w:ascii="Book Antiqua" w:hAnsi="Book Antiqua" w:cs="Arial"/>
        </w:rPr>
        <w:t>particular findings</w:t>
      </w:r>
      <w:proofErr w:type="gramEnd"/>
      <w:r>
        <w:rPr>
          <w:rFonts w:ascii="Book Antiqua" w:hAnsi="Book Antiqua" w:cs="Arial"/>
        </w:rPr>
        <w:t xml:space="preserve"> on the issue of the uncle’s arrest and detention although record</w:t>
      </w:r>
      <w:r w:rsidR="002A12D5">
        <w:rPr>
          <w:rFonts w:ascii="Book Antiqua" w:hAnsi="Book Antiqua" w:cs="Arial"/>
        </w:rPr>
        <w:t>ed</w:t>
      </w:r>
      <w:r>
        <w:rPr>
          <w:rFonts w:ascii="Book Antiqua" w:hAnsi="Book Antiqua" w:cs="Arial"/>
        </w:rPr>
        <w:t xml:space="preserve"> the </w:t>
      </w:r>
      <w:r w:rsidR="002A12D5">
        <w:rPr>
          <w:rFonts w:ascii="Book Antiqua" w:hAnsi="Book Antiqua" w:cs="Arial"/>
        </w:rPr>
        <w:t>Claimant’s</w:t>
      </w:r>
      <w:r>
        <w:rPr>
          <w:rFonts w:ascii="Book Antiqua" w:hAnsi="Book Antiqua" w:cs="Arial"/>
        </w:rPr>
        <w:t xml:space="preserve"> say so of the matter</w:t>
      </w:r>
      <w:r w:rsidR="002A12D5">
        <w:rPr>
          <w:rFonts w:ascii="Book Antiqua" w:hAnsi="Book Antiqua" w:cs="Arial"/>
        </w:rPr>
        <w:t>.  T</w:t>
      </w:r>
      <w:r>
        <w:rPr>
          <w:rFonts w:ascii="Book Antiqua" w:hAnsi="Book Antiqua" w:cs="Arial"/>
        </w:rPr>
        <w:t xml:space="preserve">he evidence </w:t>
      </w:r>
      <w:r w:rsidR="002A12D5">
        <w:rPr>
          <w:rFonts w:ascii="Book Antiqua" w:hAnsi="Book Antiqua" w:cs="Arial"/>
        </w:rPr>
        <w:t>wa</w:t>
      </w:r>
      <w:r>
        <w:rPr>
          <w:rFonts w:ascii="Book Antiqua" w:hAnsi="Book Antiqua" w:cs="Arial"/>
        </w:rPr>
        <w:t xml:space="preserve">s indeed scant in presentation of that issue.  </w:t>
      </w:r>
      <w:proofErr w:type="gramStart"/>
      <w:r>
        <w:rPr>
          <w:rFonts w:ascii="Book Antiqua" w:hAnsi="Book Antiqua" w:cs="Arial"/>
        </w:rPr>
        <w:t>Nevertheless</w:t>
      </w:r>
      <w:proofErr w:type="gramEnd"/>
      <w:r>
        <w:rPr>
          <w:rFonts w:ascii="Book Antiqua" w:hAnsi="Book Antiqua" w:cs="Arial"/>
        </w:rPr>
        <w:t xml:space="preserve"> the Judge felt able to conclude at paragraph 67:</w:t>
      </w:r>
    </w:p>
    <w:p w14:paraId="6EDBF3B8" w14:textId="77777777" w:rsidR="000C7CCE" w:rsidRDefault="000C7CCE" w:rsidP="00902577">
      <w:pPr>
        <w:tabs>
          <w:tab w:val="left" w:pos="567"/>
        </w:tabs>
        <w:spacing w:line="360" w:lineRule="auto"/>
        <w:ind w:left="567" w:hanging="567"/>
        <w:jc w:val="both"/>
        <w:rPr>
          <w:rFonts w:ascii="Book Antiqua" w:hAnsi="Book Antiqua" w:cs="Arial"/>
        </w:rPr>
      </w:pPr>
    </w:p>
    <w:p w14:paraId="0721CDFD" w14:textId="77777777" w:rsidR="000C7CCE" w:rsidRDefault="000C7CCE" w:rsidP="00826853">
      <w:pPr>
        <w:tabs>
          <w:tab w:val="left" w:pos="567"/>
        </w:tabs>
        <w:spacing w:line="360" w:lineRule="auto"/>
        <w:ind w:left="1134"/>
        <w:jc w:val="both"/>
        <w:rPr>
          <w:rFonts w:ascii="Book Antiqua" w:hAnsi="Book Antiqua" w:cs="Arial"/>
        </w:rPr>
      </w:pPr>
      <w:r>
        <w:rPr>
          <w:rFonts w:ascii="Book Antiqua" w:hAnsi="Book Antiqua" w:cs="Arial"/>
        </w:rPr>
        <w:t>“</w:t>
      </w:r>
      <w:r w:rsidR="00826853">
        <w:rPr>
          <w:rFonts w:ascii="Book Antiqua" w:hAnsi="Book Antiqua" w:cs="Arial"/>
        </w:rPr>
        <w:t xml:space="preserve">As the Appellant (Claimant) has been identified as involved with the </w:t>
      </w:r>
      <w:proofErr w:type="spellStart"/>
      <w:r w:rsidR="00826853">
        <w:rPr>
          <w:rFonts w:ascii="Book Antiqua" w:hAnsi="Book Antiqua" w:cs="Arial"/>
        </w:rPr>
        <w:t>Komala</w:t>
      </w:r>
      <w:proofErr w:type="spellEnd"/>
      <w:r w:rsidR="00826853">
        <w:rPr>
          <w:rFonts w:ascii="Book Antiqua" w:hAnsi="Book Antiqua" w:cs="Arial"/>
        </w:rPr>
        <w:t xml:space="preserve"> Party and a close relative of a member it is likely that he is perceived as a threat to the state.  This is sufficient to put him at risk of harm for a Convention reason.”</w:t>
      </w:r>
    </w:p>
    <w:p w14:paraId="36E80501" w14:textId="77777777" w:rsidR="00826853" w:rsidRPr="007A0B19" w:rsidRDefault="00826853" w:rsidP="00826853">
      <w:pPr>
        <w:tabs>
          <w:tab w:val="left" w:pos="567"/>
        </w:tabs>
        <w:spacing w:line="360" w:lineRule="auto"/>
        <w:ind w:left="1134"/>
        <w:jc w:val="both"/>
        <w:rPr>
          <w:rFonts w:ascii="Book Antiqua" w:hAnsi="Book Antiqua" w:cs="Arial"/>
        </w:rPr>
      </w:pPr>
    </w:p>
    <w:p w14:paraId="7E14C3A3" w14:textId="77777777" w:rsidR="00902577" w:rsidRDefault="00826853" w:rsidP="007A0B19">
      <w:pPr>
        <w:tabs>
          <w:tab w:val="left" w:pos="567"/>
        </w:tabs>
        <w:spacing w:line="360" w:lineRule="auto"/>
        <w:ind w:left="567" w:hanging="567"/>
        <w:jc w:val="both"/>
        <w:rPr>
          <w:rFonts w:ascii="Book Antiqua" w:hAnsi="Book Antiqua" w:cs="Arial"/>
        </w:rPr>
      </w:pPr>
      <w:r>
        <w:rPr>
          <w:rFonts w:ascii="Book Antiqua" w:hAnsi="Book Antiqua" w:cs="Arial"/>
        </w:rPr>
        <w:t>6.</w:t>
      </w:r>
      <w:r>
        <w:rPr>
          <w:rFonts w:ascii="Book Antiqua" w:hAnsi="Book Antiqua" w:cs="Arial"/>
        </w:rPr>
        <w:tab/>
        <w:t>It seemed to me that the difficulty that the Judge faced</w:t>
      </w:r>
      <w:r w:rsidR="002A12D5">
        <w:rPr>
          <w:rFonts w:ascii="Book Antiqua" w:hAnsi="Book Antiqua" w:cs="Arial"/>
        </w:rPr>
        <w:t>,</w:t>
      </w:r>
      <w:r>
        <w:rPr>
          <w:rFonts w:ascii="Book Antiqua" w:hAnsi="Book Antiqua" w:cs="Arial"/>
        </w:rPr>
        <w:t xml:space="preserve"> which was not resolved by the reason</w:t>
      </w:r>
      <w:r w:rsidR="00886687">
        <w:rPr>
          <w:rFonts w:ascii="Book Antiqua" w:hAnsi="Book Antiqua" w:cs="Arial"/>
        </w:rPr>
        <w:t>s</w:t>
      </w:r>
      <w:r>
        <w:rPr>
          <w:rFonts w:ascii="Book Antiqua" w:hAnsi="Book Antiqua" w:cs="Arial"/>
        </w:rPr>
        <w:t xml:space="preserve"> expressed</w:t>
      </w:r>
      <w:r w:rsidR="002A12D5">
        <w:rPr>
          <w:rFonts w:ascii="Book Antiqua" w:hAnsi="Book Antiqua" w:cs="Arial"/>
        </w:rPr>
        <w:t>,</w:t>
      </w:r>
      <w:r>
        <w:rPr>
          <w:rFonts w:ascii="Book Antiqua" w:hAnsi="Book Antiqua" w:cs="Arial"/>
        </w:rPr>
        <w:t xml:space="preserve"> was that there was a good deal </w:t>
      </w:r>
      <w:r w:rsidR="002A12D5">
        <w:rPr>
          <w:rFonts w:ascii="Book Antiqua" w:hAnsi="Book Antiqua" w:cs="Arial"/>
        </w:rPr>
        <w:t>said</w:t>
      </w:r>
      <w:r>
        <w:rPr>
          <w:rFonts w:ascii="Book Antiqua" w:hAnsi="Book Antiqua" w:cs="Arial"/>
        </w:rPr>
        <w:t xml:space="preserve"> by the Appellant of his claim but very little to confirm it.  For example, the Judge noted at paragraph 60:</w:t>
      </w:r>
    </w:p>
    <w:p w14:paraId="7DA240F8" w14:textId="77777777" w:rsidR="00826853" w:rsidRDefault="00826853" w:rsidP="007A0B19">
      <w:pPr>
        <w:tabs>
          <w:tab w:val="left" w:pos="567"/>
        </w:tabs>
        <w:spacing w:line="360" w:lineRule="auto"/>
        <w:ind w:left="567" w:hanging="567"/>
        <w:jc w:val="both"/>
        <w:rPr>
          <w:rFonts w:ascii="Book Antiqua" w:hAnsi="Book Antiqua" w:cs="Arial"/>
        </w:rPr>
      </w:pPr>
    </w:p>
    <w:p w14:paraId="54A35491" w14:textId="77777777" w:rsidR="00826853" w:rsidRDefault="00826853" w:rsidP="00826853">
      <w:pPr>
        <w:tabs>
          <w:tab w:val="left" w:pos="567"/>
        </w:tabs>
        <w:spacing w:line="360" w:lineRule="auto"/>
        <w:ind w:left="1134"/>
        <w:jc w:val="both"/>
        <w:rPr>
          <w:rFonts w:ascii="Book Antiqua" w:hAnsi="Book Antiqua" w:cs="Arial"/>
        </w:rPr>
      </w:pPr>
      <w:r>
        <w:rPr>
          <w:rFonts w:ascii="Book Antiqua" w:hAnsi="Book Antiqua" w:cs="Arial"/>
        </w:rPr>
        <w:t xml:space="preserve">“The document provided adds little weight to the Appellant’s claim and whilst I accept that he has been in contact with the </w:t>
      </w:r>
      <w:proofErr w:type="spellStart"/>
      <w:r>
        <w:rPr>
          <w:rFonts w:ascii="Book Antiqua" w:hAnsi="Book Antiqua" w:cs="Arial"/>
        </w:rPr>
        <w:t>Komala</w:t>
      </w:r>
      <w:proofErr w:type="spellEnd"/>
      <w:r>
        <w:rPr>
          <w:rFonts w:ascii="Book Antiqua" w:hAnsi="Book Antiqua" w:cs="Arial"/>
        </w:rPr>
        <w:t xml:space="preserve"> Party (by reference to a request which was before the Judge) he has yet to receive confirmation from them of his role or his uncle’s role in the Party.”</w:t>
      </w:r>
    </w:p>
    <w:p w14:paraId="18F01CDD" w14:textId="77777777" w:rsidR="00826853" w:rsidRDefault="00826853" w:rsidP="00826853">
      <w:pPr>
        <w:tabs>
          <w:tab w:val="left" w:pos="567"/>
        </w:tabs>
        <w:spacing w:line="360" w:lineRule="auto"/>
        <w:ind w:left="1134"/>
        <w:jc w:val="both"/>
        <w:rPr>
          <w:rFonts w:ascii="Book Antiqua" w:hAnsi="Book Antiqua" w:cs="Arial"/>
        </w:rPr>
      </w:pPr>
    </w:p>
    <w:p w14:paraId="4E900A20" w14:textId="77777777" w:rsidR="00826853" w:rsidRDefault="00826853" w:rsidP="00826853">
      <w:pPr>
        <w:tabs>
          <w:tab w:val="left" w:pos="567"/>
        </w:tabs>
        <w:spacing w:line="360" w:lineRule="auto"/>
        <w:ind w:left="567" w:hanging="567"/>
        <w:jc w:val="both"/>
        <w:rPr>
          <w:rFonts w:ascii="Book Antiqua" w:hAnsi="Book Antiqua" w:cs="Arial"/>
        </w:rPr>
      </w:pPr>
      <w:r>
        <w:rPr>
          <w:rFonts w:ascii="Book Antiqua" w:hAnsi="Book Antiqua" w:cs="Arial"/>
        </w:rPr>
        <w:t>7.</w:t>
      </w:r>
      <w:r>
        <w:rPr>
          <w:rFonts w:ascii="Book Antiqua" w:hAnsi="Book Antiqua" w:cs="Arial"/>
        </w:rPr>
        <w:tab/>
        <w:t xml:space="preserve">In these circumstances there was no other evidence emanating from family members whether for good reason or bad to confirm or support the </w:t>
      </w:r>
      <w:r w:rsidR="002A12D5">
        <w:rPr>
          <w:rFonts w:ascii="Book Antiqua" w:hAnsi="Book Antiqua" w:cs="Arial"/>
        </w:rPr>
        <w:t>Claimant’s</w:t>
      </w:r>
      <w:r>
        <w:rPr>
          <w:rFonts w:ascii="Book Antiqua" w:hAnsi="Book Antiqua" w:cs="Arial"/>
        </w:rPr>
        <w:t xml:space="preserve"> claim of his membership or the existence of the ID card or the raid which had led to the discovery of the card.</w:t>
      </w:r>
    </w:p>
    <w:p w14:paraId="06E13E2D" w14:textId="77777777" w:rsidR="00826853" w:rsidRDefault="00826853" w:rsidP="00826853">
      <w:pPr>
        <w:tabs>
          <w:tab w:val="left" w:pos="567"/>
        </w:tabs>
        <w:spacing w:line="360" w:lineRule="auto"/>
        <w:ind w:left="567" w:hanging="567"/>
        <w:jc w:val="both"/>
        <w:rPr>
          <w:rFonts w:ascii="Book Antiqua" w:hAnsi="Book Antiqua" w:cs="Arial"/>
        </w:rPr>
      </w:pPr>
    </w:p>
    <w:p w14:paraId="0A1B01F1" w14:textId="77777777" w:rsidR="002A12D5" w:rsidRDefault="00826853" w:rsidP="00826853">
      <w:pPr>
        <w:tabs>
          <w:tab w:val="left" w:pos="567"/>
        </w:tabs>
        <w:spacing w:line="360" w:lineRule="auto"/>
        <w:ind w:left="567" w:hanging="567"/>
        <w:jc w:val="both"/>
        <w:rPr>
          <w:rFonts w:ascii="Book Antiqua" w:hAnsi="Book Antiqua" w:cs="Arial"/>
        </w:rPr>
      </w:pPr>
      <w:r>
        <w:rPr>
          <w:rFonts w:ascii="Book Antiqua" w:hAnsi="Book Antiqua" w:cs="Arial"/>
        </w:rPr>
        <w:lastRenderedPageBreak/>
        <w:t>8.</w:t>
      </w:r>
      <w:r>
        <w:rPr>
          <w:rFonts w:ascii="Book Antiqua" w:hAnsi="Book Antiqua" w:cs="Arial"/>
        </w:rPr>
        <w:tab/>
        <w:t xml:space="preserve">It seemed to me that this was a case where the Judge </w:t>
      </w:r>
      <w:proofErr w:type="gramStart"/>
      <w:r>
        <w:rPr>
          <w:rFonts w:ascii="Book Antiqua" w:hAnsi="Book Antiqua" w:cs="Arial"/>
        </w:rPr>
        <w:t>came to a conclusion of</w:t>
      </w:r>
      <w:proofErr w:type="gramEnd"/>
      <w:r>
        <w:rPr>
          <w:rFonts w:ascii="Book Antiqua" w:hAnsi="Book Antiqua" w:cs="Arial"/>
        </w:rPr>
        <w:t xml:space="preserve"> risk on return but did so without expressing sufficient or adequate reasons as to how that decision was ultimately made.  The decision was </w:t>
      </w:r>
      <w:proofErr w:type="gramStart"/>
      <w:r>
        <w:rPr>
          <w:rFonts w:ascii="Book Antiqua" w:hAnsi="Book Antiqua" w:cs="Arial"/>
        </w:rPr>
        <w:t>definitely made</w:t>
      </w:r>
      <w:proofErr w:type="gramEnd"/>
      <w:r>
        <w:rPr>
          <w:rFonts w:ascii="Book Antiqua" w:hAnsi="Book Antiqua" w:cs="Arial"/>
        </w:rPr>
        <w:t xml:space="preserve"> but the absence of cogent and sufficient reasons to explain it </w:t>
      </w:r>
      <w:r w:rsidR="002A12D5">
        <w:rPr>
          <w:rFonts w:ascii="Book Antiqua" w:hAnsi="Book Antiqua" w:cs="Arial"/>
        </w:rPr>
        <w:t>wa</w:t>
      </w:r>
      <w:r>
        <w:rPr>
          <w:rFonts w:ascii="Book Antiqua" w:hAnsi="Book Antiqua" w:cs="Arial"/>
        </w:rPr>
        <w:t>s harder to understand</w:t>
      </w:r>
      <w:r w:rsidR="002A12D5">
        <w:rPr>
          <w:rFonts w:ascii="Book Antiqua" w:hAnsi="Book Antiqua" w:cs="Arial"/>
        </w:rPr>
        <w:t>.</w:t>
      </w:r>
      <w:r>
        <w:rPr>
          <w:rFonts w:ascii="Book Antiqua" w:hAnsi="Book Antiqua" w:cs="Arial"/>
        </w:rPr>
        <w:t xml:space="preserve"> </w:t>
      </w:r>
      <w:r w:rsidR="002A12D5">
        <w:rPr>
          <w:rFonts w:ascii="Book Antiqua" w:hAnsi="Book Antiqua" w:cs="Arial"/>
        </w:rPr>
        <w:t xml:space="preserve"> </w:t>
      </w:r>
      <w:r>
        <w:rPr>
          <w:rFonts w:ascii="Book Antiqua" w:hAnsi="Book Antiqua" w:cs="Arial"/>
        </w:rPr>
        <w:t xml:space="preserve">I find the </w:t>
      </w:r>
      <w:r w:rsidR="002A12D5">
        <w:rPr>
          <w:rFonts w:ascii="Book Antiqua" w:hAnsi="Book Antiqua" w:cs="Arial"/>
        </w:rPr>
        <w:t>O</w:t>
      </w:r>
      <w:r>
        <w:rPr>
          <w:rFonts w:ascii="Book Antiqua" w:hAnsi="Book Antiqua" w:cs="Arial"/>
        </w:rPr>
        <w:t xml:space="preserve">riginal Tribunal’s decision was an error of law on that issue in failing to give sufficient and adequate reasons.  </w:t>
      </w:r>
      <w:proofErr w:type="gramStart"/>
      <w:r>
        <w:rPr>
          <w:rFonts w:ascii="Book Antiqua" w:hAnsi="Book Antiqua" w:cs="Arial"/>
        </w:rPr>
        <w:t>Accordingly</w:t>
      </w:r>
      <w:proofErr w:type="gramEnd"/>
      <w:r>
        <w:rPr>
          <w:rFonts w:ascii="Book Antiqua" w:hAnsi="Book Antiqua" w:cs="Arial"/>
        </w:rPr>
        <w:t xml:space="preserve"> the appeal is allowed to the extent that the issue of risk on return associated either with the Refugee Convention or Articles 2 and 3 ECHR need to be considered and properly reasoned.  That is not to say the same result might not arise, but that may well be the product of evidence coming forward one way or</w:t>
      </w:r>
      <w:r w:rsidR="002A12D5">
        <w:rPr>
          <w:rFonts w:ascii="Book Antiqua" w:hAnsi="Book Antiqua" w:cs="Arial"/>
        </w:rPr>
        <w:t xml:space="preserve"> another to support the claim.</w:t>
      </w:r>
    </w:p>
    <w:p w14:paraId="492639DD" w14:textId="77777777" w:rsidR="002A12D5" w:rsidRDefault="002A12D5" w:rsidP="00826853">
      <w:pPr>
        <w:tabs>
          <w:tab w:val="left" w:pos="567"/>
        </w:tabs>
        <w:spacing w:line="360" w:lineRule="auto"/>
        <w:ind w:left="567" w:hanging="567"/>
        <w:jc w:val="both"/>
        <w:rPr>
          <w:rFonts w:ascii="Book Antiqua" w:hAnsi="Book Antiqua" w:cs="Arial"/>
        </w:rPr>
      </w:pPr>
    </w:p>
    <w:p w14:paraId="5A86BFC8" w14:textId="77777777" w:rsidR="002A12D5" w:rsidRPr="002A12D5" w:rsidRDefault="002A12D5" w:rsidP="002A12D5">
      <w:pPr>
        <w:tabs>
          <w:tab w:val="left" w:pos="567"/>
        </w:tabs>
        <w:spacing w:line="360" w:lineRule="auto"/>
        <w:jc w:val="both"/>
        <w:rPr>
          <w:rFonts w:ascii="Book Antiqua" w:hAnsi="Book Antiqua" w:cs="Arial"/>
          <w:b/>
          <w:u w:val="single"/>
        </w:rPr>
      </w:pPr>
      <w:r>
        <w:rPr>
          <w:rFonts w:ascii="Book Antiqua" w:hAnsi="Book Antiqua" w:cs="Arial"/>
          <w:b/>
          <w:u w:val="single"/>
        </w:rPr>
        <w:t>DECISION</w:t>
      </w:r>
    </w:p>
    <w:p w14:paraId="7E783617" w14:textId="77777777" w:rsidR="002A12D5" w:rsidRDefault="002A12D5" w:rsidP="002A12D5">
      <w:pPr>
        <w:tabs>
          <w:tab w:val="left" w:pos="567"/>
        </w:tabs>
        <w:spacing w:line="360" w:lineRule="auto"/>
        <w:jc w:val="both"/>
        <w:rPr>
          <w:rFonts w:ascii="Book Antiqua" w:hAnsi="Book Antiqua" w:cs="Arial"/>
        </w:rPr>
      </w:pPr>
    </w:p>
    <w:p w14:paraId="64C019C6" w14:textId="77777777" w:rsidR="002A12D5" w:rsidRDefault="00826853" w:rsidP="002A12D5">
      <w:pPr>
        <w:tabs>
          <w:tab w:val="left" w:pos="567"/>
        </w:tabs>
        <w:spacing w:line="360" w:lineRule="auto"/>
        <w:jc w:val="both"/>
        <w:rPr>
          <w:rFonts w:ascii="Book Antiqua" w:hAnsi="Book Antiqua" w:cs="Arial"/>
        </w:rPr>
      </w:pPr>
      <w:r>
        <w:rPr>
          <w:rFonts w:ascii="Book Antiqua" w:hAnsi="Book Antiqua" w:cs="Arial"/>
        </w:rPr>
        <w:t xml:space="preserve">The </w:t>
      </w:r>
      <w:r w:rsidR="002A12D5">
        <w:rPr>
          <w:rFonts w:ascii="Book Antiqua" w:hAnsi="Book Antiqua" w:cs="Arial"/>
        </w:rPr>
        <w:t>O</w:t>
      </w:r>
      <w:r>
        <w:rPr>
          <w:rFonts w:ascii="Book Antiqua" w:hAnsi="Book Antiqua" w:cs="Arial"/>
        </w:rPr>
        <w:t>riginal Tribunal’s decision</w:t>
      </w:r>
      <w:r w:rsidR="002D1E6B">
        <w:rPr>
          <w:rFonts w:ascii="Book Antiqua" w:hAnsi="Book Antiqua" w:cs="Arial"/>
        </w:rPr>
        <w:t xml:space="preserve"> on the protection claim </w:t>
      </w:r>
      <w:r>
        <w:rPr>
          <w:rFonts w:ascii="Book Antiqua" w:hAnsi="Book Antiqua" w:cs="Arial"/>
        </w:rPr>
        <w:t xml:space="preserve">does not stand and the matter including the necessity for findings of fact should be addressed in the First-tier Tribunal.  No findings of </w:t>
      </w:r>
      <w:r w:rsidR="002A12D5">
        <w:rPr>
          <w:rFonts w:ascii="Book Antiqua" w:hAnsi="Book Antiqua" w:cs="Arial"/>
        </w:rPr>
        <w:t xml:space="preserve">fact to stand on </w:t>
      </w:r>
      <w:r w:rsidR="00886687">
        <w:rPr>
          <w:rFonts w:ascii="Book Antiqua" w:hAnsi="Book Antiqua" w:cs="Arial"/>
        </w:rPr>
        <w:t>the membership of</w:t>
      </w:r>
      <w:r w:rsidR="00886687" w:rsidRPr="00886687">
        <w:rPr>
          <w:rFonts w:ascii="Book Antiqua" w:hAnsi="Book Antiqua" w:cs="Arial"/>
        </w:rPr>
        <w:t xml:space="preserve"> </w:t>
      </w:r>
      <w:proofErr w:type="spellStart"/>
      <w:r w:rsidR="00886687">
        <w:rPr>
          <w:rFonts w:ascii="Book Antiqua" w:hAnsi="Book Antiqua" w:cs="Arial"/>
        </w:rPr>
        <w:t>Komala</w:t>
      </w:r>
      <w:proofErr w:type="spellEnd"/>
      <w:r w:rsidR="002A12D5">
        <w:rPr>
          <w:rFonts w:ascii="Book Antiqua" w:hAnsi="Book Antiqua" w:cs="Arial"/>
        </w:rPr>
        <w:t>.</w:t>
      </w:r>
    </w:p>
    <w:p w14:paraId="38A99FDD" w14:textId="77777777" w:rsidR="002A12D5" w:rsidRDefault="002A12D5" w:rsidP="002A12D5">
      <w:pPr>
        <w:tabs>
          <w:tab w:val="left" w:pos="567"/>
        </w:tabs>
        <w:spacing w:line="360" w:lineRule="auto"/>
        <w:jc w:val="both"/>
        <w:rPr>
          <w:rFonts w:ascii="Book Antiqua" w:hAnsi="Book Antiqua" w:cs="Arial"/>
        </w:rPr>
      </w:pPr>
    </w:p>
    <w:p w14:paraId="5E66C071" w14:textId="77777777" w:rsidR="00826853" w:rsidRDefault="00826853" w:rsidP="002A12D5">
      <w:pPr>
        <w:tabs>
          <w:tab w:val="left" w:pos="567"/>
        </w:tabs>
        <w:spacing w:line="360" w:lineRule="auto"/>
        <w:jc w:val="both"/>
        <w:rPr>
          <w:rFonts w:ascii="Book Antiqua" w:hAnsi="Book Antiqua" w:cs="Arial"/>
        </w:rPr>
      </w:pPr>
      <w:r>
        <w:rPr>
          <w:rFonts w:ascii="Book Antiqua" w:hAnsi="Book Antiqua" w:cs="Arial"/>
        </w:rPr>
        <w:t xml:space="preserve">The </w:t>
      </w:r>
      <w:r w:rsidR="002A12D5">
        <w:rPr>
          <w:rFonts w:ascii="Book Antiqua" w:hAnsi="Book Antiqua" w:cs="Arial"/>
        </w:rPr>
        <w:t>O</w:t>
      </w:r>
      <w:r>
        <w:rPr>
          <w:rFonts w:ascii="Book Antiqua" w:hAnsi="Book Antiqua" w:cs="Arial"/>
        </w:rPr>
        <w:t>riginal Tribunal’s decision on the Immigration Rules to stand.</w:t>
      </w:r>
    </w:p>
    <w:p w14:paraId="26F1A31E" w14:textId="77777777" w:rsidR="00291A40" w:rsidRDefault="00291A40" w:rsidP="00826853">
      <w:pPr>
        <w:tabs>
          <w:tab w:val="left" w:pos="567"/>
        </w:tabs>
        <w:spacing w:line="360" w:lineRule="auto"/>
        <w:ind w:left="567" w:hanging="567"/>
        <w:jc w:val="both"/>
        <w:rPr>
          <w:rFonts w:ascii="Book Antiqua" w:hAnsi="Book Antiqua" w:cs="Arial"/>
        </w:rPr>
      </w:pPr>
    </w:p>
    <w:p w14:paraId="1F0B773D" w14:textId="77777777" w:rsidR="00291A40" w:rsidRDefault="00291A40" w:rsidP="002A12D5">
      <w:pPr>
        <w:tabs>
          <w:tab w:val="left" w:pos="567"/>
        </w:tabs>
        <w:spacing w:line="360" w:lineRule="auto"/>
        <w:jc w:val="both"/>
        <w:rPr>
          <w:rFonts w:ascii="Book Antiqua" w:hAnsi="Book Antiqua" w:cs="Arial"/>
          <w:color w:val="000000"/>
        </w:rPr>
      </w:pPr>
      <w:r w:rsidRPr="002A12D5">
        <w:rPr>
          <w:rFonts w:ascii="Book Antiqua" w:hAnsi="Book Antiqua" w:cs="Arial"/>
          <w:b/>
          <w:u w:val="single"/>
        </w:rPr>
        <w:t>DIRECTIONS</w:t>
      </w:r>
    </w:p>
    <w:p w14:paraId="15EA21A0" w14:textId="77777777" w:rsidR="00291A40" w:rsidRDefault="00291A40" w:rsidP="002A12D5">
      <w:pPr>
        <w:tabs>
          <w:tab w:val="left" w:pos="567"/>
        </w:tabs>
        <w:spacing w:line="360" w:lineRule="auto"/>
        <w:ind w:left="567" w:hanging="567"/>
        <w:jc w:val="both"/>
        <w:rPr>
          <w:rFonts w:ascii="Book Antiqua" w:hAnsi="Book Antiqua" w:cs="Arial"/>
          <w:color w:val="000000"/>
        </w:rPr>
      </w:pPr>
    </w:p>
    <w:p w14:paraId="5218AF05" w14:textId="77777777" w:rsidR="002A12D5" w:rsidRDefault="002A12D5" w:rsidP="002A12D5">
      <w:pPr>
        <w:tabs>
          <w:tab w:val="left" w:pos="567"/>
        </w:tabs>
        <w:spacing w:line="360" w:lineRule="auto"/>
        <w:ind w:left="567" w:hanging="567"/>
        <w:jc w:val="both"/>
        <w:rPr>
          <w:rFonts w:ascii="Book Antiqua" w:hAnsi="Book Antiqua" w:cs="Arial"/>
          <w:color w:val="000000"/>
        </w:rPr>
      </w:pPr>
      <w:r>
        <w:rPr>
          <w:rFonts w:ascii="Book Antiqua" w:hAnsi="Book Antiqua" w:cs="Arial"/>
          <w:color w:val="000000"/>
        </w:rPr>
        <w:t>(1)</w:t>
      </w:r>
      <w:r>
        <w:rPr>
          <w:rFonts w:ascii="Book Antiqua" w:hAnsi="Book Antiqua" w:cs="Arial"/>
          <w:color w:val="000000"/>
        </w:rPr>
        <w:tab/>
      </w:r>
      <w:r w:rsidR="00291A40">
        <w:rPr>
          <w:rFonts w:ascii="Book Antiqua" w:hAnsi="Book Antiqua" w:cs="Arial"/>
          <w:color w:val="000000"/>
        </w:rPr>
        <w:t>Relist to the First-tier Tribunal</w:t>
      </w:r>
      <w:r>
        <w:rPr>
          <w:rFonts w:ascii="Book Antiqua" w:hAnsi="Book Antiqua" w:cs="Arial"/>
          <w:color w:val="000000"/>
        </w:rPr>
        <w:t xml:space="preserve"> not before Judge K Henderson.</w:t>
      </w:r>
    </w:p>
    <w:p w14:paraId="17FF3FFD" w14:textId="77777777" w:rsidR="002A12D5" w:rsidRDefault="002A12D5" w:rsidP="002A12D5">
      <w:pPr>
        <w:tabs>
          <w:tab w:val="left" w:pos="567"/>
        </w:tabs>
        <w:spacing w:line="360" w:lineRule="auto"/>
        <w:ind w:left="567" w:hanging="567"/>
        <w:jc w:val="both"/>
        <w:rPr>
          <w:rFonts w:ascii="Book Antiqua" w:hAnsi="Book Antiqua" w:cs="Arial"/>
          <w:color w:val="000000"/>
        </w:rPr>
      </w:pPr>
    </w:p>
    <w:p w14:paraId="36469957" w14:textId="77777777" w:rsidR="002A12D5" w:rsidRDefault="002A12D5" w:rsidP="002A12D5">
      <w:pPr>
        <w:tabs>
          <w:tab w:val="left" w:pos="567"/>
        </w:tabs>
        <w:spacing w:line="360" w:lineRule="auto"/>
        <w:ind w:left="567" w:hanging="567"/>
        <w:jc w:val="both"/>
        <w:rPr>
          <w:rFonts w:ascii="Book Antiqua" w:hAnsi="Book Antiqua" w:cs="Arial"/>
          <w:color w:val="000000"/>
        </w:rPr>
      </w:pPr>
      <w:r>
        <w:rPr>
          <w:rFonts w:ascii="Book Antiqua" w:hAnsi="Book Antiqua" w:cs="Arial"/>
          <w:color w:val="000000"/>
        </w:rPr>
        <w:t>(2)</w:t>
      </w:r>
      <w:r>
        <w:rPr>
          <w:rFonts w:ascii="Book Antiqua" w:hAnsi="Book Antiqua" w:cs="Arial"/>
          <w:color w:val="000000"/>
        </w:rPr>
        <w:tab/>
      </w:r>
      <w:r w:rsidR="00291A40">
        <w:rPr>
          <w:rFonts w:ascii="Book Antiqua" w:hAnsi="Book Antiqua" w:cs="Arial"/>
          <w:color w:val="000000"/>
        </w:rPr>
        <w:t>Relist in Bradford unless other</w:t>
      </w:r>
      <w:r>
        <w:rPr>
          <w:rFonts w:ascii="Book Antiqua" w:hAnsi="Book Antiqua" w:cs="Arial"/>
          <w:color w:val="000000"/>
        </w:rPr>
        <w:t>wise directed by the Tribunal.</w:t>
      </w:r>
    </w:p>
    <w:p w14:paraId="4D755C92" w14:textId="77777777" w:rsidR="002A12D5" w:rsidRDefault="002A12D5" w:rsidP="002A12D5">
      <w:pPr>
        <w:tabs>
          <w:tab w:val="left" w:pos="567"/>
        </w:tabs>
        <w:spacing w:line="360" w:lineRule="auto"/>
        <w:ind w:left="567" w:hanging="567"/>
        <w:jc w:val="both"/>
        <w:rPr>
          <w:rFonts w:ascii="Book Antiqua" w:hAnsi="Book Antiqua" w:cs="Arial"/>
          <w:color w:val="000000"/>
        </w:rPr>
      </w:pPr>
    </w:p>
    <w:p w14:paraId="2A6D2F32" w14:textId="77777777" w:rsidR="002A12D5" w:rsidRDefault="002A12D5" w:rsidP="002A12D5">
      <w:pPr>
        <w:tabs>
          <w:tab w:val="left" w:pos="567"/>
        </w:tabs>
        <w:spacing w:line="360" w:lineRule="auto"/>
        <w:ind w:left="567" w:hanging="567"/>
        <w:jc w:val="both"/>
        <w:rPr>
          <w:rFonts w:ascii="Book Antiqua" w:hAnsi="Book Antiqua" w:cs="Arial"/>
          <w:color w:val="000000"/>
        </w:rPr>
      </w:pPr>
      <w:r>
        <w:rPr>
          <w:rFonts w:ascii="Book Antiqua" w:hAnsi="Book Antiqua" w:cs="Arial"/>
          <w:color w:val="000000"/>
        </w:rPr>
        <w:t>(3)</w:t>
      </w:r>
      <w:r>
        <w:rPr>
          <w:rFonts w:ascii="Book Antiqua" w:hAnsi="Book Antiqua" w:cs="Arial"/>
          <w:color w:val="000000"/>
        </w:rPr>
        <w:tab/>
      </w:r>
      <w:r w:rsidR="00291A40">
        <w:rPr>
          <w:rFonts w:ascii="Book Antiqua" w:hAnsi="Book Antiqua" w:cs="Arial"/>
          <w:color w:val="000000"/>
        </w:rPr>
        <w:t xml:space="preserve">Any further evidence to be disclosed together with any further witness statements not less than ten clear working days before the </w:t>
      </w:r>
      <w:r>
        <w:rPr>
          <w:rFonts w:ascii="Book Antiqua" w:hAnsi="Book Antiqua" w:cs="Arial"/>
          <w:color w:val="000000"/>
        </w:rPr>
        <w:t>further hearing of the appeal.</w:t>
      </w:r>
    </w:p>
    <w:p w14:paraId="39B8690E" w14:textId="77777777" w:rsidR="002A12D5" w:rsidRDefault="002A12D5" w:rsidP="002A12D5">
      <w:pPr>
        <w:tabs>
          <w:tab w:val="left" w:pos="567"/>
        </w:tabs>
        <w:spacing w:line="360" w:lineRule="auto"/>
        <w:ind w:left="567" w:hanging="567"/>
        <w:jc w:val="both"/>
        <w:rPr>
          <w:rFonts w:ascii="Book Antiqua" w:hAnsi="Book Antiqua" w:cs="Arial"/>
          <w:color w:val="000000"/>
        </w:rPr>
      </w:pPr>
    </w:p>
    <w:p w14:paraId="72A31A65" w14:textId="77777777" w:rsidR="00291A40" w:rsidRPr="00291A40" w:rsidRDefault="002A12D5" w:rsidP="002A12D5">
      <w:pPr>
        <w:tabs>
          <w:tab w:val="left" w:pos="567"/>
        </w:tabs>
        <w:spacing w:line="360" w:lineRule="auto"/>
        <w:ind w:left="567" w:hanging="567"/>
        <w:jc w:val="both"/>
        <w:rPr>
          <w:rFonts w:ascii="Book Antiqua" w:hAnsi="Book Antiqua" w:cs="Arial"/>
          <w:color w:val="000000"/>
        </w:rPr>
      </w:pPr>
      <w:r>
        <w:rPr>
          <w:rFonts w:ascii="Book Antiqua" w:hAnsi="Book Antiqua" w:cs="Arial"/>
          <w:color w:val="000000"/>
        </w:rPr>
        <w:t>(4)</w:t>
      </w:r>
      <w:r>
        <w:rPr>
          <w:rFonts w:ascii="Book Antiqua" w:hAnsi="Book Antiqua" w:cs="Arial"/>
          <w:color w:val="000000"/>
        </w:rPr>
        <w:tab/>
      </w:r>
      <w:r w:rsidR="00291A40">
        <w:rPr>
          <w:rFonts w:ascii="Book Antiqua" w:hAnsi="Book Antiqua" w:cs="Arial"/>
          <w:color w:val="000000"/>
        </w:rPr>
        <w:t>Any background evidence relied upon to support the claims of risk on return or the absence of risk to be filed not less than ten clear working days before the further hearing.</w:t>
      </w:r>
    </w:p>
    <w:p w14:paraId="76388C80" w14:textId="77777777" w:rsidR="00826853" w:rsidRDefault="00826853" w:rsidP="00291A40">
      <w:pPr>
        <w:tabs>
          <w:tab w:val="left" w:pos="567"/>
        </w:tabs>
        <w:spacing w:line="360" w:lineRule="auto"/>
        <w:jc w:val="both"/>
        <w:rPr>
          <w:rFonts w:ascii="Book Antiqua" w:hAnsi="Book Antiqua" w:cs="Arial"/>
        </w:rPr>
      </w:pPr>
    </w:p>
    <w:p w14:paraId="7272F56C" w14:textId="77777777" w:rsidR="00826853" w:rsidRDefault="00826853" w:rsidP="00291A40">
      <w:pPr>
        <w:keepNext/>
        <w:tabs>
          <w:tab w:val="left" w:pos="567"/>
        </w:tabs>
        <w:spacing w:line="360" w:lineRule="auto"/>
        <w:ind w:left="567" w:hanging="567"/>
        <w:jc w:val="both"/>
        <w:rPr>
          <w:rFonts w:ascii="Book Antiqua" w:hAnsi="Book Antiqua" w:cs="Arial"/>
        </w:rPr>
      </w:pPr>
      <w:r>
        <w:rPr>
          <w:rFonts w:ascii="Book Antiqua" w:hAnsi="Book Antiqua" w:cs="Arial"/>
          <w:b/>
          <w:u w:val="single"/>
        </w:rPr>
        <w:lastRenderedPageBreak/>
        <w:t>ANONYMITY</w:t>
      </w:r>
    </w:p>
    <w:p w14:paraId="3F3E11DE" w14:textId="77777777" w:rsidR="00FB6CE3" w:rsidRDefault="00FB6CE3" w:rsidP="00FB6CE3">
      <w:pPr>
        <w:keepNext/>
        <w:tabs>
          <w:tab w:val="left" w:pos="567"/>
        </w:tabs>
        <w:spacing w:line="360" w:lineRule="auto"/>
        <w:jc w:val="both"/>
        <w:rPr>
          <w:rFonts w:ascii="Book Antiqua" w:hAnsi="Book Antiqua" w:cs="Arial"/>
        </w:rPr>
      </w:pPr>
    </w:p>
    <w:p w14:paraId="4B403F33" w14:textId="77777777" w:rsidR="00826853" w:rsidRPr="00826853" w:rsidRDefault="00826853" w:rsidP="00FB6CE3">
      <w:pPr>
        <w:keepNext/>
        <w:tabs>
          <w:tab w:val="left" w:pos="567"/>
        </w:tabs>
        <w:spacing w:line="360" w:lineRule="auto"/>
        <w:jc w:val="both"/>
        <w:rPr>
          <w:rFonts w:ascii="Book Antiqua" w:hAnsi="Book Antiqua" w:cs="Arial"/>
        </w:rPr>
      </w:pPr>
      <w:r>
        <w:rPr>
          <w:rFonts w:ascii="Book Antiqua" w:hAnsi="Book Antiqua" w:cs="Arial"/>
        </w:rPr>
        <w:t>An anonymity order was made and one is continued.</w:t>
      </w:r>
    </w:p>
    <w:p w14:paraId="7AC5614A" w14:textId="77777777" w:rsidR="000B0A3F" w:rsidRPr="000B0A3F" w:rsidRDefault="000B0A3F" w:rsidP="000B0A3F">
      <w:pPr>
        <w:spacing w:line="360" w:lineRule="auto"/>
        <w:jc w:val="both"/>
        <w:rPr>
          <w:rFonts w:ascii="Book Antiqua" w:hAnsi="Book Antiqua" w:cs="Arial"/>
        </w:rPr>
      </w:pPr>
    </w:p>
    <w:p w14:paraId="013244F4" w14:textId="77777777" w:rsidR="000B0A3F" w:rsidRPr="000B0A3F" w:rsidRDefault="000B0A3F" w:rsidP="000B0A3F">
      <w:pPr>
        <w:spacing w:line="360" w:lineRule="auto"/>
        <w:jc w:val="both"/>
        <w:rPr>
          <w:rFonts w:ascii="Book Antiqua" w:hAnsi="Book Antiqua" w:cs="Arial"/>
        </w:rPr>
      </w:pPr>
      <w:r w:rsidRPr="000B0A3F">
        <w:rPr>
          <w:rFonts w:ascii="Book Antiqua" w:hAnsi="Book Antiqua" w:cs="Arial"/>
          <w:b/>
          <w:u w:val="single"/>
        </w:rPr>
        <w:t>DIRECTION REGARDING ANONYMITY – RULE 14 OF THE TRIBUNAL PROCEDURE (UPPER TRIBUNAL) RULES 2008</w:t>
      </w:r>
    </w:p>
    <w:p w14:paraId="008BFBDE" w14:textId="77777777" w:rsidR="000B0A3F" w:rsidRPr="000B0A3F" w:rsidRDefault="000B0A3F" w:rsidP="000B0A3F">
      <w:pPr>
        <w:spacing w:line="360" w:lineRule="auto"/>
        <w:jc w:val="both"/>
        <w:rPr>
          <w:rFonts w:ascii="Book Antiqua" w:hAnsi="Book Antiqua" w:cs="Arial"/>
        </w:rPr>
      </w:pPr>
    </w:p>
    <w:p w14:paraId="154A221C" w14:textId="77777777" w:rsidR="009F5220" w:rsidRPr="000B0A3F" w:rsidRDefault="000B0A3F" w:rsidP="002D1E6B">
      <w:pPr>
        <w:spacing w:line="360" w:lineRule="auto"/>
        <w:jc w:val="both"/>
        <w:rPr>
          <w:rFonts w:ascii="Book Antiqua" w:hAnsi="Book Antiqua" w:cs="Arial"/>
        </w:rPr>
      </w:pPr>
      <w:r w:rsidRPr="000B0A3F">
        <w:rPr>
          <w:rFonts w:ascii="Book Antiqua" w:hAnsi="Book Antiqua" w:cs="Arial"/>
        </w:rPr>
        <w:t xml:space="preserve">Unless and </w:t>
      </w:r>
      <w:r w:rsidRPr="000B0A3F">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14:paraId="580B3C76" w14:textId="77777777" w:rsidR="001F2716" w:rsidRPr="000B0A3F" w:rsidRDefault="001F2716" w:rsidP="00855C07">
      <w:pPr>
        <w:spacing w:line="360" w:lineRule="auto"/>
        <w:ind w:left="540" w:hanging="540"/>
        <w:jc w:val="both"/>
        <w:rPr>
          <w:rFonts w:ascii="Book Antiqua" w:hAnsi="Book Antiqua" w:cs="Arial"/>
        </w:rPr>
      </w:pPr>
    </w:p>
    <w:p w14:paraId="421B5378" w14:textId="77777777" w:rsidR="000B0A3F" w:rsidRPr="000B0A3F" w:rsidRDefault="000B0A3F" w:rsidP="00855C07">
      <w:pPr>
        <w:spacing w:line="360" w:lineRule="auto"/>
        <w:ind w:left="540" w:hanging="540"/>
        <w:jc w:val="both"/>
        <w:rPr>
          <w:rFonts w:ascii="Book Antiqua" w:hAnsi="Book Antiqua" w:cs="Arial"/>
        </w:rPr>
      </w:pPr>
    </w:p>
    <w:p w14:paraId="2D5E0799" w14:textId="77777777" w:rsidR="00762668" w:rsidRDefault="00762668" w:rsidP="00BC4F94">
      <w:pPr>
        <w:ind w:left="540" w:hanging="540"/>
        <w:jc w:val="both"/>
        <w:rPr>
          <w:rFonts w:ascii="Book Antiqua" w:hAnsi="Book Antiqua" w:cs="Arial"/>
        </w:rPr>
      </w:pPr>
    </w:p>
    <w:p w14:paraId="0B564CBB" w14:textId="77777777" w:rsidR="00762668" w:rsidRDefault="00762668" w:rsidP="00BC4F94">
      <w:pPr>
        <w:ind w:left="540" w:hanging="540"/>
        <w:jc w:val="both"/>
        <w:rPr>
          <w:rFonts w:ascii="Book Antiqua" w:hAnsi="Book Antiqua" w:cs="Arial"/>
        </w:rPr>
      </w:pPr>
    </w:p>
    <w:p w14:paraId="08CA54BD" w14:textId="77777777"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2D1E6B">
        <w:rPr>
          <w:rFonts w:ascii="Book Antiqua" w:hAnsi="Book Antiqua" w:cs="Arial"/>
        </w:rPr>
        <w:t xml:space="preserve"> </w:t>
      </w:r>
      <w:r w:rsidR="00D36ECB">
        <w:rPr>
          <w:rFonts w:ascii="Book Antiqua" w:hAnsi="Book Antiqua" w:cs="Arial"/>
        </w:rPr>
        <w:t>2</w:t>
      </w:r>
      <w:r w:rsidR="002D1E6B">
        <w:rPr>
          <w:rFonts w:ascii="Book Antiqua" w:hAnsi="Book Antiqua" w:cs="Arial"/>
        </w:rPr>
        <w:t>0 August 2018</w:t>
      </w:r>
    </w:p>
    <w:p w14:paraId="55218FFB" w14:textId="77777777" w:rsidR="00B95326" w:rsidRPr="00345D3D" w:rsidRDefault="006D6955" w:rsidP="00762668">
      <w:pPr>
        <w:tabs>
          <w:tab w:val="left" w:pos="2520"/>
        </w:tabs>
        <w:jc w:val="both"/>
        <w:rPr>
          <w:rFonts w:ascii="Book Antiqua" w:hAnsi="Book Antiqua" w:cs="Arial"/>
          <w:color w:val="000000"/>
        </w:rPr>
      </w:pPr>
      <w:r w:rsidRPr="000B0A3F">
        <w:rPr>
          <w:rFonts w:ascii="Book Antiqua" w:hAnsi="Book Antiqua" w:cs="Arial"/>
          <w:color w:val="000000"/>
        </w:rPr>
        <w:t xml:space="preserve">Deputy </w:t>
      </w:r>
      <w:r w:rsidR="00460347" w:rsidRPr="000B0A3F">
        <w:rPr>
          <w:rFonts w:ascii="Book Antiqua" w:hAnsi="Book Antiqua" w:cs="Arial"/>
          <w:color w:val="000000"/>
        </w:rPr>
        <w:t>Upper Tribunal Judge Davey</w:t>
      </w:r>
    </w:p>
    <w:p w14:paraId="039D684E" w14:textId="77777777" w:rsidR="00B95326" w:rsidRPr="000704BB" w:rsidRDefault="00B95326" w:rsidP="00762668">
      <w:pPr>
        <w:tabs>
          <w:tab w:val="left" w:pos="2520"/>
        </w:tabs>
        <w:jc w:val="both"/>
        <w:rPr>
          <w:rFonts w:ascii="Book Antiqua" w:hAnsi="Book Antiqua" w:cs="Arial"/>
        </w:rPr>
        <w:sectPr w:rsidR="00B95326" w:rsidRPr="000704BB" w:rsidSect="00400415">
          <w:headerReference w:type="default" r:id="rId8"/>
          <w:footerReference w:type="default" r:id="rId9"/>
          <w:headerReference w:type="first" r:id="rId10"/>
          <w:footerReference w:type="first" r:id="rId11"/>
          <w:pgSz w:w="11906" w:h="16838"/>
          <w:pgMar w:top="284" w:right="1134" w:bottom="1440" w:left="1134" w:header="709" w:footer="709" w:gutter="0"/>
          <w:cols w:space="708"/>
          <w:titlePg/>
          <w:docGrid w:linePitch="360"/>
        </w:sectPr>
      </w:pPr>
    </w:p>
    <w:p w14:paraId="48B71CD3" w14:textId="77777777" w:rsidR="00B95326" w:rsidRPr="000704BB" w:rsidRDefault="00B95326" w:rsidP="00402B9E">
      <w:pPr>
        <w:tabs>
          <w:tab w:val="left" w:pos="2520"/>
        </w:tabs>
        <w:ind w:left="540" w:hanging="540"/>
        <w:jc w:val="both"/>
        <w:rPr>
          <w:rFonts w:ascii="Book Antiqua" w:hAnsi="Book Antiqua" w:cs="Arial"/>
        </w:rPr>
      </w:pPr>
    </w:p>
    <w:sectPr w:rsidR="00B95326" w:rsidRPr="000704BB" w:rsidSect="00762668">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67D61" w14:textId="77777777" w:rsidR="00407EE1" w:rsidRDefault="00407EE1">
      <w:r>
        <w:separator/>
      </w:r>
    </w:p>
  </w:endnote>
  <w:endnote w:type="continuationSeparator" w:id="0">
    <w:p w14:paraId="7EE8C88E" w14:textId="77777777" w:rsidR="00407EE1" w:rsidRDefault="00407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4B17F" w14:textId="10384EB6" w:rsidR="004319AE" w:rsidRPr="00400415" w:rsidRDefault="004319AE" w:rsidP="00593795">
    <w:pPr>
      <w:pStyle w:val="Footer"/>
      <w:jc w:val="center"/>
      <w:rPr>
        <w:rFonts w:ascii="Book Antiqua" w:hAnsi="Book Antiqua" w:cs="Arial"/>
      </w:rPr>
    </w:pPr>
    <w:r w:rsidRPr="00400415">
      <w:rPr>
        <w:rStyle w:val="PageNumber"/>
        <w:rFonts w:ascii="Book Antiqua" w:hAnsi="Book Antiqua" w:cs="Arial"/>
      </w:rPr>
      <w:fldChar w:fldCharType="begin"/>
    </w:r>
    <w:r w:rsidRPr="00400415">
      <w:rPr>
        <w:rStyle w:val="PageNumber"/>
        <w:rFonts w:ascii="Book Antiqua" w:hAnsi="Book Antiqua" w:cs="Arial"/>
      </w:rPr>
      <w:instrText xml:space="preserve"> PAGE </w:instrText>
    </w:r>
    <w:r w:rsidRPr="00400415">
      <w:rPr>
        <w:rStyle w:val="PageNumber"/>
        <w:rFonts w:ascii="Book Antiqua" w:hAnsi="Book Antiqua" w:cs="Arial"/>
      </w:rPr>
      <w:fldChar w:fldCharType="separate"/>
    </w:r>
    <w:r w:rsidR="003C7BF1">
      <w:rPr>
        <w:rStyle w:val="PageNumber"/>
        <w:rFonts w:ascii="Book Antiqua" w:hAnsi="Book Antiqua" w:cs="Arial"/>
        <w:noProof/>
      </w:rPr>
      <w:t>5</w:t>
    </w:r>
    <w:r w:rsidRPr="0040041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9F5FC" w14:textId="77777777"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596FD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E3389" w14:textId="77777777" w:rsidR="00407EE1" w:rsidRDefault="00407EE1">
      <w:r>
        <w:separator/>
      </w:r>
    </w:p>
  </w:footnote>
  <w:footnote w:type="continuationSeparator" w:id="0">
    <w:p w14:paraId="656C81A4" w14:textId="77777777" w:rsidR="00407EE1" w:rsidRDefault="00407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D17A6" w14:textId="7B3281CC" w:rsidR="004319AE"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0E64CF">
      <w:rPr>
        <w:rFonts w:ascii="Book Antiqua" w:hAnsi="Book Antiqua" w:cs="Arial"/>
        <w:sz w:val="16"/>
        <w:szCs w:val="16"/>
      </w:rPr>
      <w:t>PA/11779/2017</w:t>
    </w:r>
  </w:p>
  <w:p w14:paraId="5BAA70E2" w14:textId="77777777" w:rsidR="00400415" w:rsidRPr="000704BB" w:rsidRDefault="00400415"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EA348" w14:textId="77777777" w:rsidR="004319AE" w:rsidRPr="000704BB" w:rsidRDefault="004319A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4CF"/>
    <w:rsid w:val="00000621"/>
    <w:rsid w:val="000036C2"/>
    <w:rsid w:val="00024B7F"/>
    <w:rsid w:val="00033D3D"/>
    <w:rsid w:val="00062F02"/>
    <w:rsid w:val="000704BB"/>
    <w:rsid w:val="00071A7E"/>
    <w:rsid w:val="000746C0"/>
    <w:rsid w:val="00074D1D"/>
    <w:rsid w:val="00092580"/>
    <w:rsid w:val="00093D4D"/>
    <w:rsid w:val="000B0A3F"/>
    <w:rsid w:val="000C7CCE"/>
    <w:rsid w:val="000D5D94"/>
    <w:rsid w:val="000E64CF"/>
    <w:rsid w:val="000F0B06"/>
    <w:rsid w:val="000F1A0E"/>
    <w:rsid w:val="000F52D4"/>
    <w:rsid w:val="001062BB"/>
    <w:rsid w:val="001165A7"/>
    <w:rsid w:val="00125938"/>
    <w:rsid w:val="00150C5F"/>
    <w:rsid w:val="00151389"/>
    <w:rsid w:val="00167D3A"/>
    <w:rsid w:val="00190911"/>
    <w:rsid w:val="001A3082"/>
    <w:rsid w:val="001B11DF"/>
    <w:rsid w:val="001B186A"/>
    <w:rsid w:val="001B2F75"/>
    <w:rsid w:val="001B659F"/>
    <w:rsid w:val="001C2D96"/>
    <w:rsid w:val="001C5B44"/>
    <w:rsid w:val="001F2716"/>
    <w:rsid w:val="00203FB0"/>
    <w:rsid w:val="00207617"/>
    <w:rsid w:val="0023134B"/>
    <w:rsid w:val="00283659"/>
    <w:rsid w:val="00291A40"/>
    <w:rsid w:val="002A12D5"/>
    <w:rsid w:val="002A1607"/>
    <w:rsid w:val="002C6BD4"/>
    <w:rsid w:val="002D1E6B"/>
    <w:rsid w:val="002D68BF"/>
    <w:rsid w:val="002F4275"/>
    <w:rsid w:val="002F6B98"/>
    <w:rsid w:val="00336CBF"/>
    <w:rsid w:val="00343FE3"/>
    <w:rsid w:val="00345D3D"/>
    <w:rsid w:val="003546C8"/>
    <w:rsid w:val="00365F5E"/>
    <w:rsid w:val="003A7CF2"/>
    <w:rsid w:val="003C2CDB"/>
    <w:rsid w:val="003C5CE5"/>
    <w:rsid w:val="003C7BF1"/>
    <w:rsid w:val="003E092F"/>
    <w:rsid w:val="003E267B"/>
    <w:rsid w:val="003E7CD1"/>
    <w:rsid w:val="00400415"/>
    <w:rsid w:val="00402B9E"/>
    <w:rsid w:val="00407EE1"/>
    <w:rsid w:val="004243E8"/>
    <w:rsid w:val="004249CB"/>
    <w:rsid w:val="004319AE"/>
    <w:rsid w:val="0044127D"/>
    <w:rsid w:val="004448DB"/>
    <w:rsid w:val="00446C9A"/>
    <w:rsid w:val="00452F2B"/>
    <w:rsid w:val="00460347"/>
    <w:rsid w:val="00477193"/>
    <w:rsid w:val="00491F91"/>
    <w:rsid w:val="004A1848"/>
    <w:rsid w:val="004A6F4A"/>
    <w:rsid w:val="004E08A9"/>
    <w:rsid w:val="004E0F3D"/>
    <w:rsid w:val="004E4717"/>
    <w:rsid w:val="00507FEC"/>
    <w:rsid w:val="00510F0E"/>
    <w:rsid w:val="005479E1"/>
    <w:rsid w:val="00550648"/>
    <w:rsid w:val="00553E0A"/>
    <w:rsid w:val="005570FD"/>
    <w:rsid w:val="005575EA"/>
    <w:rsid w:val="0056234C"/>
    <w:rsid w:val="0057790C"/>
    <w:rsid w:val="00593795"/>
    <w:rsid w:val="00596FD5"/>
    <w:rsid w:val="005A75FF"/>
    <w:rsid w:val="005C7C69"/>
    <w:rsid w:val="005D10AB"/>
    <w:rsid w:val="00601D8F"/>
    <w:rsid w:val="00625051"/>
    <w:rsid w:val="00643BFC"/>
    <w:rsid w:val="00653E97"/>
    <w:rsid w:val="006701F7"/>
    <w:rsid w:val="00674FB9"/>
    <w:rsid w:val="00684A74"/>
    <w:rsid w:val="00690B8A"/>
    <w:rsid w:val="006D0A2D"/>
    <w:rsid w:val="006D203F"/>
    <w:rsid w:val="006D3D44"/>
    <w:rsid w:val="006D6955"/>
    <w:rsid w:val="006F2CF1"/>
    <w:rsid w:val="007038ED"/>
    <w:rsid w:val="00703BC3"/>
    <w:rsid w:val="00704B61"/>
    <w:rsid w:val="00723476"/>
    <w:rsid w:val="00731F9D"/>
    <w:rsid w:val="007552A9"/>
    <w:rsid w:val="00761858"/>
    <w:rsid w:val="00762668"/>
    <w:rsid w:val="00767D59"/>
    <w:rsid w:val="00776E97"/>
    <w:rsid w:val="00780F86"/>
    <w:rsid w:val="007912AD"/>
    <w:rsid w:val="00797649"/>
    <w:rsid w:val="007A0B19"/>
    <w:rsid w:val="007B0824"/>
    <w:rsid w:val="007B5D3C"/>
    <w:rsid w:val="007F2A46"/>
    <w:rsid w:val="00806249"/>
    <w:rsid w:val="00821B72"/>
    <w:rsid w:val="00823EF2"/>
    <w:rsid w:val="008262CB"/>
    <w:rsid w:val="00826853"/>
    <w:rsid w:val="008303B8"/>
    <w:rsid w:val="00833DCE"/>
    <w:rsid w:val="00855C07"/>
    <w:rsid w:val="00871D34"/>
    <w:rsid w:val="00876E37"/>
    <w:rsid w:val="00883D05"/>
    <w:rsid w:val="00886687"/>
    <w:rsid w:val="008B270C"/>
    <w:rsid w:val="008B5078"/>
    <w:rsid w:val="008C3D3D"/>
    <w:rsid w:val="008D4131"/>
    <w:rsid w:val="008F1932"/>
    <w:rsid w:val="00902577"/>
    <w:rsid w:val="00921062"/>
    <w:rsid w:val="00922864"/>
    <w:rsid w:val="00931A34"/>
    <w:rsid w:val="00940CB7"/>
    <w:rsid w:val="009722BC"/>
    <w:rsid w:val="009727A3"/>
    <w:rsid w:val="00976910"/>
    <w:rsid w:val="00987774"/>
    <w:rsid w:val="009A11E8"/>
    <w:rsid w:val="009F5220"/>
    <w:rsid w:val="00A15234"/>
    <w:rsid w:val="00A201AB"/>
    <w:rsid w:val="00A31C8B"/>
    <w:rsid w:val="00A37257"/>
    <w:rsid w:val="00A509FA"/>
    <w:rsid w:val="00A705A8"/>
    <w:rsid w:val="00A71C11"/>
    <w:rsid w:val="00A845DC"/>
    <w:rsid w:val="00A928CB"/>
    <w:rsid w:val="00AF3CBE"/>
    <w:rsid w:val="00B26AA2"/>
    <w:rsid w:val="00B3451F"/>
    <w:rsid w:val="00B3524D"/>
    <w:rsid w:val="00B40F69"/>
    <w:rsid w:val="00B46616"/>
    <w:rsid w:val="00B7040A"/>
    <w:rsid w:val="00B83391"/>
    <w:rsid w:val="00B95326"/>
    <w:rsid w:val="00BC4F94"/>
    <w:rsid w:val="00BD122C"/>
    <w:rsid w:val="00BD4196"/>
    <w:rsid w:val="00BF0C4C"/>
    <w:rsid w:val="00BF22CA"/>
    <w:rsid w:val="00BF23BB"/>
    <w:rsid w:val="00C1025B"/>
    <w:rsid w:val="00C26032"/>
    <w:rsid w:val="00C345E1"/>
    <w:rsid w:val="00C43BFD"/>
    <w:rsid w:val="00C77BDD"/>
    <w:rsid w:val="00CB6E35"/>
    <w:rsid w:val="00CC6356"/>
    <w:rsid w:val="00CE1A46"/>
    <w:rsid w:val="00D20757"/>
    <w:rsid w:val="00D22636"/>
    <w:rsid w:val="00D36ECB"/>
    <w:rsid w:val="00D40FD9"/>
    <w:rsid w:val="00D53769"/>
    <w:rsid w:val="00D85C13"/>
    <w:rsid w:val="00D9111A"/>
    <w:rsid w:val="00D91BE3"/>
    <w:rsid w:val="00D94AFC"/>
    <w:rsid w:val="00DB70AE"/>
    <w:rsid w:val="00DC3F2C"/>
    <w:rsid w:val="00DC69F1"/>
    <w:rsid w:val="00DD5071"/>
    <w:rsid w:val="00DD5C39"/>
    <w:rsid w:val="00DE5E10"/>
    <w:rsid w:val="00DE7DB7"/>
    <w:rsid w:val="00E00A0A"/>
    <w:rsid w:val="00E066DE"/>
    <w:rsid w:val="00E07F57"/>
    <w:rsid w:val="00E16EDD"/>
    <w:rsid w:val="00E30683"/>
    <w:rsid w:val="00E453D8"/>
    <w:rsid w:val="00E50BCE"/>
    <w:rsid w:val="00E574BF"/>
    <w:rsid w:val="00E61292"/>
    <w:rsid w:val="00E74E7B"/>
    <w:rsid w:val="00E77C4D"/>
    <w:rsid w:val="00E81D01"/>
    <w:rsid w:val="00E961E5"/>
    <w:rsid w:val="00EA2F7F"/>
    <w:rsid w:val="00EE3064"/>
    <w:rsid w:val="00EE45D8"/>
    <w:rsid w:val="00F22EDA"/>
    <w:rsid w:val="00F63A0B"/>
    <w:rsid w:val="00F76D81"/>
    <w:rsid w:val="00F924A3"/>
    <w:rsid w:val="00FB6CE3"/>
    <w:rsid w:val="00FE03C2"/>
    <w:rsid w:val="00FE5F06"/>
    <w:rsid w:val="00FF1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D4143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Revision">
    <w:name w:val="Revision"/>
    <w:hidden/>
    <w:uiPriority w:val="99"/>
    <w:semiHidden/>
    <w:rsid w:val="009025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46547-E0AD-4FF8-9CBA-E87266ED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1282</Words>
  <Characters>6450</Characters>
  <Application>Microsoft Office Word</Application>
  <DocSecurity>0</DocSecurity>
  <Lines>53</Lines>
  <Paragraphs>15</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2018-10-19T14:55:00Z</dcterms:created>
  <dcterms:modified xsi:type="dcterms:W3CDTF">2018-10-19T14:55:00Z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