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7C19" w14:textId="77777777" w:rsidR="00C321B5" w:rsidRPr="00F5664C" w:rsidRDefault="000A78C7" w:rsidP="00C321B5">
      <w:pPr>
        <w:jc w:val="center"/>
        <w:rPr>
          <w:rFonts w:ascii="Book Antiqua" w:hAnsi="Book Antiqua" w:cs="Arial"/>
          <w:sz w:val="16"/>
          <w:szCs w:val="16"/>
        </w:rPr>
      </w:pPr>
      <w:r>
        <w:rPr>
          <w:noProof/>
        </w:rPr>
        <w:drawing>
          <wp:inline distT="0" distB="0" distL="0" distR="0" wp14:anchorId="6561E6B6" wp14:editId="29FDB5F5">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22CCFF3E"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D68B994" w14:textId="253A6F7E"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86688">
        <w:rPr>
          <w:rFonts w:ascii="Book Antiqua" w:hAnsi="Book Antiqua" w:cs="Arial"/>
          <w:b/>
        </w:rPr>
        <w:t xml:space="preserve">   </w:t>
      </w:r>
      <w:proofErr w:type="gramEnd"/>
      <w:r w:rsidR="00286688">
        <w:rPr>
          <w:rFonts w:ascii="Book Antiqua" w:hAnsi="Book Antiqua" w:cs="Arial"/>
          <w:b/>
        </w:rPr>
        <w:t xml:space="preserve">                   </w:t>
      </w:r>
      <w:r w:rsidR="00B3524D" w:rsidRPr="00286688">
        <w:rPr>
          <w:rFonts w:ascii="Book Antiqua" w:hAnsi="Book Antiqua" w:cs="Arial"/>
          <w:b/>
        </w:rPr>
        <w:t>Appeal Number</w:t>
      </w:r>
      <w:r w:rsidR="00D53769" w:rsidRPr="00286688">
        <w:rPr>
          <w:rFonts w:ascii="Book Antiqua" w:hAnsi="Book Antiqua" w:cs="Arial"/>
          <w:b/>
        </w:rPr>
        <w:t>:</w:t>
      </w:r>
      <w:r w:rsidR="00B3524D" w:rsidRPr="00286688">
        <w:rPr>
          <w:rFonts w:ascii="Book Antiqua" w:hAnsi="Book Antiqua" w:cs="Arial"/>
          <w:b/>
        </w:rPr>
        <w:t xml:space="preserve"> </w:t>
      </w:r>
      <w:r w:rsidR="005B78C3" w:rsidRPr="00286688">
        <w:rPr>
          <w:rFonts w:ascii="Book Antiqua" w:hAnsi="Book Antiqua" w:cs="Arial"/>
          <w:b/>
          <w:caps/>
        </w:rPr>
        <w:t>PA/11802/2016</w:t>
      </w:r>
    </w:p>
    <w:p w14:paraId="25A42441" w14:textId="77777777" w:rsidR="00C345E1" w:rsidRPr="00F5664C" w:rsidRDefault="00C345E1" w:rsidP="00C345E1">
      <w:pPr>
        <w:jc w:val="center"/>
        <w:rPr>
          <w:rFonts w:ascii="Book Antiqua" w:hAnsi="Book Antiqua" w:cs="Arial"/>
        </w:rPr>
      </w:pPr>
    </w:p>
    <w:p w14:paraId="63C7231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E7ABB51"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F5664C" w14:paraId="74B9530E" w14:textId="77777777" w:rsidTr="002909D3">
        <w:tc>
          <w:tcPr>
            <w:tcW w:w="5098" w:type="dxa"/>
          </w:tcPr>
          <w:p w14:paraId="7570F3E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5B78C3">
              <w:rPr>
                <w:rFonts w:ascii="Book Antiqua" w:hAnsi="Book Antiqua" w:cs="Arial"/>
                <w:b/>
              </w:rPr>
              <w:t>Centre City Tower, Birmingham</w:t>
            </w:r>
          </w:p>
        </w:tc>
        <w:tc>
          <w:tcPr>
            <w:tcW w:w="4910" w:type="dxa"/>
            <w:gridSpan w:val="2"/>
          </w:tcPr>
          <w:p w14:paraId="0949F143" w14:textId="77A9BCD1" w:rsidR="00D22636" w:rsidRPr="00F5664C" w:rsidRDefault="00286688"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14C6FFD" w14:textId="77777777" w:rsidTr="002909D3">
        <w:tc>
          <w:tcPr>
            <w:tcW w:w="5098" w:type="dxa"/>
          </w:tcPr>
          <w:p w14:paraId="04B4376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B78C3">
              <w:rPr>
                <w:rFonts w:ascii="Book Antiqua" w:hAnsi="Book Antiqua" w:cs="Arial"/>
                <w:b/>
              </w:rPr>
              <w:t>8</w:t>
            </w:r>
            <w:r w:rsidR="005B78C3" w:rsidRPr="005B78C3">
              <w:rPr>
                <w:rFonts w:ascii="Book Antiqua" w:hAnsi="Book Antiqua" w:cs="Arial"/>
                <w:b/>
                <w:vertAlign w:val="superscript"/>
              </w:rPr>
              <w:t>th</w:t>
            </w:r>
            <w:r w:rsidR="005B78C3">
              <w:rPr>
                <w:rFonts w:ascii="Book Antiqua" w:hAnsi="Book Antiqua" w:cs="Arial"/>
                <w:b/>
              </w:rPr>
              <w:t xml:space="preserve"> May 2018</w:t>
            </w:r>
          </w:p>
        </w:tc>
        <w:tc>
          <w:tcPr>
            <w:tcW w:w="4910" w:type="dxa"/>
            <w:gridSpan w:val="2"/>
          </w:tcPr>
          <w:p w14:paraId="10BD17F3" w14:textId="2628944A" w:rsidR="00D22636" w:rsidRPr="00F5664C" w:rsidRDefault="00286688" w:rsidP="004A1848">
            <w:pPr>
              <w:jc w:val="both"/>
              <w:rPr>
                <w:rFonts w:ascii="Book Antiqua" w:hAnsi="Book Antiqua" w:cs="Arial"/>
                <w:b/>
              </w:rPr>
            </w:pPr>
            <w:r>
              <w:rPr>
                <w:rFonts w:ascii="Book Antiqua" w:hAnsi="Book Antiqua" w:cs="Arial"/>
                <w:b/>
              </w:rPr>
              <w:t xml:space="preserve"> </w:t>
            </w:r>
            <w:r w:rsidR="002909D3">
              <w:rPr>
                <w:rFonts w:ascii="Book Antiqua" w:hAnsi="Book Antiqua" w:cs="Arial"/>
                <w:b/>
              </w:rPr>
              <w:t>On 7</w:t>
            </w:r>
            <w:r w:rsidR="002909D3" w:rsidRPr="002909D3">
              <w:rPr>
                <w:rFonts w:ascii="Book Antiqua" w:hAnsi="Book Antiqua" w:cs="Arial"/>
                <w:b/>
                <w:vertAlign w:val="superscript"/>
              </w:rPr>
              <w:t>th</w:t>
            </w:r>
            <w:r w:rsidR="002909D3">
              <w:rPr>
                <w:rFonts w:ascii="Book Antiqua" w:hAnsi="Book Antiqua" w:cs="Arial"/>
                <w:b/>
              </w:rPr>
              <w:t xml:space="preserve"> </w:t>
            </w:r>
            <w:r w:rsidR="009F78D8">
              <w:rPr>
                <w:rFonts w:ascii="Book Antiqua" w:hAnsi="Book Antiqua" w:cs="Arial"/>
                <w:b/>
              </w:rPr>
              <w:t>June</w:t>
            </w:r>
            <w:r w:rsidR="002909D3">
              <w:rPr>
                <w:rFonts w:ascii="Book Antiqua" w:hAnsi="Book Antiqua" w:cs="Arial"/>
                <w:b/>
              </w:rPr>
              <w:t xml:space="preserve"> 2018</w:t>
            </w:r>
          </w:p>
        </w:tc>
      </w:tr>
      <w:tr w:rsidR="002909D3" w:rsidRPr="00F5664C" w14:paraId="6C34B7A5" w14:textId="77777777" w:rsidTr="00F13D39">
        <w:trPr>
          <w:gridAfter w:val="1"/>
          <w:wAfter w:w="3960" w:type="dxa"/>
        </w:trPr>
        <w:tc>
          <w:tcPr>
            <w:tcW w:w="6048" w:type="dxa"/>
            <w:gridSpan w:val="2"/>
          </w:tcPr>
          <w:p w14:paraId="2C7104EB" w14:textId="77777777" w:rsidR="002909D3" w:rsidRPr="00F5664C" w:rsidRDefault="002909D3" w:rsidP="004A1848">
            <w:pPr>
              <w:jc w:val="both"/>
              <w:rPr>
                <w:rFonts w:ascii="Book Antiqua" w:hAnsi="Book Antiqua" w:cs="Arial"/>
                <w:b/>
              </w:rPr>
            </w:pPr>
          </w:p>
        </w:tc>
      </w:tr>
    </w:tbl>
    <w:p w14:paraId="7746E7C6" w14:textId="77777777" w:rsidR="00A15234" w:rsidRPr="00F5664C" w:rsidRDefault="00A15234" w:rsidP="00A15234">
      <w:pPr>
        <w:jc w:val="center"/>
        <w:rPr>
          <w:rFonts w:ascii="Book Antiqua" w:hAnsi="Book Antiqua" w:cs="Arial"/>
        </w:rPr>
      </w:pPr>
    </w:p>
    <w:p w14:paraId="763690C3"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65C702B" w14:textId="77777777" w:rsidR="00A15234" w:rsidRPr="00F5664C" w:rsidRDefault="00A15234" w:rsidP="00A15234">
      <w:pPr>
        <w:jc w:val="center"/>
        <w:rPr>
          <w:rFonts w:ascii="Book Antiqua" w:hAnsi="Book Antiqua" w:cs="Arial"/>
          <w:b/>
        </w:rPr>
      </w:pPr>
    </w:p>
    <w:p w14:paraId="4347E7AE"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006BE764" w14:textId="77777777" w:rsidR="005B78C3" w:rsidRPr="00F5664C" w:rsidRDefault="005B78C3" w:rsidP="00A15234">
      <w:pPr>
        <w:jc w:val="center"/>
        <w:rPr>
          <w:rFonts w:ascii="Book Antiqua" w:hAnsi="Book Antiqua" w:cs="Arial"/>
          <w:b/>
        </w:rPr>
      </w:pPr>
    </w:p>
    <w:p w14:paraId="46989F6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826FA9E" w14:textId="77777777" w:rsidR="00A845DC" w:rsidRPr="00F5664C" w:rsidRDefault="00A845DC" w:rsidP="00A15234">
      <w:pPr>
        <w:jc w:val="center"/>
        <w:rPr>
          <w:rFonts w:ascii="Book Antiqua" w:hAnsi="Book Antiqua" w:cs="Arial"/>
          <w:b/>
        </w:rPr>
      </w:pPr>
    </w:p>
    <w:p w14:paraId="3A697569" w14:textId="77777777" w:rsidR="00742A8D" w:rsidRDefault="005B78C3" w:rsidP="00742A8D">
      <w:pPr>
        <w:jc w:val="center"/>
        <w:rPr>
          <w:rFonts w:ascii="Book Antiqua" w:hAnsi="Book Antiqua" w:cs="Arial"/>
          <w:b/>
          <w:caps/>
        </w:rPr>
      </w:pPr>
      <w:r>
        <w:rPr>
          <w:rFonts w:ascii="Book Antiqua" w:hAnsi="Book Antiqua" w:cs="Arial"/>
          <w:b/>
          <w:caps/>
        </w:rPr>
        <w:t>d a m</w:t>
      </w:r>
    </w:p>
    <w:p w14:paraId="7ACA1A34" w14:textId="77777777" w:rsidR="00F13D39" w:rsidRPr="00286688" w:rsidRDefault="00F13D39" w:rsidP="00F13D39">
      <w:pPr>
        <w:jc w:val="center"/>
        <w:rPr>
          <w:rFonts w:ascii="Book Antiqua" w:hAnsi="Book Antiqua" w:cs="Arial"/>
          <w:caps/>
        </w:rPr>
      </w:pPr>
      <w:r w:rsidRPr="00286688">
        <w:rPr>
          <w:rFonts w:ascii="Book Antiqua" w:hAnsi="Book Antiqua" w:cs="Arial"/>
          <w:caps/>
        </w:rPr>
        <w:t xml:space="preserve">(ANONYMITY DIRECTION </w:t>
      </w:r>
      <w:r w:rsidR="005B78C3" w:rsidRPr="00286688">
        <w:rPr>
          <w:rFonts w:ascii="Book Antiqua" w:hAnsi="Book Antiqua" w:cs="Arial"/>
          <w:caps/>
        </w:rPr>
        <w:t>made</w:t>
      </w:r>
      <w:r w:rsidRPr="00286688">
        <w:rPr>
          <w:rFonts w:ascii="Book Antiqua" w:hAnsi="Book Antiqua" w:cs="Arial"/>
          <w:caps/>
        </w:rPr>
        <w:t>)</w:t>
      </w:r>
    </w:p>
    <w:p w14:paraId="365C2DA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9506E1C" w14:textId="77777777" w:rsidR="006D1DFA" w:rsidRPr="00F5664C" w:rsidRDefault="006D1DFA" w:rsidP="00704B61">
      <w:pPr>
        <w:jc w:val="center"/>
        <w:rPr>
          <w:rFonts w:ascii="Book Antiqua" w:hAnsi="Book Antiqua" w:cs="Arial"/>
          <w:b/>
        </w:rPr>
      </w:pPr>
    </w:p>
    <w:p w14:paraId="6D9CE71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75B0D31" w14:textId="568C948C" w:rsidR="00DD5071" w:rsidRDefault="00DD5071" w:rsidP="00704B61">
      <w:pPr>
        <w:jc w:val="center"/>
        <w:rPr>
          <w:rFonts w:ascii="Book Antiqua" w:hAnsi="Book Antiqua" w:cs="Arial"/>
          <w:b/>
        </w:rPr>
      </w:pPr>
    </w:p>
    <w:p w14:paraId="6A2B9A1F" w14:textId="46DF8B85" w:rsidR="00286688" w:rsidRPr="00F5664C" w:rsidRDefault="00286688" w:rsidP="00704B61">
      <w:pPr>
        <w:jc w:val="center"/>
        <w:rPr>
          <w:rFonts w:ascii="Book Antiqua" w:hAnsi="Book Antiqua" w:cs="Arial"/>
          <w:b/>
        </w:rPr>
      </w:pPr>
      <w:r>
        <w:rPr>
          <w:rFonts w:ascii="Book Antiqua" w:hAnsi="Book Antiqua" w:cs="Arial"/>
          <w:b/>
        </w:rPr>
        <w:t>THE SECRETARY OF STATE FOR THE HOME DEPARTMENT</w:t>
      </w:r>
    </w:p>
    <w:p w14:paraId="75EA8C9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21F8293" w14:textId="77777777" w:rsidR="00DD5071" w:rsidRPr="00F5664C" w:rsidRDefault="00DD5071" w:rsidP="00DD5071">
      <w:pPr>
        <w:rPr>
          <w:rFonts w:ascii="Book Antiqua" w:hAnsi="Book Antiqua" w:cs="Arial"/>
          <w:u w:val="single"/>
        </w:rPr>
      </w:pPr>
    </w:p>
    <w:p w14:paraId="4DE10A7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D5B082A" w14:textId="77777777" w:rsidR="00DE7DB7" w:rsidRPr="00F5664C" w:rsidRDefault="00DE7DB7" w:rsidP="00DD5071">
      <w:pPr>
        <w:rPr>
          <w:rFonts w:ascii="Book Antiqua" w:hAnsi="Book Antiqua" w:cs="Arial"/>
        </w:rPr>
      </w:pPr>
    </w:p>
    <w:p w14:paraId="38550F0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B78C3">
        <w:rPr>
          <w:rFonts w:ascii="Book Antiqua" w:hAnsi="Book Antiqua" w:cs="Arial"/>
        </w:rPr>
        <w:t>Mr B Bedford of Counsel instructed by Sultan Lloyd Solicitors</w:t>
      </w:r>
    </w:p>
    <w:p w14:paraId="322F0664" w14:textId="1E0F1EF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B78C3">
        <w:rPr>
          <w:rFonts w:ascii="Book Antiqua" w:hAnsi="Book Antiqua" w:cs="Arial"/>
        </w:rPr>
        <w:t xml:space="preserve">Mrs H </w:t>
      </w:r>
      <w:proofErr w:type="spellStart"/>
      <w:r w:rsidR="005B78C3">
        <w:rPr>
          <w:rFonts w:ascii="Book Antiqua" w:hAnsi="Book Antiqua" w:cs="Arial"/>
        </w:rPr>
        <w:t>Aboni</w:t>
      </w:r>
      <w:proofErr w:type="spellEnd"/>
      <w:r w:rsidR="005B78C3">
        <w:rPr>
          <w:rFonts w:ascii="Book Antiqua" w:hAnsi="Book Antiqua" w:cs="Arial"/>
        </w:rPr>
        <w:t>, Senior Home Office Presenting Officer</w:t>
      </w:r>
    </w:p>
    <w:p w14:paraId="51150BA9" w14:textId="77777777" w:rsidR="00DE7DB7" w:rsidRPr="00F5664C" w:rsidRDefault="00DE7DB7" w:rsidP="00402B9E">
      <w:pPr>
        <w:tabs>
          <w:tab w:val="left" w:pos="2520"/>
        </w:tabs>
        <w:jc w:val="center"/>
        <w:rPr>
          <w:rFonts w:ascii="Book Antiqua" w:hAnsi="Book Antiqua" w:cs="Arial"/>
        </w:rPr>
      </w:pPr>
    </w:p>
    <w:p w14:paraId="2F6D2A5D" w14:textId="77777777" w:rsidR="00DE7DB7" w:rsidRPr="00F5664C" w:rsidRDefault="00DE7DB7" w:rsidP="00402B9E">
      <w:pPr>
        <w:tabs>
          <w:tab w:val="left" w:pos="2520"/>
        </w:tabs>
        <w:jc w:val="center"/>
        <w:rPr>
          <w:rFonts w:ascii="Book Antiqua" w:hAnsi="Book Antiqua" w:cs="Arial"/>
        </w:rPr>
      </w:pPr>
    </w:p>
    <w:p w14:paraId="09FEEEB5"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4183CB8" w14:textId="77777777" w:rsidR="00B626FA" w:rsidRDefault="00B626FA" w:rsidP="00402B9E">
      <w:pPr>
        <w:tabs>
          <w:tab w:val="left" w:pos="2520"/>
        </w:tabs>
        <w:jc w:val="both"/>
        <w:rPr>
          <w:rFonts w:ascii="Book Antiqua" w:hAnsi="Book Antiqua" w:cs="Arial"/>
        </w:rPr>
      </w:pPr>
    </w:p>
    <w:p w14:paraId="00DE23B5" w14:textId="77777777" w:rsidR="005B78C3" w:rsidRPr="005B78C3" w:rsidRDefault="005B78C3" w:rsidP="00402B9E">
      <w:pPr>
        <w:tabs>
          <w:tab w:val="left" w:pos="2520"/>
        </w:tabs>
        <w:jc w:val="both"/>
        <w:rPr>
          <w:rFonts w:ascii="Book Antiqua" w:hAnsi="Book Antiqua" w:cs="Arial"/>
          <w:b/>
        </w:rPr>
      </w:pPr>
      <w:r w:rsidRPr="005B78C3">
        <w:rPr>
          <w:rFonts w:ascii="Book Antiqua" w:hAnsi="Book Antiqua" w:cs="Arial"/>
          <w:b/>
        </w:rPr>
        <w:t>Introduction and Background</w:t>
      </w:r>
    </w:p>
    <w:p w14:paraId="650C8775" w14:textId="12A87891" w:rsidR="005E5DFF" w:rsidRDefault="005B78C3"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w:t>
      </w:r>
      <w:proofErr w:type="spellStart"/>
      <w:r>
        <w:rPr>
          <w:rFonts w:ascii="Book Antiqua" w:hAnsi="Book Antiqua" w:cs="Arial"/>
        </w:rPr>
        <w:t>Asjad</w:t>
      </w:r>
      <w:proofErr w:type="spellEnd"/>
      <w:r>
        <w:rPr>
          <w:rFonts w:ascii="Book Antiqua" w:hAnsi="Book Antiqua" w:cs="Arial"/>
        </w:rPr>
        <w:t xml:space="preserve"> (the judge) of the First-tier Tribunal (the FTT) promulgated on 23</w:t>
      </w:r>
      <w:r w:rsidRPr="005B78C3">
        <w:rPr>
          <w:rFonts w:ascii="Book Antiqua" w:hAnsi="Book Antiqua" w:cs="Arial"/>
          <w:vertAlign w:val="superscript"/>
        </w:rPr>
        <w:t>rd</w:t>
      </w:r>
      <w:r>
        <w:rPr>
          <w:rFonts w:ascii="Book Antiqua" w:hAnsi="Book Antiqua" w:cs="Arial"/>
        </w:rPr>
        <w:t xml:space="preserve"> May 2017.  </w:t>
      </w:r>
    </w:p>
    <w:p w14:paraId="2CB56FE5"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t>The Appellant is a Somalian national.  He entered the UK on 16</w:t>
      </w:r>
      <w:r w:rsidRPr="005B78C3">
        <w:rPr>
          <w:rFonts w:ascii="Book Antiqua" w:hAnsi="Book Antiqua" w:cs="Arial"/>
          <w:vertAlign w:val="superscript"/>
        </w:rPr>
        <w:t>th</w:t>
      </w:r>
      <w:r>
        <w:rPr>
          <w:rFonts w:ascii="Book Antiqua" w:hAnsi="Book Antiqua" w:cs="Arial"/>
        </w:rPr>
        <w:t xml:space="preserve"> April 2016 and claimed asylum.  His wife and six children are dependants in his claim.  </w:t>
      </w:r>
    </w:p>
    <w:p w14:paraId="479261B5"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t>The application was refused on 14</w:t>
      </w:r>
      <w:r w:rsidRPr="005B78C3">
        <w:rPr>
          <w:rFonts w:ascii="Book Antiqua" w:hAnsi="Book Antiqua" w:cs="Arial"/>
          <w:vertAlign w:val="superscript"/>
        </w:rPr>
        <w:t>th</w:t>
      </w:r>
      <w:r>
        <w:rPr>
          <w:rFonts w:ascii="Book Antiqua" w:hAnsi="Book Antiqua" w:cs="Arial"/>
        </w:rPr>
        <w:t xml:space="preserve"> October 2016 and the Appellant appealed to the FTT.  </w:t>
      </w:r>
    </w:p>
    <w:p w14:paraId="55BB3B76"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lastRenderedPageBreak/>
        <w:t>The appeal was heard on 20</w:t>
      </w:r>
      <w:r w:rsidRPr="005B78C3">
        <w:rPr>
          <w:rFonts w:ascii="Book Antiqua" w:hAnsi="Book Antiqua" w:cs="Arial"/>
          <w:vertAlign w:val="superscript"/>
        </w:rPr>
        <w:t>th</w:t>
      </w:r>
      <w:r>
        <w:rPr>
          <w:rFonts w:ascii="Book Antiqua" w:hAnsi="Book Antiqua" w:cs="Arial"/>
        </w:rPr>
        <w:t xml:space="preserve"> April 2017 and dismissed.  The Appellant applied </w:t>
      </w:r>
      <w:bookmarkStart w:id="0" w:name="_GoBack"/>
      <w:bookmarkEnd w:id="0"/>
      <w:r>
        <w:rPr>
          <w:rFonts w:ascii="Book Antiqua" w:hAnsi="Book Antiqua" w:cs="Arial"/>
        </w:rPr>
        <w:t xml:space="preserve">for permission to appeal and the grounds are summarised below.  </w:t>
      </w:r>
    </w:p>
    <w:p w14:paraId="0AE50E7D"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erred </w:t>
      </w:r>
      <w:r w:rsidR="00DE45C5">
        <w:rPr>
          <w:rFonts w:ascii="Book Antiqua" w:hAnsi="Book Antiqua" w:cs="Arial"/>
        </w:rPr>
        <w:t xml:space="preserve">in </w:t>
      </w:r>
      <w:r>
        <w:rPr>
          <w:rFonts w:ascii="Book Antiqua" w:hAnsi="Book Antiqua" w:cs="Arial"/>
        </w:rPr>
        <w:t>law in rejecting the Appellant’s account of the persecution and reprisal he suffered in earl</w:t>
      </w:r>
      <w:r w:rsidR="0026372D">
        <w:rPr>
          <w:rFonts w:ascii="Book Antiqua" w:hAnsi="Book Antiqua" w:cs="Arial"/>
        </w:rPr>
        <w:t xml:space="preserve">y 2016 for refusing to join or </w:t>
      </w:r>
      <w:r>
        <w:rPr>
          <w:rFonts w:ascii="Book Antiqua" w:hAnsi="Book Antiqua" w:cs="Arial"/>
        </w:rPr>
        <w:t xml:space="preserve">support Al Shabab’s insurgency without </w:t>
      </w:r>
      <w:proofErr w:type="gramStart"/>
      <w:r>
        <w:rPr>
          <w:rFonts w:ascii="Book Antiqua" w:hAnsi="Book Antiqua" w:cs="Arial"/>
        </w:rPr>
        <w:t>taking into account</w:t>
      </w:r>
      <w:proofErr w:type="gramEnd"/>
      <w:r>
        <w:rPr>
          <w:rFonts w:ascii="Book Antiqua" w:hAnsi="Book Antiqua" w:cs="Arial"/>
        </w:rPr>
        <w:t xml:space="preserve"> objective country information supplied by </w:t>
      </w:r>
      <w:r w:rsidR="00DE45C5">
        <w:rPr>
          <w:rFonts w:ascii="Book Antiqua" w:hAnsi="Book Antiqua" w:cs="Arial"/>
        </w:rPr>
        <w:t xml:space="preserve">and </w:t>
      </w:r>
      <w:r>
        <w:rPr>
          <w:rFonts w:ascii="Book Antiqua" w:hAnsi="Book Antiqua" w:cs="Arial"/>
        </w:rPr>
        <w:t xml:space="preserve">relied upon by the Appellant.  This objective country information was attached to the Appellant’s skeleton argument, which was before the FTT.  </w:t>
      </w:r>
    </w:p>
    <w:p w14:paraId="1069851D"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erred at paragraph 16 in </w:t>
      </w:r>
      <w:proofErr w:type="gramStart"/>
      <w:r>
        <w:rPr>
          <w:rFonts w:ascii="Book Antiqua" w:hAnsi="Book Antiqua" w:cs="Arial"/>
        </w:rPr>
        <w:t>taking into account</w:t>
      </w:r>
      <w:proofErr w:type="gramEnd"/>
      <w:r>
        <w:rPr>
          <w:rFonts w:ascii="Book Antiqua" w:hAnsi="Book Antiqua" w:cs="Arial"/>
        </w:rPr>
        <w:t xml:space="preserve"> only the country evidence referred to by the Respondent in the refusal decision dated 14</w:t>
      </w:r>
      <w:r w:rsidRPr="005B78C3">
        <w:rPr>
          <w:rFonts w:ascii="Book Antiqua" w:hAnsi="Book Antiqua" w:cs="Arial"/>
          <w:vertAlign w:val="superscript"/>
        </w:rPr>
        <w:t>th</w:t>
      </w:r>
      <w:r>
        <w:rPr>
          <w:rFonts w:ascii="Book Antiqua" w:hAnsi="Book Antiqua" w:cs="Arial"/>
        </w:rPr>
        <w:t xml:space="preserve"> October 2016.  Unlike the country evidence adduced by the Appellant, the Respondent’s country evidence did not go to the question of whether there was an insurgency in the Appellant’s home area in early 2016.  </w:t>
      </w:r>
    </w:p>
    <w:p w14:paraId="3B2469C0" w14:textId="77777777" w:rsidR="005B78C3" w:rsidRDefault="005B78C3" w:rsidP="005E5DFF">
      <w:pPr>
        <w:numPr>
          <w:ilvl w:val="0"/>
          <w:numId w:val="3"/>
        </w:numPr>
        <w:spacing w:before="240"/>
        <w:jc w:val="both"/>
        <w:rPr>
          <w:rFonts w:ascii="Book Antiqua" w:hAnsi="Book Antiqua" w:cs="Arial"/>
        </w:rPr>
      </w:pPr>
      <w:r>
        <w:rPr>
          <w:rFonts w:ascii="Book Antiqua" w:hAnsi="Book Antiqua" w:cs="Arial"/>
        </w:rPr>
        <w:t xml:space="preserve">It was also contended that the judge erred materially in failing to decide whether the Appellant was a minority clan member when assessing whether there was a reasonable internal relocation option to Mogadishu.  It was submitted that the country guidance case of </w:t>
      </w:r>
      <w:r w:rsidRPr="0026372D">
        <w:rPr>
          <w:rFonts w:ascii="Book Antiqua" w:hAnsi="Book Antiqua" w:cs="Arial"/>
          <w:u w:val="single"/>
        </w:rPr>
        <w:t>MOJ</w:t>
      </w:r>
      <w:r w:rsidR="00A26B82">
        <w:rPr>
          <w:rFonts w:ascii="Book Antiqua" w:hAnsi="Book Antiqua" w:cs="Arial"/>
        </w:rPr>
        <w:t xml:space="preserve"> (Return</w:t>
      </w:r>
      <w:r w:rsidRPr="0026372D">
        <w:rPr>
          <w:rFonts w:ascii="Book Antiqua" w:hAnsi="Book Antiqua" w:cs="Arial"/>
        </w:rPr>
        <w:t xml:space="preserve"> to Mogadishu) Somalia CG [2014] UKUT 00442</w:t>
      </w:r>
      <w:r w:rsidRPr="005B78C3">
        <w:rPr>
          <w:rFonts w:ascii="Book Antiqua" w:hAnsi="Book Antiqua" w:cs="Arial"/>
          <w:b/>
        </w:rPr>
        <w:t xml:space="preserve"> </w:t>
      </w:r>
      <w:r>
        <w:rPr>
          <w:rFonts w:ascii="Book Antiqua" w:hAnsi="Book Antiqua" w:cs="Arial"/>
        </w:rPr>
        <w:t xml:space="preserve">directs the Tribunal to have regard to the insurmountable obstacles to return to Mogadishu for minority clan members generally.  </w:t>
      </w:r>
    </w:p>
    <w:p w14:paraId="7EF9B7C6" w14:textId="7D2089ED" w:rsidR="005B78C3" w:rsidRDefault="0026372D"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materially erred at paragraph 18 by failing to </w:t>
      </w:r>
      <w:proofErr w:type="gramStart"/>
      <w:r>
        <w:rPr>
          <w:rFonts w:ascii="Book Antiqua" w:hAnsi="Book Antiqua" w:cs="Arial"/>
        </w:rPr>
        <w:t>take into account</w:t>
      </w:r>
      <w:proofErr w:type="gramEnd"/>
      <w:r>
        <w:rPr>
          <w:rFonts w:ascii="Book Antiqua" w:hAnsi="Book Antiqua" w:cs="Arial"/>
        </w:rPr>
        <w:t xml:space="preserve"> that the Appellant would be returning to Mogadishu after an absence of twenty years, and would be returning with a wife and six children, one of whom needs ongoing medical attention.  It was submitted that the judge had failed to provide adequate reasons as to how the Appellant would establish a home and a living for himself and his dependants in the absence of family or clan support.  It was submitted that the judge had materially erred in considering that the country guidance decision indicates that the Appellant could obtain support in Mogadishu f</w:t>
      </w:r>
      <w:r w:rsidR="00F22E53">
        <w:rPr>
          <w:rFonts w:ascii="Book Antiqua" w:hAnsi="Book Antiqua" w:cs="Arial"/>
        </w:rPr>
        <w:t>rom</w:t>
      </w:r>
      <w:r>
        <w:rPr>
          <w:rFonts w:ascii="Book Antiqua" w:hAnsi="Book Antiqua" w:cs="Arial"/>
        </w:rPr>
        <w:t xml:space="preserve"> members of his own minority clan.  The judge had erred by failing to explain why the Appellant’s friend could prevent the Appellant and his dependants from having to live in unacceptable makeshift conditions in an IDP camp.  </w:t>
      </w:r>
    </w:p>
    <w:p w14:paraId="4D0C1CA4" w14:textId="77777777"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Upper Tribunal Judge Canavan in the following terms; </w:t>
      </w:r>
    </w:p>
    <w:p w14:paraId="64B3A734" w14:textId="77777777" w:rsidR="0026372D" w:rsidRPr="0026372D" w:rsidRDefault="0026372D" w:rsidP="0026372D">
      <w:pPr>
        <w:spacing w:before="240"/>
        <w:ind w:left="1701" w:hanging="567"/>
        <w:jc w:val="both"/>
        <w:rPr>
          <w:rFonts w:ascii="Book Antiqua" w:hAnsi="Book Antiqua" w:cs="Arial"/>
          <w:sz w:val="22"/>
          <w:szCs w:val="22"/>
        </w:rPr>
      </w:pPr>
      <w:r w:rsidRPr="0026372D">
        <w:rPr>
          <w:rFonts w:ascii="Book Antiqua" w:hAnsi="Book Antiqua" w:cs="Arial"/>
          <w:sz w:val="22"/>
          <w:szCs w:val="22"/>
        </w:rPr>
        <w:t>“2.</w:t>
      </w:r>
      <w:r w:rsidRPr="0026372D">
        <w:rPr>
          <w:rFonts w:ascii="Book Antiqua" w:hAnsi="Book Antiqua" w:cs="Arial"/>
          <w:sz w:val="22"/>
          <w:szCs w:val="22"/>
        </w:rPr>
        <w:tab/>
        <w:t xml:space="preserve">It is likely that the judge was entitled to consider several inconsistencies in the Appellant’s recorded evidence in assessing the credibility of his account of events.  The fact that the account was broadly consistent with the background evidence relating to the nature of attacks by Al Shabab might have formed one part of the assessment, but was unlikely to make any material difference to the credibility findings given the number of inconsistencies identified by the judge.  </w:t>
      </w:r>
    </w:p>
    <w:p w14:paraId="5B2257BF" w14:textId="77777777" w:rsidR="0026372D" w:rsidRDefault="0026372D" w:rsidP="00A26B82">
      <w:pPr>
        <w:spacing w:before="240"/>
        <w:ind w:left="1701" w:hanging="567"/>
        <w:jc w:val="both"/>
        <w:rPr>
          <w:rFonts w:ascii="Book Antiqua" w:hAnsi="Book Antiqua" w:cs="Arial"/>
          <w:sz w:val="22"/>
          <w:szCs w:val="22"/>
        </w:rPr>
      </w:pPr>
      <w:r w:rsidRPr="0026372D">
        <w:rPr>
          <w:rFonts w:ascii="Book Antiqua" w:hAnsi="Book Antiqua" w:cs="Arial"/>
          <w:sz w:val="22"/>
          <w:szCs w:val="22"/>
        </w:rPr>
        <w:t>3.</w:t>
      </w:r>
      <w:r w:rsidRPr="0026372D">
        <w:rPr>
          <w:rFonts w:ascii="Book Antiqua" w:hAnsi="Book Antiqua" w:cs="Arial"/>
          <w:sz w:val="22"/>
          <w:szCs w:val="22"/>
        </w:rPr>
        <w:tab/>
        <w:t xml:space="preserve">The judge referred to the relevant country guidance and proceeded on the basis that the Appellant was from a minority clan [18].  However, it is at least arguable that the judge may have erred in his assessment of return to Mogadishu.  It is arguable that the judge failed to </w:t>
      </w:r>
      <w:proofErr w:type="gramStart"/>
      <w:r w:rsidRPr="0026372D">
        <w:rPr>
          <w:rFonts w:ascii="Book Antiqua" w:hAnsi="Book Antiqua" w:cs="Arial"/>
          <w:sz w:val="22"/>
          <w:szCs w:val="22"/>
        </w:rPr>
        <w:t>give sufficient consideration to</w:t>
      </w:r>
      <w:proofErr w:type="gramEnd"/>
      <w:r w:rsidRPr="0026372D">
        <w:rPr>
          <w:rFonts w:ascii="Book Antiqua" w:hAnsi="Book Antiqua" w:cs="Arial"/>
          <w:sz w:val="22"/>
          <w:szCs w:val="22"/>
        </w:rPr>
        <w:t xml:space="preserve"> the length of time since the Appellant last lived in Mogadishu or his lack of support network there.  </w:t>
      </w:r>
      <w:r>
        <w:rPr>
          <w:rFonts w:ascii="Book Antiqua" w:hAnsi="Book Antiqua" w:cs="Arial"/>
          <w:sz w:val="22"/>
          <w:szCs w:val="22"/>
        </w:rPr>
        <w:t xml:space="preserve">It is unclear why the judge considered that his father still had a friend in </w:t>
      </w:r>
      <w:r>
        <w:rPr>
          <w:rFonts w:ascii="Book Antiqua" w:hAnsi="Book Antiqua" w:cs="Arial"/>
          <w:sz w:val="22"/>
          <w:szCs w:val="22"/>
        </w:rPr>
        <w:lastRenderedPageBreak/>
        <w:t xml:space="preserve">Mogadishu who would be able to </w:t>
      </w:r>
      <w:proofErr w:type="gramStart"/>
      <w:r>
        <w:rPr>
          <w:rFonts w:ascii="Book Antiqua" w:hAnsi="Book Antiqua" w:cs="Arial"/>
          <w:sz w:val="22"/>
          <w:szCs w:val="22"/>
        </w:rPr>
        <w:t>provide assistance</w:t>
      </w:r>
      <w:proofErr w:type="gramEnd"/>
      <w:r>
        <w:rPr>
          <w:rFonts w:ascii="Book Antiqua" w:hAnsi="Book Antiqua" w:cs="Arial"/>
          <w:sz w:val="22"/>
          <w:szCs w:val="22"/>
        </w:rPr>
        <w:t>.  After brief consideration of the evidence the only reference that I can find to his father’s friend was in the Appellant’s initial statement, which suggest</w:t>
      </w:r>
      <w:r w:rsidR="00A26B82">
        <w:rPr>
          <w:rFonts w:ascii="Book Antiqua" w:hAnsi="Book Antiqua" w:cs="Arial"/>
          <w:sz w:val="22"/>
          <w:szCs w:val="22"/>
        </w:rPr>
        <w:t>s</w:t>
      </w:r>
      <w:r>
        <w:rPr>
          <w:rFonts w:ascii="Book Antiqua" w:hAnsi="Book Antiqua" w:cs="Arial"/>
          <w:sz w:val="22"/>
          <w:szCs w:val="22"/>
        </w:rPr>
        <w:t xml:space="preserve"> that his father’s friend lived in </w:t>
      </w:r>
      <w:proofErr w:type="spellStart"/>
      <w:r>
        <w:rPr>
          <w:rFonts w:ascii="Book Antiqua" w:hAnsi="Book Antiqua" w:cs="Arial"/>
          <w:sz w:val="22"/>
          <w:szCs w:val="22"/>
        </w:rPr>
        <w:t>Hawaadleey</w:t>
      </w:r>
      <w:proofErr w:type="spellEnd"/>
      <w:r>
        <w:rPr>
          <w:rFonts w:ascii="Book Antiqua" w:hAnsi="Book Antiqua" w:cs="Arial"/>
          <w:sz w:val="22"/>
          <w:szCs w:val="22"/>
        </w:rPr>
        <w:t xml:space="preserve"> [6].  It is also arguable that the judge’s finding that the Appellant could rely on assistance from clan members is</w:t>
      </w:r>
      <w:r w:rsidR="00A26B82">
        <w:rPr>
          <w:rFonts w:ascii="Book Antiqua" w:hAnsi="Book Antiqua" w:cs="Arial"/>
          <w:sz w:val="22"/>
          <w:szCs w:val="22"/>
        </w:rPr>
        <w:t xml:space="preserve"> contrary to what is said at [vi</w:t>
      </w:r>
      <w:r>
        <w:rPr>
          <w:rFonts w:ascii="Book Antiqua" w:hAnsi="Book Antiqua" w:cs="Arial"/>
          <w:sz w:val="22"/>
          <w:szCs w:val="22"/>
        </w:rPr>
        <w:t xml:space="preserve">] of the headnote in </w:t>
      </w:r>
      <w:r w:rsidRPr="0026372D">
        <w:rPr>
          <w:rFonts w:ascii="Book Antiqua" w:hAnsi="Book Antiqua" w:cs="Arial"/>
          <w:sz w:val="22"/>
          <w:szCs w:val="22"/>
          <w:u w:val="single"/>
        </w:rPr>
        <w:t>MOJ</w:t>
      </w:r>
      <w:r>
        <w:rPr>
          <w:rFonts w:ascii="Book Antiqua" w:hAnsi="Book Antiqua" w:cs="Arial"/>
          <w:sz w:val="22"/>
          <w:szCs w:val="22"/>
        </w:rPr>
        <w:t xml:space="preserve"> (Somalia). </w:t>
      </w:r>
    </w:p>
    <w:p w14:paraId="4F8D1CC4" w14:textId="77777777" w:rsidR="0026372D" w:rsidRDefault="0026372D" w:rsidP="00A26B82">
      <w:pPr>
        <w:spacing w:before="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 xml:space="preserve">Given that the conditions in Mogadishu might, in certain circumstances, still amount to a breach of human rights, it is at least arguable that </w:t>
      </w:r>
      <w:r w:rsidR="00A26B82">
        <w:rPr>
          <w:rFonts w:ascii="Book Antiqua" w:hAnsi="Book Antiqua" w:cs="Arial"/>
          <w:sz w:val="22"/>
          <w:szCs w:val="22"/>
        </w:rPr>
        <w:t>t</w:t>
      </w:r>
      <w:r>
        <w:rPr>
          <w:rFonts w:ascii="Book Antiqua" w:hAnsi="Book Antiqua" w:cs="Arial"/>
          <w:sz w:val="22"/>
          <w:szCs w:val="22"/>
        </w:rPr>
        <w:t xml:space="preserve">he judge failed to </w:t>
      </w:r>
      <w:proofErr w:type="gramStart"/>
      <w:r>
        <w:rPr>
          <w:rFonts w:ascii="Book Antiqua" w:hAnsi="Book Antiqua" w:cs="Arial"/>
          <w:sz w:val="22"/>
          <w:szCs w:val="22"/>
        </w:rPr>
        <w:t>take into account</w:t>
      </w:r>
      <w:proofErr w:type="gramEnd"/>
      <w:r>
        <w:rPr>
          <w:rFonts w:ascii="Book Antiqua" w:hAnsi="Book Antiqua" w:cs="Arial"/>
          <w:sz w:val="22"/>
          <w:szCs w:val="22"/>
        </w:rPr>
        <w:t xml:space="preserve"> all of the relevant circumstances in assessing the best interests of the children.  The grounds merit more detailed consideration at a hearing.  </w:t>
      </w:r>
    </w:p>
    <w:p w14:paraId="739577FF" w14:textId="77777777" w:rsidR="0026372D" w:rsidRPr="0026372D" w:rsidRDefault="0026372D" w:rsidP="0026372D">
      <w:pPr>
        <w:spacing w:before="240"/>
        <w:ind w:left="1701" w:hanging="567"/>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t>Permission to appeal is granted.”</w:t>
      </w:r>
    </w:p>
    <w:p w14:paraId="482967F3" w14:textId="77777777"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Directions were issued making provision for there to be a hearing before the Upper Tribunal to ascertain whether he FTT decision contained an error of law such that it should be set aside.  </w:t>
      </w:r>
    </w:p>
    <w:p w14:paraId="7785A7EC" w14:textId="77777777" w:rsidR="0026372D" w:rsidRPr="0026372D" w:rsidRDefault="0026372D" w:rsidP="0026372D">
      <w:pPr>
        <w:spacing w:before="240"/>
        <w:jc w:val="both"/>
        <w:rPr>
          <w:rFonts w:ascii="Book Antiqua" w:hAnsi="Book Antiqua" w:cs="Arial"/>
          <w:b/>
        </w:rPr>
      </w:pPr>
      <w:r w:rsidRPr="0026372D">
        <w:rPr>
          <w:rFonts w:ascii="Book Antiqua" w:hAnsi="Book Antiqua" w:cs="Arial"/>
          <w:b/>
        </w:rPr>
        <w:t>The Upper Tribunal Hearing</w:t>
      </w:r>
    </w:p>
    <w:p w14:paraId="5D87EFFC" w14:textId="7AE5DF30"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on behalf of the Respondent, conceded that the judge had materially erred in law.  It was accepted that the judge had failed to adequately apply the guidance in </w:t>
      </w:r>
      <w:r w:rsidRPr="0026372D">
        <w:rPr>
          <w:rFonts w:ascii="Book Antiqua" w:hAnsi="Book Antiqua" w:cs="Arial"/>
          <w:u w:val="single"/>
        </w:rPr>
        <w:t>MOJ</w:t>
      </w:r>
      <w:r>
        <w:rPr>
          <w:rFonts w:ascii="Book Antiqua" w:hAnsi="Book Antiqua" w:cs="Arial"/>
        </w:rPr>
        <w:t xml:space="preserve"> (Somalia) in relation to internal relocation to Mogadishu.  Mrs </w:t>
      </w:r>
      <w:proofErr w:type="spellStart"/>
      <w:r>
        <w:rPr>
          <w:rFonts w:ascii="Book Antiqua" w:hAnsi="Book Antiqua" w:cs="Arial"/>
        </w:rPr>
        <w:t>Aboni</w:t>
      </w:r>
      <w:proofErr w:type="spellEnd"/>
      <w:r>
        <w:rPr>
          <w:rFonts w:ascii="Book Antiqua" w:hAnsi="Book Antiqua" w:cs="Arial"/>
        </w:rPr>
        <w:t xml:space="preserve"> accepted that there was inadequate consideration of the best interests of the Appellant’s children.  It was accepted that the judge had not referred to the background </w:t>
      </w:r>
      <w:r w:rsidR="00A26B82">
        <w:rPr>
          <w:rFonts w:ascii="Book Antiqua" w:hAnsi="Book Antiqua" w:cs="Arial"/>
        </w:rPr>
        <w:t xml:space="preserve">evidence </w:t>
      </w:r>
      <w:r>
        <w:rPr>
          <w:rFonts w:ascii="Book Antiqua" w:hAnsi="Book Antiqua" w:cs="Arial"/>
        </w:rPr>
        <w:t xml:space="preserve">highlighted in the grounds seeking permission to the Upper Tribunal, and which was attached to the Appellant’s skeleton argument.  It was accepted that the background evidence relied upon by the Appellant </w:t>
      </w:r>
      <w:proofErr w:type="spellStart"/>
      <w:r>
        <w:rPr>
          <w:rFonts w:ascii="Book Antiqua" w:hAnsi="Book Antiqua" w:cs="Arial"/>
        </w:rPr>
        <w:t>post</w:t>
      </w:r>
      <w:r w:rsidR="003E26DB">
        <w:rPr>
          <w:rFonts w:ascii="Book Antiqua" w:hAnsi="Book Antiqua" w:cs="Arial"/>
        </w:rPr>
        <w:t xml:space="preserve"> </w:t>
      </w:r>
      <w:r>
        <w:rPr>
          <w:rFonts w:ascii="Book Antiqua" w:hAnsi="Book Antiqua" w:cs="Arial"/>
        </w:rPr>
        <w:t>dated</w:t>
      </w:r>
      <w:proofErr w:type="spellEnd"/>
      <w:r>
        <w:rPr>
          <w:rFonts w:ascii="Book Antiqua" w:hAnsi="Book Antiqua" w:cs="Arial"/>
        </w:rPr>
        <w:t xml:space="preserve"> the</w:t>
      </w:r>
      <w:r w:rsidR="003E26DB">
        <w:rPr>
          <w:rFonts w:ascii="Book Antiqua" w:hAnsi="Book Antiqua" w:cs="Arial"/>
        </w:rPr>
        <w:t xml:space="preserve"> background</w:t>
      </w:r>
      <w:r>
        <w:rPr>
          <w:rFonts w:ascii="Book Antiqua" w:hAnsi="Book Antiqua" w:cs="Arial"/>
        </w:rPr>
        <w:t xml:space="preserve"> evidence referred to in the Respondent’s refusal</w:t>
      </w:r>
      <w:r w:rsidR="00A26B82">
        <w:rPr>
          <w:rFonts w:ascii="Book Antiqua" w:hAnsi="Book Antiqua" w:cs="Arial"/>
        </w:rPr>
        <w:t xml:space="preserve"> decision</w:t>
      </w:r>
      <w:r>
        <w:rPr>
          <w:rFonts w:ascii="Book Antiqua" w:hAnsi="Book Antiqua" w:cs="Arial"/>
        </w:rPr>
        <w:t xml:space="preserve"> which was considered by the judge.  </w:t>
      </w:r>
    </w:p>
    <w:p w14:paraId="430E7C13" w14:textId="77777777"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Both representatives submitted that the decision should be set aside and remitted to the FTT to be heard again. </w:t>
      </w:r>
    </w:p>
    <w:p w14:paraId="1DBAC377" w14:textId="77777777" w:rsidR="0026372D" w:rsidRPr="0026372D" w:rsidRDefault="0026372D" w:rsidP="0026372D">
      <w:pPr>
        <w:spacing w:before="240"/>
        <w:jc w:val="both"/>
        <w:rPr>
          <w:rFonts w:ascii="Book Antiqua" w:hAnsi="Book Antiqua" w:cs="Arial"/>
          <w:b/>
        </w:rPr>
      </w:pPr>
      <w:r w:rsidRPr="0026372D">
        <w:rPr>
          <w:rFonts w:ascii="Book Antiqua" w:hAnsi="Book Antiqua" w:cs="Arial"/>
          <w:b/>
        </w:rPr>
        <w:t>My Conclusions and Reasons</w:t>
      </w:r>
    </w:p>
    <w:p w14:paraId="20E9688D" w14:textId="3CCE0016"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In view of the concession </w:t>
      </w:r>
      <w:r w:rsidR="00E23539">
        <w:rPr>
          <w:rFonts w:ascii="Book Antiqua" w:hAnsi="Book Antiqua" w:cs="Arial"/>
        </w:rPr>
        <w:t>by</w:t>
      </w:r>
      <w:r>
        <w:rPr>
          <w:rFonts w:ascii="Book Antiqua" w:hAnsi="Book Antiqua" w:cs="Arial"/>
        </w:rPr>
        <w:t xml:space="preserve"> the Respondent, I set aside the decision of the FTT.  I found that the judge had materially erred as contended in the grounds, read together with the grant of permission, and as conceded by the Respondent.  </w:t>
      </w:r>
    </w:p>
    <w:p w14:paraId="355CA52B" w14:textId="77777777" w:rsidR="0026372D" w:rsidRDefault="0026372D" w:rsidP="005E5DFF">
      <w:pPr>
        <w:numPr>
          <w:ilvl w:val="0"/>
          <w:numId w:val="3"/>
        </w:numPr>
        <w:spacing w:before="240"/>
        <w:jc w:val="both"/>
        <w:rPr>
          <w:rFonts w:ascii="Book Antiqua" w:hAnsi="Book Antiqua" w:cs="Arial"/>
        </w:rPr>
      </w:pPr>
      <w:r>
        <w:rPr>
          <w:rFonts w:ascii="Book Antiqua" w:hAnsi="Book Antiqua" w:cs="Arial"/>
        </w:rPr>
        <w:t xml:space="preserve">No findings can be preserved.  I have </w:t>
      </w:r>
      <w:proofErr w:type="gramStart"/>
      <w:r>
        <w:rPr>
          <w:rFonts w:ascii="Book Antiqua" w:hAnsi="Book Antiqua" w:cs="Arial"/>
        </w:rPr>
        <w:t>taken into account</w:t>
      </w:r>
      <w:proofErr w:type="gramEnd"/>
      <w:r>
        <w:rPr>
          <w:rFonts w:ascii="Book Antiqua" w:hAnsi="Book Antiqua" w:cs="Arial"/>
        </w:rPr>
        <w:t xml:space="preserve"> paragraph 7.2 of the Senior President’s Practice Statements, and consider it is appropriate to remit this appeal back to the FTT to be decided afresh.  This is because there is a substantial fact-finding exercise to be undertaken, and it is more appropriate that findings of fact should be made by the FTT rather than the Upper Tribunal.  </w:t>
      </w:r>
    </w:p>
    <w:p w14:paraId="3E392216" w14:textId="77777777" w:rsidR="0026372D" w:rsidRDefault="00A26B82" w:rsidP="005E5DFF">
      <w:pPr>
        <w:numPr>
          <w:ilvl w:val="0"/>
          <w:numId w:val="3"/>
        </w:numPr>
        <w:spacing w:before="240"/>
        <w:jc w:val="both"/>
        <w:rPr>
          <w:rFonts w:ascii="Book Antiqua" w:hAnsi="Book Antiqua" w:cs="Arial"/>
        </w:rPr>
      </w:pPr>
      <w:r>
        <w:rPr>
          <w:rFonts w:ascii="Book Antiqua" w:hAnsi="Book Antiqua" w:cs="Arial"/>
        </w:rPr>
        <w:t xml:space="preserve">The parties will be advised </w:t>
      </w:r>
      <w:r w:rsidR="0026372D">
        <w:rPr>
          <w:rFonts w:ascii="Book Antiqua" w:hAnsi="Book Antiqua" w:cs="Arial"/>
        </w:rPr>
        <w:t xml:space="preserve">of the time and date of the hearing in due course.  The appeal </w:t>
      </w:r>
      <w:r w:rsidR="00DE45C5">
        <w:rPr>
          <w:rFonts w:ascii="Book Antiqua" w:hAnsi="Book Antiqua" w:cs="Arial"/>
        </w:rPr>
        <w:t xml:space="preserve">is to be heard by an FTT Judge other than Judge </w:t>
      </w:r>
      <w:proofErr w:type="spellStart"/>
      <w:r w:rsidR="00DE45C5">
        <w:rPr>
          <w:rFonts w:ascii="Book Antiqua" w:hAnsi="Book Antiqua" w:cs="Arial"/>
        </w:rPr>
        <w:t>Asjad</w:t>
      </w:r>
      <w:proofErr w:type="spellEnd"/>
      <w:r w:rsidR="00DE45C5">
        <w:rPr>
          <w:rFonts w:ascii="Book Antiqua" w:hAnsi="Book Antiqua" w:cs="Arial"/>
        </w:rPr>
        <w:t>.</w:t>
      </w:r>
    </w:p>
    <w:p w14:paraId="30DD7A10" w14:textId="77777777" w:rsidR="00DE45C5" w:rsidRPr="00F5664C" w:rsidRDefault="00DE45C5" w:rsidP="005E5DFF">
      <w:pPr>
        <w:numPr>
          <w:ilvl w:val="0"/>
          <w:numId w:val="3"/>
        </w:numPr>
        <w:spacing w:before="240"/>
        <w:jc w:val="both"/>
        <w:rPr>
          <w:rFonts w:ascii="Book Antiqua" w:hAnsi="Book Antiqua" w:cs="Arial"/>
        </w:rPr>
      </w:pPr>
      <w:r>
        <w:rPr>
          <w:rFonts w:ascii="Book Antiqua" w:hAnsi="Book Antiqua" w:cs="Arial"/>
        </w:rPr>
        <w:t xml:space="preserve">The Appellant’s representatives should be aware that the Appellant’s bundle in its entirety is not on the Tribunal file.  The Tribunal file only contains pages 1 – 70 of the </w:t>
      </w:r>
      <w:r>
        <w:rPr>
          <w:rFonts w:ascii="Book Antiqua" w:hAnsi="Book Antiqua" w:cs="Arial"/>
        </w:rPr>
        <w:lastRenderedPageBreak/>
        <w:t xml:space="preserve">Appellant’s bundle, and therefore a new bundle will need to be served upon the FTT.  It is understood that the Respondent still has the full bundle of documents.  </w:t>
      </w:r>
    </w:p>
    <w:p w14:paraId="3BA08A02"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18DB5289" w14:textId="77777777" w:rsidR="00F13D39" w:rsidRPr="00F13D39" w:rsidRDefault="00F13D39" w:rsidP="00F13D39">
      <w:pPr>
        <w:jc w:val="both"/>
        <w:rPr>
          <w:rFonts w:ascii="Book Antiqua" w:hAnsi="Book Antiqua" w:cs="Arial"/>
        </w:rPr>
      </w:pPr>
    </w:p>
    <w:p w14:paraId="30FA0326" w14:textId="77777777" w:rsidR="00F13D39" w:rsidRPr="00F13D39" w:rsidRDefault="00F13D39" w:rsidP="00F13D39">
      <w:pPr>
        <w:jc w:val="both"/>
        <w:rPr>
          <w:rFonts w:ascii="Book Antiqua" w:hAnsi="Book Antiqua" w:cs="Arial"/>
        </w:rPr>
      </w:pPr>
      <w:r w:rsidRPr="00F13D39">
        <w:rPr>
          <w:rFonts w:ascii="Book Antiqua" w:hAnsi="Book Antiqua" w:cs="Arial"/>
        </w:rPr>
        <w:t xml:space="preserve">The </w:t>
      </w:r>
      <w:r w:rsidR="00DE45C5">
        <w:rPr>
          <w:rFonts w:ascii="Book Antiqua" w:hAnsi="Book Antiqua" w:cs="Arial"/>
        </w:rPr>
        <w:t xml:space="preserve">decision of the FTT involved the making of an error of law such that it is set aside.  The appeal </w:t>
      </w:r>
      <w:proofErr w:type="gramStart"/>
      <w:r w:rsidR="00DE45C5">
        <w:rPr>
          <w:rFonts w:ascii="Book Antiqua" w:hAnsi="Book Antiqua" w:cs="Arial"/>
        </w:rPr>
        <w:t>is allowed to</w:t>
      </w:r>
      <w:proofErr w:type="gramEnd"/>
      <w:r w:rsidR="00DE45C5">
        <w:rPr>
          <w:rFonts w:ascii="Book Antiqua" w:hAnsi="Book Antiqua" w:cs="Arial"/>
        </w:rPr>
        <w:t xml:space="preserve"> the extent that it is remitted to the FTT with no findings of fact preserved.  </w:t>
      </w:r>
    </w:p>
    <w:p w14:paraId="0257972F" w14:textId="77777777" w:rsidR="00F13D39" w:rsidRPr="00F13D39" w:rsidRDefault="00F13D39" w:rsidP="00F13D39">
      <w:pPr>
        <w:jc w:val="both"/>
        <w:rPr>
          <w:rFonts w:ascii="Book Antiqua" w:hAnsi="Book Antiqua" w:cs="Arial"/>
        </w:rPr>
      </w:pPr>
    </w:p>
    <w:p w14:paraId="754F9966"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09BCC829" w14:textId="77777777" w:rsidR="00F13D39" w:rsidRPr="00F13D39" w:rsidRDefault="00F13D39" w:rsidP="00F13D39">
      <w:pPr>
        <w:jc w:val="both"/>
        <w:rPr>
          <w:rFonts w:ascii="Book Antiqua" w:hAnsi="Book Antiqua" w:cs="Arial"/>
        </w:rPr>
      </w:pPr>
    </w:p>
    <w:p w14:paraId="2A5778E1" w14:textId="0683D40B"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him or any member of </w:t>
      </w:r>
      <w:r w:rsidR="00D82D66">
        <w:rPr>
          <w:rFonts w:ascii="Book Antiqua" w:hAnsi="Book Antiqua"/>
        </w:rPr>
        <w:t>his</w:t>
      </w:r>
      <w:r w:rsidRPr="00F13D39">
        <w:rPr>
          <w:rFonts w:ascii="Book Antiqua" w:hAnsi="Book Antiqua"/>
        </w:rPr>
        <w:t xml:space="preserve"> family.  This direction applies both to the Appellant and to the Respondent.  Failure to comply with this direction could lead to contempt of court proceedings.</w:t>
      </w:r>
    </w:p>
    <w:p w14:paraId="78C51B1D" w14:textId="77777777" w:rsidR="000369F5" w:rsidRPr="00F5664C" w:rsidRDefault="000369F5" w:rsidP="000369F5">
      <w:pPr>
        <w:tabs>
          <w:tab w:val="left" w:pos="2520"/>
        </w:tabs>
        <w:jc w:val="both"/>
        <w:rPr>
          <w:rFonts w:ascii="Book Antiqua" w:hAnsi="Book Antiqua" w:cs="Arial"/>
        </w:rPr>
      </w:pPr>
    </w:p>
    <w:p w14:paraId="3CAE1D66" w14:textId="77777777" w:rsidR="000369F5" w:rsidRDefault="000369F5" w:rsidP="000369F5">
      <w:pPr>
        <w:tabs>
          <w:tab w:val="left" w:pos="2520"/>
        </w:tabs>
        <w:jc w:val="both"/>
        <w:rPr>
          <w:rFonts w:ascii="Book Antiqua" w:hAnsi="Book Antiqua" w:cs="Arial"/>
        </w:rPr>
      </w:pPr>
    </w:p>
    <w:p w14:paraId="7EAAA140" w14:textId="77777777" w:rsidR="00F13D39" w:rsidRDefault="00F13D39" w:rsidP="000369F5">
      <w:pPr>
        <w:tabs>
          <w:tab w:val="left" w:pos="2520"/>
        </w:tabs>
        <w:jc w:val="both"/>
        <w:rPr>
          <w:rFonts w:ascii="Book Antiqua" w:hAnsi="Book Antiqua" w:cs="Arial"/>
        </w:rPr>
      </w:pPr>
    </w:p>
    <w:p w14:paraId="72F9143A" w14:textId="77777777" w:rsidR="00F13D39" w:rsidRPr="00F5664C" w:rsidRDefault="00F13D39" w:rsidP="000369F5">
      <w:pPr>
        <w:tabs>
          <w:tab w:val="left" w:pos="2520"/>
        </w:tabs>
        <w:jc w:val="both"/>
        <w:rPr>
          <w:rFonts w:ascii="Book Antiqua" w:hAnsi="Book Antiqua" w:cs="Arial"/>
        </w:rPr>
      </w:pPr>
    </w:p>
    <w:p w14:paraId="5889D833"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3B38025B" w14:textId="77777777" w:rsidR="001F2716" w:rsidRPr="00F5664C" w:rsidRDefault="001F2716" w:rsidP="000369F5">
      <w:pPr>
        <w:tabs>
          <w:tab w:val="left" w:pos="2520"/>
        </w:tabs>
        <w:jc w:val="both"/>
        <w:rPr>
          <w:rFonts w:ascii="Book Antiqua" w:hAnsi="Book Antiqua" w:cs="Arial"/>
        </w:rPr>
      </w:pPr>
    </w:p>
    <w:p w14:paraId="6EBF3120" w14:textId="77777777" w:rsidR="001F2716" w:rsidRPr="00F5664C" w:rsidRDefault="001F2716" w:rsidP="000369F5">
      <w:pPr>
        <w:tabs>
          <w:tab w:val="left" w:pos="2520"/>
        </w:tabs>
        <w:jc w:val="both"/>
        <w:rPr>
          <w:rFonts w:ascii="Book Antiqua" w:hAnsi="Book Antiqua" w:cs="Arial"/>
        </w:rPr>
      </w:pPr>
    </w:p>
    <w:p w14:paraId="37CC912F" w14:textId="77777777"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r w:rsidR="00DE45C5">
        <w:rPr>
          <w:rFonts w:ascii="Book Antiqua" w:hAnsi="Book Antiqua" w:cs="Arial"/>
        </w:rPr>
        <w:tab/>
      </w:r>
      <w:r w:rsidR="00DE45C5">
        <w:rPr>
          <w:rFonts w:ascii="Book Antiqua" w:hAnsi="Book Antiqua" w:cs="Arial"/>
        </w:rPr>
        <w:tab/>
      </w:r>
      <w:r w:rsidR="00DE45C5">
        <w:rPr>
          <w:rFonts w:ascii="Book Antiqua" w:hAnsi="Book Antiqua" w:cs="Arial"/>
        </w:rPr>
        <w:tab/>
        <w:t>4</w:t>
      </w:r>
      <w:r w:rsidR="00DE45C5" w:rsidRPr="00DE45C5">
        <w:rPr>
          <w:rFonts w:ascii="Book Antiqua" w:hAnsi="Book Antiqua" w:cs="Arial"/>
          <w:vertAlign w:val="superscript"/>
        </w:rPr>
        <w:t>th</w:t>
      </w:r>
      <w:r w:rsidR="00DE45C5">
        <w:rPr>
          <w:rFonts w:ascii="Book Antiqua" w:hAnsi="Book Antiqua" w:cs="Arial"/>
        </w:rPr>
        <w:t xml:space="preserve"> June 2018</w:t>
      </w:r>
    </w:p>
    <w:p w14:paraId="3DEA9BF4" w14:textId="77777777" w:rsidR="00F13D39" w:rsidRDefault="00F13D39" w:rsidP="000369F5">
      <w:pPr>
        <w:tabs>
          <w:tab w:val="left" w:pos="2520"/>
        </w:tabs>
        <w:jc w:val="both"/>
        <w:rPr>
          <w:rFonts w:ascii="Book Antiqua" w:hAnsi="Book Antiqua" w:cs="Arial"/>
        </w:rPr>
      </w:pPr>
    </w:p>
    <w:p w14:paraId="6C6DBE59"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492C4CF3"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4390E06B" w14:textId="77777777" w:rsidR="00F13D39" w:rsidRDefault="00F13D39" w:rsidP="00F13D39">
      <w:pPr>
        <w:jc w:val="both"/>
        <w:rPr>
          <w:rFonts w:ascii="Book Antiqua" w:hAnsi="Book Antiqua" w:cs="Arial"/>
        </w:rPr>
      </w:pPr>
    </w:p>
    <w:p w14:paraId="27FE300E" w14:textId="77777777" w:rsidR="00DE45C5" w:rsidRDefault="00DE45C5" w:rsidP="00F13D39">
      <w:pPr>
        <w:jc w:val="both"/>
        <w:rPr>
          <w:rFonts w:ascii="Book Antiqua" w:hAnsi="Book Antiqua" w:cs="Arial"/>
        </w:rPr>
      </w:pPr>
      <w:r>
        <w:rPr>
          <w:rFonts w:ascii="Book Antiqua" w:hAnsi="Book Antiqua" w:cs="Arial"/>
        </w:rPr>
        <w:t>No fee award is made by the Upper Tribunal.  The issue of any fee award will need to be considered by the FTT.</w:t>
      </w:r>
    </w:p>
    <w:p w14:paraId="5D8651FD" w14:textId="77777777" w:rsidR="00F13D39" w:rsidRDefault="00F13D39" w:rsidP="00F13D39">
      <w:pPr>
        <w:jc w:val="both"/>
        <w:rPr>
          <w:rFonts w:ascii="Book Antiqua" w:hAnsi="Book Antiqua" w:cs="Arial"/>
        </w:rPr>
      </w:pPr>
    </w:p>
    <w:p w14:paraId="05044D00" w14:textId="77777777" w:rsidR="00F13D39" w:rsidRDefault="00F13D39" w:rsidP="00F13D39">
      <w:pPr>
        <w:jc w:val="both"/>
        <w:rPr>
          <w:rFonts w:ascii="Book Antiqua" w:hAnsi="Book Antiqua" w:cs="Arial"/>
        </w:rPr>
      </w:pPr>
    </w:p>
    <w:p w14:paraId="110AB6AB" w14:textId="77777777" w:rsidR="00F13D39" w:rsidRDefault="00F13D39" w:rsidP="00F13D39">
      <w:pPr>
        <w:jc w:val="both"/>
        <w:rPr>
          <w:rFonts w:ascii="Book Antiqua" w:hAnsi="Book Antiqua" w:cs="Arial"/>
        </w:rPr>
      </w:pPr>
    </w:p>
    <w:p w14:paraId="630E8467" w14:textId="77777777" w:rsidR="00F13D39" w:rsidRDefault="00F13D39" w:rsidP="00F13D39">
      <w:pPr>
        <w:jc w:val="both"/>
        <w:rPr>
          <w:rFonts w:ascii="Book Antiqua" w:hAnsi="Book Antiqua" w:cs="Arial"/>
        </w:rPr>
      </w:pPr>
    </w:p>
    <w:p w14:paraId="3EFA4BCB"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233A8590" w14:textId="77777777" w:rsidR="00F13D39" w:rsidRPr="00F5664C" w:rsidRDefault="00F13D39" w:rsidP="00F13D39">
      <w:pPr>
        <w:tabs>
          <w:tab w:val="left" w:pos="2520"/>
        </w:tabs>
        <w:jc w:val="both"/>
        <w:rPr>
          <w:rFonts w:ascii="Book Antiqua" w:hAnsi="Book Antiqua" w:cs="Arial"/>
        </w:rPr>
      </w:pPr>
    </w:p>
    <w:p w14:paraId="17229E7C" w14:textId="77777777" w:rsidR="00F13D39" w:rsidRPr="00F5664C" w:rsidRDefault="00F13D39" w:rsidP="00F13D39">
      <w:pPr>
        <w:tabs>
          <w:tab w:val="left" w:pos="2520"/>
        </w:tabs>
        <w:jc w:val="both"/>
        <w:rPr>
          <w:rFonts w:ascii="Book Antiqua" w:hAnsi="Book Antiqua" w:cs="Arial"/>
        </w:rPr>
      </w:pPr>
    </w:p>
    <w:p w14:paraId="3F93D1E2" w14:textId="0A761AC6" w:rsidR="005B7789" w:rsidRPr="00F5664C" w:rsidRDefault="00F13D39" w:rsidP="002909D3">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DE45C5">
        <w:rPr>
          <w:rFonts w:ascii="Book Antiqua" w:hAnsi="Book Antiqua" w:cs="Arial"/>
        </w:rPr>
        <w:tab/>
      </w:r>
      <w:r w:rsidR="00DE45C5">
        <w:rPr>
          <w:rFonts w:ascii="Book Antiqua" w:hAnsi="Book Antiqua" w:cs="Arial"/>
        </w:rPr>
        <w:tab/>
      </w:r>
      <w:r w:rsidR="00DE45C5">
        <w:rPr>
          <w:rFonts w:ascii="Book Antiqua" w:hAnsi="Book Antiqua" w:cs="Arial"/>
        </w:rPr>
        <w:tab/>
        <w:t>4</w:t>
      </w:r>
      <w:r w:rsidR="00DE45C5" w:rsidRPr="00DE45C5">
        <w:rPr>
          <w:rFonts w:ascii="Book Antiqua" w:hAnsi="Book Antiqua" w:cs="Arial"/>
          <w:vertAlign w:val="superscript"/>
        </w:rPr>
        <w:t>th</w:t>
      </w:r>
      <w:r w:rsidR="00DE45C5">
        <w:rPr>
          <w:rFonts w:ascii="Book Antiqua" w:hAnsi="Book Antiqua" w:cs="Arial"/>
        </w:rPr>
        <w:t xml:space="preserve"> June 2018</w:t>
      </w:r>
    </w:p>
    <w:sectPr w:rsidR="005B7789" w:rsidRPr="00F5664C" w:rsidSect="00286688">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BFCA" w14:textId="77777777" w:rsidR="003178AF" w:rsidRDefault="003178AF">
      <w:r>
        <w:separator/>
      </w:r>
    </w:p>
  </w:endnote>
  <w:endnote w:type="continuationSeparator" w:id="0">
    <w:p w14:paraId="100A4DCA" w14:textId="77777777" w:rsidR="003178AF" w:rsidRDefault="0031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BF7B" w14:textId="34F1562F" w:rsidR="00CF253F" w:rsidRPr="008B30F8" w:rsidRDefault="00CF253F" w:rsidP="00593795">
    <w:pPr>
      <w:pStyle w:val="Footer"/>
      <w:jc w:val="center"/>
      <w:rPr>
        <w:rFonts w:ascii="Book Antiqua" w:hAnsi="Book Antiqua" w:cs="Arial"/>
      </w:rPr>
    </w:pPr>
    <w:r w:rsidRPr="008B30F8">
      <w:rPr>
        <w:rStyle w:val="PageNumber"/>
        <w:rFonts w:ascii="Book Antiqua" w:hAnsi="Book Antiqua" w:cs="Arial"/>
      </w:rPr>
      <w:fldChar w:fldCharType="begin"/>
    </w:r>
    <w:r w:rsidRPr="008B30F8">
      <w:rPr>
        <w:rStyle w:val="PageNumber"/>
        <w:rFonts w:ascii="Book Antiqua" w:hAnsi="Book Antiqua" w:cs="Arial"/>
      </w:rPr>
      <w:instrText xml:space="preserve"> PAGE </w:instrText>
    </w:r>
    <w:r w:rsidRPr="008B30F8">
      <w:rPr>
        <w:rStyle w:val="PageNumber"/>
        <w:rFonts w:ascii="Book Antiqua" w:hAnsi="Book Antiqua" w:cs="Arial"/>
      </w:rPr>
      <w:fldChar w:fldCharType="separate"/>
    </w:r>
    <w:r w:rsidR="00B63614">
      <w:rPr>
        <w:rStyle w:val="PageNumber"/>
        <w:rFonts w:ascii="Book Antiqua" w:hAnsi="Book Antiqua" w:cs="Arial"/>
        <w:noProof/>
      </w:rPr>
      <w:t>4</w:t>
    </w:r>
    <w:r w:rsidRPr="008B30F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2818"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2D227" w14:textId="77777777" w:rsidR="003178AF" w:rsidRDefault="003178AF">
      <w:r>
        <w:separator/>
      </w:r>
    </w:p>
  </w:footnote>
  <w:footnote w:type="continuationSeparator" w:id="0">
    <w:p w14:paraId="7B7179A8" w14:textId="77777777" w:rsidR="003178AF" w:rsidRDefault="00317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3814B" w14:textId="6CDA2B9B"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5B78C3">
      <w:rPr>
        <w:rFonts w:ascii="Book Antiqua" w:hAnsi="Book Antiqua" w:cs="Arial"/>
        <w:sz w:val="16"/>
        <w:szCs w:val="16"/>
      </w:rPr>
      <w:t>Appeal Number:</w:t>
    </w:r>
    <w:r w:rsidR="000369F5" w:rsidRPr="005B78C3">
      <w:rPr>
        <w:rFonts w:ascii="Book Antiqua" w:hAnsi="Book Antiqua" w:cs="Arial"/>
        <w:sz w:val="16"/>
        <w:szCs w:val="16"/>
      </w:rPr>
      <w:t xml:space="preserve"> </w:t>
    </w:r>
    <w:r w:rsidR="005B78C3" w:rsidRPr="005B78C3">
      <w:rPr>
        <w:rFonts w:ascii="Book Antiqua" w:hAnsi="Book Antiqua" w:cs="Arial"/>
        <w:caps/>
        <w:sz w:val="16"/>
        <w:szCs w:val="16"/>
      </w:rPr>
      <w:t>PA/11802/2016</w:t>
    </w:r>
  </w:p>
  <w:p w14:paraId="08C7C6C8" w14:textId="77777777" w:rsidR="008B30F8" w:rsidRPr="005B78C3" w:rsidRDefault="008B30F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F1C" w14:textId="6AE367BA"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71A7E"/>
    <w:rsid w:val="000746C0"/>
    <w:rsid w:val="00074D1D"/>
    <w:rsid w:val="00092580"/>
    <w:rsid w:val="000A78C7"/>
    <w:rsid w:val="000C40E8"/>
    <w:rsid w:val="000D01C9"/>
    <w:rsid w:val="000D5D94"/>
    <w:rsid w:val="000E0CD7"/>
    <w:rsid w:val="00114F8B"/>
    <w:rsid w:val="001165A7"/>
    <w:rsid w:val="00151BB7"/>
    <w:rsid w:val="00167D3A"/>
    <w:rsid w:val="001A1E2C"/>
    <w:rsid w:val="001F2716"/>
    <w:rsid w:val="0020133A"/>
    <w:rsid w:val="00207617"/>
    <w:rsid w:val="00215794"/>
    <w:rsid w:val="00244BC9"/>
    <w:rsid w:val="00255071"/>
    <w:rsid w:val="0026372D"/>
    <w:rsid w:val="00283659"/>
    <w:rsid w:val="00286688"/>
    <w:rsid w:val="002909D3"/>
    <w:rsid w:val="002C4E73"/>
    <w:rsid w:val="002D68BF"/>
    <w:rsid w:val="003178AF"/>
    <w:rsid w:val="00336CBF"/>
    <w:rsid w:val="003546C8"/>
    <w:rsid w:val="003A7CF2"/>
    <w:rsid w:val="003C49CE"/>
    <w:rsid w:val="003C5CE5"/>
    <w:rsid w:val="003E267B"/>
    <w:rsid w:val="003E26DB"/>
    <w:rsid w:val="003E7CD1"/>
    <w:rsid w:val="00402B9E"/>
    <w:rsid w:val="00413695"/>
    <w:rsid w:val="00423932"/>
    <w:rsid w:val="004249CB"/>
    <w:rsid w:val="0044127D"/>
    <w:rsid w:val="004448DB"/>
    <w:rsid w:val="00446C9A"/>
    <w:rsid w:val="00452E28"/>
    <w:rsid w:val="00455915"/>
    <w:rsid w:val="00465F8E"/>
    <w:rsid w:val="00477193"/>
    <w:rsid w:val="004A1848"/>
    <w:rsid w:val="00507FEC"/>
    <w:rsid w:val="00510F0E"/>
    <w:rsid w:val="005479E1"/>
    <w:rsid w:val="005570FD"/>
    <w:rsid w:val="005575EA"/>
    <w:rsid w:val="0057790C"/>
    <w:rsid w:val="00593795"/>
    <w:rsid w:val="005A75FF"/>
    <w:rsid w:val="005B7789"/>
    <w:rsid w:val="005B78C3"/>
    <w:rsid w:val="005E5DFF"/>
    <w:rsid w:val="005F7DB4"/>
    <w:rsid w:val="0065791C"/>
    <w:rsid w:val="00690B8A"/>
    <w:rsid w:val="006D1DFA"/>
    <w:rsid w:val="006D506B"/>
    <w:rsid w:val="006E3C90"/>
    <w:rsid w:val="00704B61"/>
    <w:rsid w:val="007061E1"/>
    <w:rsid w:val="00707DB1"/>
    <w:rsid w:val="00711497"/>
    <w:rsid w:val="007353BB"/>
    <w:rsid w:val="00742A8D"/>
    <w:rsid w:val="00752359"/>
    <w:rsid w:val="007552A9"/>
    <w:rsid w:val="00761858"/>
    <w:rsid w:val="00767D59"/>
    <w:rsid w:val="00776E97"/>
    <w:rsid w:val="00780FD7"/>
    <w:rsid w:val="007912AD"/>
    <w:rsid w:val="007A1F28"/>
    <w:rsid w:val="007B0824"/>
    <w:rsid w:val="007C0CD9"/>
    <w:rsid w:val="008303B8"/>
    <w:rsid w:val="00833DCE"/>
    <w:rsid w:val="00842418"/>
    <w:rsid w:val="008634DB"/>
    <w:rsid w:val="00871D34"/>
    <w:rsid w:val="00887842"/>
    <w:rsid w:val="008901DD"/>
    <w:rsid w:val="008B270C"/>
    <w:rsid w:val="008B30F8"/>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0B0B"/>
    <w:rsid w:val="009E4E62"/>
    <w:rsid w:val="009F5220"/>
    <w:rsid w:val="009F78D8"/>
    <w:rsid w:val="009F7C4D"/>
    <w:rsid w:val="00A123EF"/>
    <w:rsid w:val="00A15234"/>
    <w:rsid w:val="00A201AB"/>
    <w:rsid w:val="00A26B82"/>
    <w:rsid w:val="00A31C8B"/>
    <w:rsid w:val="00A75965"/>
    <w:rsid w:val="00A845DC"/>
    <w:rsid w:val="00A90C98"/>
    <w:rsid w:val="00A97AEE"/>
    <w:rsid w:val="00AC5CF6"/>
    <w:rsid w:val="00AF1FC3"/>
    <w:rsid w:val="00AF5A03"/>
    <w:rsid w:val="00B144FA"/>
    <w:rsid w:val="00B16F58"/>
    <w:rsid w:val="00B30648"/>
    <w:rsid w:val="00B337AA"/>
    <w:rsid w:val="00B3524D"/>
    <w:rsid w:val="00B40F69"/>
    <w:rsid w:val="00B4659E"/>
    <w:rsid w:val="00B46616"/>
    <w:rsid w:val="00B610E3"/>
    <w:rsid w:val="00B61205"/>
    <w:rsid w:val="00B617C4"/>
    <w:rsid w:val="00B626FA"/>
    <w:rsid w:val="00B63614"/>
    <w:rsid w:val="00B7040A"/>
    <w:rsid w:val="00B96FA0"/>
    <w:rsid w:val="00BD4196"/>
    <w:rsid w:val="00BE31CE"/>
    <w:rsid w:val="00BF22CA"/>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45A31"/>
    <w:rsid w:val="00D53769"/>
    <w:rsid w:val="00D65912"/>
    <w:rsid w:val="00D722C4"/>
    <w:rsid w:val="00D82D66"/>
    <w:rsid w:val="00D85C13"/>
    <w:rsid w:val="00D91BE3"/>
    <w:rsid w:val="00D94AFC"/>
    <w:rsid w:val="00DB70AE"/>
    <w:rsid w:val="00DB7231"/>
    <w:rsid w:val="00DC1C00"/>
    <w:rsid w:val="00DD5071"/>
    <w:rsid w:val="00DD5C39"/>
    <w:rsid w:val="00DE26AF"/>
    <w:rsid w:val="00DE45C5"/>
    <w:rsid w:val="00DE7DB7"/>
    <w:rsid w:val="00E00A0A"/>
    <w:rsid w:val="00E07F57"/>
    <w:rsid w:val="00E1040E"/>
    <w:rsid w:val="00E23539"/>
    <w:rsid w:val="00E50BCE"/>
    <w:rsid w:val="00E61292"/>
    <w:rsid w:val="00E76309"/>
    <w:rsid w:val="00E77C4D"/>
    <w:rsid w:val="00E81D01"/>
    <w:rsid w:val="00EC3DB1"/>
    <w:rsid w:val="00EE45D8"/>
    <w:rsid w:val="00F004CD"/>
    <w:rsid w:val="00F13D39"/>
    <w:rsid w:val="00F22A22"/>
    <w:rsid w:val="00F22E53"/>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94A3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1382</Words>
  <Characters>6938</Characters>
  <Application>Microsoft Office Word</Application>
  <DocSecurity>0</DocSecurity>
  <Lines>57</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2018-07-02T14:41:00Z</dcterms:created>
  <dcterms:modified xsi:type="dcterms:W3CDTF">2018-07-02T14:41:00Z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