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E21898" w:rsidRDefault="00FE0046" w:rsidP="00933B65">
      <w:pPr>
        <w:jc w:val="center"/>
        <w:rPr>
          <w:rFonts w:ascii="Book Antiqua" w:hAnsi="Book Antiqua" w:cs="Arial"/>
          <w:color w:val="000000"/>
          <w:sz w:val="16"/>
          <w:szCs w:val="16"/>
        </w:rPr>
      </w:pPr>
      <w:r w:rsidRPr="00E21898">
        <w:rPr>
          <w:noProof/>
          <w:sz w:val="16"/>
          <w:szCs w:val="16"/>
        </w:rPr>
        <w:drawing>
          <wp:inline distT="0" distB="0" distL="0" distR="0" wp14:anchorId="334D9F49" wp14:editId="334D9F4A">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B155AF" w:rsidRPr="00E21898" w:rsidRDefault="00B155AF" w:rsidP="00B155AF">
      <w:pPr>
        <w:rPr>
          <w:rFonts w:ascii="Book Antiqua" w:hAnsi="Book Antiqua" w:cs="Arial"/>
          <w:color w:val="000000"/>
          <w:sz w:val="16"/>
          <w:szCs w:val="16"/>
        </w:rPr>
      </w:pPr>
    </w:p>
    <w:p w:rsidR="00933B65" w:rsidRPr="00952E27" w:rsidRDefault="00933B65" w:rsidP="00933B65">
      <w:pPr>
        <w:tabs>
          <w:tab w:val="right" w:pos="9720"/>
        </w:tabs>
        <w:ind w:right="-82"/>
        <w:rPr>
          <w:rFonts w:ascii="Book Antiqua" w:hAnsi="Book Antiqua" w:cs="Arial"/>
          <w:b/>
          <w:color w:val="000000"/>
          <w:sz w:val="22"/>
          <w:szCs w:val="22"/>
        </w:rPr>
      </w:pPr>
      <w:r w:rsidRPr="00952E27">
        <w:rPr>
          <w:rFonts w:ascii="Book Antiqua" w:hAnsi="Book Antiqua" w:cs="Arial"/>
          <w:b/>
          <w:color w:val="000000"/>
          <w:sz w:val="22"/>
          <w:szCs w:val="22"/>
        </w:rPr>
        <w:t xml:space="preserve">Upper Tribunal </w:t>
      </w:r>
    </w:p>
    <w:p w:rsidR="00933B65" w:rsidRDefault="00933B65" w:rsidP="008A64A7">
      <w:pPr>
        <w:tabs>
          <w:tab w:val="right" w:pos="9720"/>
        </w:tabs>
        <w:ind w:right="-82"/>
        <w:rPr>
          <w:rFonts w:ascii="Book Antiqua" w:hAnsi="Book Antiqua" w:cs="Arial"/>
          <w:caps/>
          <w:color w:val="000000"/>
          <w:sz w:val="22"/>
          <w:szCs w:val="22"/>
        </w:rPr>
      </w:pPr>
      <w:r w:rsidRPr="00952E27">
        <w:rPr>
          <w:rFonts w:ascii="Book Antiqua" w:hAnsi="Book Antiqua" w:cs="Arial"/>
          <w:b/>
          <w:color w:val="000000"/>
          <w:sz w:val="22"/>
          <w:szCs w:val="22"/>
        </w:rPr>
        <w:t>(Immigration and Asylum Chamber)</w:t>
      </w:r>
      <w:r w:rsidRPr="00952E27">
        <w:rPr>
          <w:rFonts w:ascii="Book Antiqua" w:hAnsi="Book Antiqua" w:cs="Arial"/>
          <w:b/>
          <w:color w:val="000000"/>
          <w:sz w:val="22"/>
          <w:szCs w:val="22"/>
        </w:rPr>
        <w:tab/>
      </w:r>
      <w:r w:rsidRPr="00952E27">
        <w:rPr>
          <w:rFonts w:ascii="Book Antiqua" w:hAnsi="Book Antiqua" w:cs="Arial"/>
          <w:color w:val="000000"/>
          <w:sz w:val="22"/>
          <w:szCs w:val="22"/>
        </w:rPr>
        <w:t xml:space="preserve">Appeal Number: </w:t>
      </w:r>
      <w:bookmarkStart w:id="0" w:name="_Hlk520113628"/>
      <w:bookmarkStart w:id="1" w:name="_GoBack"/>
      <w:r w:rsidR="0046322A" w:rsidRPr="00952E27">
        <w:rPr>
          <w:rFonts w:ascii="Book Antiqua" w:hAnsi="Book Antiqua" w:cs="Arial"/>
          <w:caps/>
          <w:color w:val="000000"/>
          <w:sz w:val="22"/>
          <w:szCs w:val="22"/>
        </w:rPr>
        <w:t>PA/</w:t>
      </w:r>
      <w:r w:rsidR="00FF0239" w:rsidRPr="00952E27">
        <w:rPr>
          <w:rFonts w:ascii="Book Antiqua" w:hAnsi="Book Antiqua" w:cs="Arial"/>
          <w:caps/>
          <w:color w:val="000000"/>
          <w:sz w:val="22"/>
          <w:szCs w:val="22"/>
        </w:rPr>
        <w:t>11859/2017</w:t>
      </w:r>
      <w:bookmarkEnd w:id="0"/>
      <w:bookmarkEnd w:id="1"/>
    </w:p>
    <w:p w:rsidR="006C4EE3" w:rsidRPr="00952E27" w:rsidRDefault="006C4EE3" w:rsidP="008A64A7">
      <w:pPr>
        <w:tabs>
          <w:tab w:val="right" w:pos="9720"/>
        </w:tabs>
        <w:ind w:right="-82"/>
        <w:rPr>
          <w:rFonts w:ascii="Book Antiqua" w:hAnsi="Book Antiqua" w:cs="Arial"/>
          <w:color w:val="000000"/>
          <w:sz w:val="22"/>
          <w:szCs w:val="22"/>
        </w:rPr>
      </w:pPr>
    </w:p>
    <w:p w:rsidR="00933B65" w:rsidRPr="00952E27" w:rsidRDefault="00933B65" w:rsidP="00933B65">
      <w:pPr>
        <w:jc w:val="center"/>
        <w:rPr>
          <w:rFonts w:ascii="Book Antiqua" w:hAnsi="Book Antiqua" w:cs="Arial"/>
          <w:color w:val="000000"/>
          <w:sz w:val="22"/>
          <w:szCs w:val="22"/>
        </w:rPr>
      </w:pPr>
    </w:p>
    <w:p w:rsidR="00933B65" w:rsidRDefault="00933B65" w:rsidP="00933B65">
      <w:pPr>
        <w:jc w:val="center"/>
        <w:rPr>
          <w:rFonts w:ascii="Book Antiqua" w:hAnsi="Book Antiqua" w:cs="Arial"/>
          <w:b/>
          <w:color w:val="000000"/>
          <w:sz w:val="22"/>
          <w:szCs w:val="22"/>
          <w:u w:val="single"/>
        </w:rPr>
      </w:pPr>
      <w:r w:rsidRPr="00952E27">
        <w:rPr>
          <w:rFonts w:ascii="Book Antiqua" w:hAnsi="Book Antiqua" w:cs="Arial"/>
          <w:b/>
          <w:color w:val="000000"/>
          <w:sz w:val="22"/>
          <w:szCs w:val="22"/>
          <w:u w:val="single"/>
        </w:rPr>
        <w:t>THE IMMIGRATION ACTS</w:t>
      </w:r>
    </w:p>
    <w:p w:rsidR="006C4EE3" w:rsidRPr="00952E27" w:rsidRDefault="006C4EE3" w:rsidP="00933B65">
      <w:pPr>
        <w:jc w:val="center"/>
        <w:rPr>
          <w:rFonts w:ascii="Book Antiqua" w:hAnsi="Book Antiqua" w:cs="Arial"/>
          <w:b/>
          <w:sz w:val="22"/>
          <w:szCs w:val="22"/>
          <w:u w:val="single"/>
        </w:rPr>
      </w:pPr>
    </w:p>
    <w:p w:rsidR="00933B65" w:rsidRPr="00952E27" w:rsidRDefault="00933B65" w:rsidP="00933B65">
      <w:pPr>
        <w:jc w:val="center"/>
        <w:rPr>
          <w:rFonts w:ascii="Book Antiqua" w:hAnsi="Book Antiqua" w:cs="Arial"/>
          <w:b/>
          <w:sz w:val="22"/>
          <w:szCs w:val="22"/>
          <w:u w:val="single"/>
        </w:rPr>
      </w:pPr>
    </w:p>
    <w:tbl>
      <w:tblPr>
        <w:tblW w:w="0" w:type="auto"/>
        <w:tblLook w:val="01E0" w:firstRow="1" w:lastRow="1" w:firstColumn="1" w:lastColumn="1" w:noHBand="0" w:noVBand="0"/>
      </w:tblPr>
      <w:tblGrid>
        <w:gridCol w:w="4673"/>
        <w:gridCol w:w="1238"/>
        <w:gridCol w:w="3717"/>
      </w:tblGrid>
      <w:tr w:rsidR="00933B65" w:rsidRPr="00952E27" w:rsidTr="0044533C">
        <w:tc>
          <w:tcPr>
            <w:tcW w:w="4673" w:type="dxa"/>
            <w:shd w:val="clear" w:color="auto" w:fill="auto"/>
          </w:tcPr>
          <w:p w:rsidR="00933B65" w:rsidRPr="00952E27" w:rsidRDefault="00933B65" w:rsidP="002154EF">
            <w:pPr>
              <w:jc w:val="both"/>
              <w:rPr>
                <w:rFonts w:ascii="Book Antiqua" w:hAnsi="Book Antiqua" w:cs="Arial"/>
                <w:b/>
                <w:sz w:val="22"/>
                <w:szCs w:val="22"/>
              </w:rPr>
            </w:pPr>
            <w:r w:rsidRPr="00952E27">
              <w:rPr>
                <w:rFonts w:ascii="Book Antiqua" w:hAnsi="Book Antiqua" w:cs="Arial"/>
                <w:b/>
                <w:sz w:val="22"/>
                <w:szCs w:val="22"/>
              </w:rPr>
              <w:t xml:space="preserve">Heard at </w:t>
            </w:r>
            <w:r w:rsidR="008B5B9B" w:rsidRPr="00952E27">
              <w:rPr>
                <w:rFonts w:ascii="Book Antiqua" w:hAnsi="Book Antiqua" w:cs="Arial"/>
                <w:b/>
                <w:sz w:val="22"/>
                <w:szCs w:val="22"/>
              </w:rPr>
              <w:t xml:space="preserve">Glasgow </w:t>
            </w:r>
          </w:p>
        </w:tc>
        <w:tc>
          <w:tcPr>
            <w:tcW w:w="4955" w:type="dxa"/>
            <w:gridSpan w:val="2"/>
            <w:shd w:val="clear" w:color="auto" w:fill="auto"/>
          </w:tcPr>
          <w:p w:rsidR="00933B65" w:rsidRPr="00952E27" w:rsidRDefault="00933B65" w:rsidP="002154EF">
            <w:pPr>
              <w:jc w:val="both"/>
              <w:rPr>
                <w:rFonts w:ascii="Book Antiqua" w:hAnsi="Book Antiqua" w:cs="Arial"/>
                <w:b/>
                <w:color w:val="000000"/>
                <w:sz w:val="22"/>
                <w:szCs w:val="22"/>
              </w:rPr>
            </w:pPr>
            <w:r w:rsidRPr="00952E27">
              <w:rPr>
                <w:rFonts w:ascii="Book Antiqua" w:hAnsi="Book Antiqua" w:cs="Arial"/>
                <w:b/>
                <w:color w:val="000000"/>
                <w:sz w:val="22"/>
                <w:szCs w:val="22"/>
              </w:rPr>
              <w:t>De</w:t>
            </w:r>
            <w:r w:rsidR="0078319E">
              <w:rPr>
                <w:rFonts w:ascii="Book Antiqua" w:hAnsi="Book Antiqua" w:cs="Arial"/>
                <w:b/>
                <w:color w:val="000000"/>
                <w:sz w:val="22"/>
                <w:szCs w:val="22"/>
              </w:rPr>
              <w:t>cision and Reasons</w:t>
            </w:r>
            <w:r w:rsidRPr="00952E27">
              <w:rPr>
                <w:rFonts w:ascii="Book Antiqua" w:hAnsi="Book Antiqua" w:cs="Arial"/>
                <w:b/>
                <w:color w:val="000000"/>
                <w:sz w:val="22"/>
                <w:szCs w:val="22"/>
              </w:rPr>
              <w:t xml:space="preserve"> </w:t>
            </w:r>
            <w:r w:rsidR="0078319E">
              <w:rPr>
                <w:rFonts w:ascii="Book Antiqua" w:hAnsi="Book Antiqua" w:cs="Arial"/>
                <w:b/>
                <w:color w:val="000000"/>
                <w:sz w:val="22"/>
                <w:szCs w:val="22"/>
              </w:rPr>
              <w:t xml:space="preserve">Promulgated </w:t>
            </w:r>
          </w:p>
        </w:tc>
      </w:tr>
      <w:tr w:rsidR="00933B65" w:rsidRPr="00952E27" w:rsidTr="0044533C">
        <w:tc>
          <w:tcPr>
            <w:tcW w:w="4673" w:type="dxa"/>
            <w:shd w:val="clear" w:color="auto" w:fill="auto"/>
          </w:tcPr>
          <w:p w:rsidR="00933B65" w:rsidRPr="00952E27" w:rsidRDefault="0078319E" w:rsidP="002154EF">
            <w:pPr>
              <w:jc w:val="both"/>
              <w:rPr>
                <w:rFonts w:ascii="Book Antiqua" w:hAnsi="Book Antiqua" w:cs="Arial"/>
                <w:b/>
                <w:sz w:val="22"/>
                <w:szCs w:val="22"/>
              </w:rPr>
            </w:pPr>
            <w:r>
              <w:rPr>
                <w:rFonts w:ascii="Book Antiqua" w:hAnsi="Book Antiqua" w:cs="Arial"/>
                <w:b/>
                <w:sz w:val="22"/>
                <w:szCs w:val="22"/>
              </w:rPr>
              <w:t>O</w:t>
            </w:r>
            <w:r w:rsidR="00933B65" w:rsidRPr="00952E27">
              <w:rPr>
                <w:rFonts w:ascii="Book Antiqua" w:hAnsi="Book Antiqua" w:cs="Arial"/>
                <w:b/>
                <w:sz w:val="22"/>
                <w:szCs w:val="22"/>
              </w:rPr>
              <w:t xml:space="preserve">n </w:t>
            </w:r>
            <w:r w:rsidR="00FF0239" w:rsidRPr="00952E27">
              <w:rPr>
                <w:rFonts w:ascii="Book Antiqua" w:hAnsi="Book Antiqua" w:cs="Arial"/>
                <w:b/>
                <w:sz w:val="22"/>
                <w:szCs w:val="22"/>
              </w:rPr>
              <w:t>19 July 2018</w:t>
            </w:r>
          </w:p>
        </w:tc>
        <w:tc>
          <w:tcPr>
            <w:tcW w:w="4955" w:type="dxa"/>
            <w:gridSpan w:val="2"/>
            <w:shd w:val="clear" w:color="auto" w:fill="auto"/>
          </w:tcPr>
          <w:p w:rsidR="00933B65" w:rsidRPr="00952E27" w:rsidRDefault="0078319E" w:rsidP="002154EF">
            <w:pPr>
              <w:jc w:val="both"/>
              <w:rPr>
                <w:rFonts w:ascii="Book Antiqua" w:hAnsi="Book Antiqua" w:cs="Arial"/>
                <w:b/>
                <w:sz w:val="22"/>
                <w:szCs w:val="22"/>
              </w:rPr>
            </w:pPr>
            <w:r>
              <w:rPr>
                <w:rFonts w:ascii="Book Antiqua" w:hAnsi="Book Antiqua" w:cs="Arial"/>
                <w:b/>
                <w:sz w:val="22"/>
                <w:szCs w:val="22"/>
              </w:rPr>
              <w:t xml:space="preserve">On 27 July 2018 </w:t>
            </w:r>
          </w:p>
        </w:tc>
      </w:tr>
      <w:tr w:rsidR="00933B65" w:rsidRPr="00952E27" w:rsidTr="0044533C">
        <w:tc>
          <w:tcPr>
            <w:tcW w:w="5911" w:type="dxa"/>
            <w:gridSpan w:val="2"/>
            <w:shd w:val="clear" w:color="auto" w:fill="auto"/>
          </w:tcPr>
          <w:p w:rsidR="00933B65" w:rsidRPr="00952E27" w:rsidRDefault="00933B65" w:rsidP="002154EF">
            <w:pPr>
              <w:jc w:val="both"/>
              <w:rPr>
                <w:rFonts w:ascii="Book Antiqua" w:hAnsi="Book Antiqua" w:cs="Arial"/>
                <w:b/>
                <w:sz w:val="22"/>
                <w:szCs w:val="22"/>
              </w:rPr>
            </w:pPr>
          </w:p>
        </w:tc>
        <w:tc>
          <w:tcPr>
            <w:tcW w:w="3717" w:type="dxa"/>
            <w:shd w:val="clear" w:color="auto" w:fill="auto"/>
          </w:tcPr>
          <w:p w:rsidR="00933B65" w:rsidRPr="00952E27" w:rsidRDefault="00933B65" w:rsidP="002154EF">
            <w:pPr>
              <w:jc w:val="both"/>
              <w:rPr>
                <w:rFonts w:ascii="Book Antiqua" w:hAnsi="Book Antiqua" w:cs="Arial"/>
                <w:b/>
                <w:sz w:val="22"/>
                <w:szCs w:val="22"/>
              </w:rPr>
            </w:pPr>
          </w:p>
        </w:tc>
      </w:tr>
    </w:tbl>
    <w:p w:rsidR="00B155AF" w:rsidRDefault="00B155AF" w:rsidP="00933B65">
      <w:pPr>
        <w:jc w:val="center"/>
        <w:rPr>
          <w:rFonts w:ascii="Book Antiqua" w:hAnsi="Book Antiqua" w:cs="Arial"/>
          <w:b/>
          <w:sz w:val="22"/>
          <w:szCs w:val="22"/>
        </w:rPr>
      </w:pPr>
    </w:p>
    <w:p w:rsidR="00933B65" w:rsidRPr="00952E27" w:rsidRDefault="00933B65" w:rsidP="00933B65">
      <w:pPr>
        <w:jc w:val="center"/>
        <w:rPr>
          <w:rFonts w:ascii="Book Antiqua" w:hAnsi="Book Antiqua" w:cs="Arial"/>
          <w:b/>
          <w:sz w:val="22"/>
          <w:szCs w:val="22"/>
        </w:rPr>
      </w:pPr>
      <w:r w:rsidRPr="00952E27">
        <w:rPr>
          <w:rFonts w:ascii="Book Antiqua" w:hAnsi="Book Antiqua" w:cs="Arial"/>
          <w:b/>
          <w:sz w:val="22"/>
          <w:szCs w:val="22"/>
        </w:rPr>
        <w:t>Before</w:t>
      </w:r>
    </w:p>
    <w:p w:rsidR="00933B65" w:rsidRPr="00952E27" w:rsidRDefault="00933B65" w:rsidP="00933B65">
      <w:pPr>
        <w:jc w:val="center"/>
        <w:rPr>
          <w:rFonts w:ascii="Book Antiqua" w:hAnsi="Book Antiqua" w:cs="Arial"/>
          <w:b/>
          <w:sz w:val="22"/>
          <w:szCs w:val="22"/>
        </w:rPr>
      </w:pPr>
    </w:p>
    <w:p w:rsidR="00933B65" w:rsidRPr="00952E27" w:rsidRDefault="00933B65" w:rsidP="00933B65">
      <w:pPr>
        <w:jc w:val="center"/>
        <w:rPr>
          <w:rFonts w:ascii="Book Antiqua" w:hAnsi="Book Antiqua" w:cs="Arial"/>
          <w:b/>
          <w:color w:val="000000"/>
          <w:sz w:val="22"/>
          <w:szCs w:val="22"/>
        </w:rPr>
      </w:pPr>
      <w:r w:rsidRPr="00952E27">
        <w:rPr>
          <w:rFonts w:ascii="Book Antiqua" w:hAnsi="Book Antiqua" w:cs="Arial"/>
          <w:b/>
          <w:color w:val="000000"/>
          <w:sz w:val="22"/>
          <w:szCs w:val="22"/>
        </w:rPr>
        <w:t xml:space="preserve">UPPER TRIBUNAL JUDGE </w:t>
      </w:r>
      <w:r w:rsidR="008B5B9B" w:rsidRPr="00952E27">
        <w:rPr>
          <w:rFonts w:ascii="Book Antiqua" w:hAnsi="Book Antiqua" w:cs="Arial"/>
          <w:b/>
          <w:color w:val="000000"/>
          <w:sz w:val="22"/>
          <w:szCs w:val="22"/>
        </w:rPr>
        <w:t>MACLEMAN</w:t>
      </w:r>
    </w:p>
    <w:p w:rsidR="00933B65" w:rsidRPr="00952E27" w:rsidRDefault="00933B65" w:rsidP="00933B65">
      <w:pPr>
        <w:jc w:val="center"/>
        <w:rPr>
          <w:rFonts w:ascii="Book Antiqua" w:hAnsi="Book Antiqua" w:cs="Arial"/>
          <w:b/>
          <w:sz w:val="22"/>
          <w:szCs w:val="22"/>
        </w:rPr>
      </w:pPr>
    </w:p>
    <w:p w:rsidR="00B155AF" w:rsidRDefault="00B155AF" w:rsidP="00933B65">
      <w:pPr>
        <w:jc w:val="center"/>
        <w:rPr>
          <w:rFonts w:ascii="Book Antiqua" w:hAnsi="Book Antiqua" w:cs="Arial"/>
          <w:b/>
          <w:sz w:val="22"/>
          <w:szCs w:val="22"/>
        </w:rPr>
      </w:pPr>
    </w:p>
    <w:p w:rsidR="00933B65" w:rsidRPr="00952E27" w:rsidRDefault="00933B65" w:rsidP="00933B65">
      <w:pPr>
        <w:jc w:val="center"/>
        <w:rPr>
          <w:rFonts w:ascii="Book Antiqua" w:hAnsi="Book Antiqua" w:cs="Arial"/>
          <w:b/>
          <w:sz w:val="22"/>
          <w:szCs w:val="22"/>
        </w:rPr>
      </w:pPr>
      <w:r w:rsidRPr="00952E27">
        <w:rPr>
          <w:rFonts w:ascii="Book Antiqua" w:hAnsi="Book Antiqua" w:cs="Arial"/>
          <w:b/>
          <w:sz w:val="22"/>
          <w:szCs w:val="22"/>
        </w:rPr>
        <w:t>Between</w:t>
      </w:r>
    </w:p>
    <w:p w:rsidR="00933B65" w:rsidRPr="00952E27" w:rsidRDefault="00933B65" w:rsidP="00933B65">
      <w:pPr>
        <w:jc w:val="center"/>
        <w:rPr>
          <w:rFonts w:ascii="Book Antiqua" w:hAnsi="Book Antiqua" w:cs="Arial"/>
          <w:b/>
          <w:sz w:val="22"/>
          <w:szCs w:val="22"/>
        </w:rPr>
      </w:pPr>
    </w:p>
    <w:p w:rsidR="00933B65" w:rsidRDefault="00EB3D96" w:rsidP="00933B65">
      <w:pPr>
        <w:jc w:val="center"/>
        <w:rPr>
          <w:rFonts w:ascii="Book Antiqua" w:hAnsi="Book Antiqua" w:cs="Arial"/>
          <w:b/>
          <w:sz w:val="22"/>
          <w:szCs w:val="22"/>
        </w:rPr>
      </w:pPr>
      <w:r w:rsidRPr="00952E27">
        <w:rPr>
          <w:rFonts w:ascii="Book Antiqua" w:hAnsi="Book Antiqua" w:cs="Arial"/>
          <w:b/>
          <w:sz w:val="22"/>
          <w:szCs w:val="22"/>
        </w:rPr>
        <w:t>H J N</w:t>
      </w:r>
      <w:r w:rsidR="008B5B9B" w:rsidRPr="00952E27">
        <w:rPr>
          <w:rFonts w:ascii="Book Antiqua" w:hAnsi="Book Antiqua" w:cs="Arial"/>
          <w:b/>
          <w:sz w:val="22"/>
          <w:szCs w:val="22"/>
        </w:rPr>
        <w:t xml:space="preserve"> </w:t>
      </w:r>
    </w:p>
    <w:p w:rsidR="0078319E" w:rsidRPr="00952E27" w:rsidRDefault="0078319E" w:rsidP="00933B65">
      <w:pPr>
        <w:jc w:val="center"/>
        <w:rPr>
          <w:rFonts w:ascii="Book Antiqua" w:hAnsi="Book Antiqua" w:cs="Arial"/>
          <w:b/>
          <w:sz w:val="22"/>
          <w:szCs w:val="22"/>
        </w:rPr>
      </w:pPr>
      <w:r>
        <w:rPr>
          <w:rFonts w:ascii="Book Antiqua" w:hAnsi="Book Antiqua" w:cs="Arial"/>
          <w:b/>
          <w:sz w:val="22"/>
          <w:szCs w:val="22"/>
        </w:rPr>
        <w:t>(anonymity direction made)</w:t>
      </w:r>
    </w:p>
    <w:p w:rsidR="00933B65" w:rsidRPr="00952E27" w:rsidRDefault="00933B65" w:rsidP="00933B65">
      <w:pPr>
        <w:jc w:val="right"/>
        <w:rPr>
          <w:rFonts w:ascii="Book Antiqua" w:hAnsi="Book Antiqua" w:cs="Arial"/>
          <w:sz w:val="22"/>
          <w:szCs w:val="22"/>
          <w:u w:val="single"/>
        </w:rPr>
      </w:pPr>
      <w:r w:rsidRPr="00952E27">
        <w:rPr>
          <w:rFonts w:ascii="Book Antiqua" w:hAnsi="Book Antiqua" w:cs="Arial"/>
          <w:sz w:val="22"/>
          <w:szCs w:val="22"/>
          <w:u w:val="single"/>
        </w:rPr>
        <w:t>Appellant</w:t>
      </w:r>
    </w:p>
    <w:p w:rsidR="00933B65" w:rsidRPr="00952E27" w:rsidRDefault="00933B65" w:rsidP="00933B65">
      <w:pPr>
        <w:jc w:val="center"/>
        <w:rPr>
          <w:rFonts w:ascii="Book Antiqua" w:hAnsi="Book Antiqua" w:cs="Arial"/>
          <w:b/>
          <w:sz w:val="22"/>
          <w:szCs w:val="22"/>
        </w:rPr>
      </w:pPr>
      <w:r w:rsidRPr="00952E27">
        <w:rPr>
          <w:rFonts w:ascii="Book Antiqua" w:hAnsi="Book Antiqua" w:cs="Arial"/>
          <w:b/>
          <w:sz w:val="22"/>
          <w:szCs w:val="22"/>
        </w:rPr>
        <w:t>and</w:t>
      </w:r>
    </w:p>
    <w:p w:rsidR="00933B65" w:rsidRPr="00952E27" w:rsidRDefault="00933B65" w:rsidP="00933B65">
      <w:pPr>
        <w:jc w:val="center"/>
        <w:rPr>
          <w:rFonts w:ascii="Book Antiqua" w:hAnsi="Book Antiqua" w:cs="Arial"/>
          <w:b/>
          <w:sz w:val="22"/>
          <w:szCs w:val="22"/>
        </w:rPr>
      </w:pPr>
    </w:p>
    <w:p w:rsidR="00D44C2B" w:rsidRPr="00952E27" w:rsidRDefault="00933B65" w:rsidP="00933B65">
      <w:pPr>
        <w:jc w:val="center"/>
        <w:rPr>
          <w:rFonts w:ascii="Book Antiqua" w:hAnsi="Book Antiqua" w:cs="Arial"/>
          <w:b/>
          <w:sz w:val="22"/>
          <w:szCs w:val="22"/>
        </w:rPr>
      </w:pPr>
      <w:r w:rsidRPr="00952E27">
        <w:rPr>
          <w:rFonts w:ascii="Book Antiqua" w:hAnsi="Book Antiqua" w:cs="Arial"/>
          <w:b/>
          <w:sz w:val="22"/>
          <w:szCs w:val="22"/>
        </w:rPr>
        <w:fldChar w:fldCharType="begin">
          <w:ffData>
            <w:name w:val="Text7"/>
            <w:enabled/>
            <w:calcOnExit w:val="0"/>
            <w:textInput>
              <w:default w:val="THE SECRETARY OF STATE FOR THE HOME DEPARTMENT"/>
              <w:format w:val="UPPERCASE"/>
            </w:textInput>
          </w:ffData>
        </w:fldChar>
      </w:r>
      <w:bookmarkStart w:id="2" w:name="Text7"/>
      <w:r w:rsidRPr="00952E27">
        <w:rPr>
          <w:rFonts w:ascii="Book Antiqua" w:hAnsi="Book Antiqua" w:cs="Arial"/>
          <w:b/>
          <w:sz w:val="22"/>
          <w:szCs w:val="22"/>
        </w:rPr>
        <w:instrText xml:space="preserve"> FORMTEXT </w:instrText>
      </w:r>
      <w:r w:rsidRPr="00952E27">
        <w:rPr>
          <w:rFonts w:ascii="Book Antiqua" w:hAnsi="Book Antiqua" w:cs="Arial"/>
          <w:b/>
          <w:sz w:val="22"/>
          <w:szCs w:val="22"/>
        </w:rPr>
      </w:r>
      <w:r w:rsidRPr="00952E27">
        <w:rPr>
          <w:rFonts w:ascii="Book Antiqua" w:hAnsi="Book Antiqua" w:cs="Arial"/>
          <w:b/>
          <w:sz w:val="22"/>
          <w:szCs w:val="22"/>
        </w:rPr>
        <w:fldChar w:fldCharType="separate"/>
      </w:r>
      <w:r w:rsidRPr="00952E27">
        <w:rPr>
          <w:rFonts w:ascii="Book Antiqua" w:hAnsi="Book Antiqua" w:cs="Arial"/>
          <w:b/>
          <w:noProof/>
          <w:sz w:val="22"/>
          <w:szCs w:val="22"/>
        </w:rPr>
        <w:t>THE SECRETARY OF STATE FOR THE HOME DEPARTMENT</w:t>
      </w:r>
      <w:r w:rsidRPr="00952E27">
        <w:rPr>
          <w:rFonts w:ascii="Book Antiqua" w:hAnsi="Book Antiqua" w:cs="Arial"/>
          <w:b/>
          <w:sz w:val="22"/>
          <w:szCs w:val="22"/>
        </w:rPr>
        <w:fldChar w:fldCharType="end"/>
      </w:r>
      <w:bookmarkEnd w:id="2"/>
    </w:p>
    <w:p w:rsidR="00933B65" w:rsidRPr="00952E27" w:rsidRDefault="00933B65" w:rsidP="008A64A7">
      <w:pPr>
        <w:jc w:val="right"/>
        <w:rPr>
          <w:rFonts w:ascii="Book Antiqua" w:hAnsi="Book Antiqua" w:cs="Arial"/>
          <w:sz w:val="22"/>
          <w:szCs w:val="22"/>
          <w:u w:val="single"/>
        </w:rPr>
      </w:pPr>
      <w:r w:rsidRPr="00952E27">
        <w:rPr>
          <w:rFonts w:ascii="Book Antiqua" w:hAnsi="Book Antiqua" w:cs="Arial"/>
          <w:sz w:val="22"/>
          <w:szCs w:val="22"/>
          <w:u w:val="single"/>
        </w:rPr>
        <w:t>Respondent</w:t>
      </w:r>
    </w:p>
    <w:p w:rsidR="00933B65" w:rsidRDefault="00933B65" w:rsidP="00933B65">
      <w:pPr>
        <w:rPr>
          <w:rFonts w:ascii="Book Antiqua" w:hAnsi="Book Antiqua" w:cs="Arial"/>
          <w:sz w:val="22"/>
          <w:szCs w:val="22"/>
        </w:rPr>
      </w:pPr>
    </w:p>
    <w:p w:rsidR="00B155AF" w:rsidRPr="00952E27" w:rsidRDefault="00B155AF" w:rsidP="00933B65">
      <w:pPr>
        <w:rPr>
          <w:rFonts w:ascii="Book Antiqua" w:hAnsi="Book Antiqua" w:cs="Arial"/>
          <w:sz w:val="22"/>
          <w:szCs w:val="22"/>
        </w:rPr>
      </w:pPr>
    </w:p>
    <w:p w:rsidR="00933B65" w:rsidRPr="00952E27" w:rsidRDefault="00933B65" w:rsidP="00933B65">
      <w:pPr>
        <w:tabs>
          <w:tab w:val="left" w:pos="2520"/>
        </w:tabs>
        <w:rPr>
          <w:rFonts w:ascii="Book Antiqua" w:hAnsi="Book Antiqua" w:cs="Arial"/>
          <w:sz w:val="22"/>
          <w:szCs w:val="22"/>
        </w:rPr>
      </w:pPr>
      <w:r w:rsidRPr="00952E27">
        <w:rPr>
          <w:rFonts w:ascii="Book Antiqua" w:hAnsi="Book Antiqua" w:cs="Arial"/>
          <w:sz w:val="22"/>
          <w:szCs w:val="22"/>
        </w:rPr>
        <w:t>For the Appellant:</w:t>
      </w:r>
      <w:r w:rsidRPr="00952E27">
        <w:rPr>
          <w:rFonts w:ascii="Book Antiqua" w:hAnsi="Book Antiqua" w:cs="Arial"/>
          <w:sz w:val="22"/>
          <w:szCs w:val="22"/>
        </w:rPr>
        <w:tab/>
      </w:r>
      <w:r w:rsidR="003C7E27" w:rsidRPr="00952E27">
        <w:rPr>
          <w:rFonts w:ascii="Book Antiqua" w:hAnsi="Book Antiqua" w:cs="Arial"/>
          <w:sz w:val="22"/>
          <w:szCs w:val="22"/>
        </w:rPr>
        <w:t xml:space="preserve">Mr </w:t>
      </w:r>
      <w:r w:rsidR="002F6E40" w:rsidRPr="00952E27">
        <w:rPr>
          <w:rFonts w:ascii="Book Antiqua" w:hAnsi="Book Antiqua" w:cs="Arial"/>
          <w:sz w:val="22"/>
          <w:szCs w:val="22"/>
        </w:rPr>
        <w:t xml:space="preserve">A Sirel, of </w:t>
      </w:r>
      <w:r w:rsidR="002D7FE9" w:rsidRPr="00952E27">
        <w:rPr>
          <w:rFonts w:ascii="Book Antiqua" w:hAnsi="Book Antiqua" w:cs="Arial"/>
          <w:sz w:val="22"/>
          <w:szCs w:val="22"/>
        </w:rPr>
        <w:t xml:space="preserve">Justright Scotland, </w:t>
      </w:r>
      <w:r w:rsidR="003D7D3D" w:rsidRPr="00952E27">
        <w:rPr>
          <w:rFonts w:ascii="Book Antiqua" w:hAnsi="Book Antiqua" w:cs="Arial"/>
          <w:sz w:val="22"/>
          <w:szCs w:val="22"/>
        </w:rPr>
        <w:t>Solicitors</w:t>
      </w:r>
    </w:p>
    <w:p w:rsidR="00933B65" w:rsidRPr="00952E27" w:rsidRDefault="00933B65" w:rsidP="008A64A7">
      <w:pPr>
        <w:tabs>
          <w:tab w:val="left" w:pos="2520"/>
        </w:tabs>
        <w:rPr>
          <w:rFonts w:ascii="Book Antiqua" w:hAnsi="Book Antiqua" w:cs="Arial"/>
          <w:sz w:val="22"/>
          <w:szCs w:val="22"/>
        </w:rPr>
      </w:pPr>
      <w:r w:rsidRPr="00952E27">
        <w:rPr>
          <w:rFonts w:ascii="Book Antiqua" w:hAnsi="Book Antiqua" w:cs="Arial"/>
          <w:sz w:val="22"/>
          <w:szCs w:val="22"/>
        </w:rPr>
        <w:t>For the Respondent:</w:t>
      </w:r>
      <w:r w:rsidRPr="00952E27">
        <w:rPr>
          <w:rFonts w:ascii="Book Antiqua" w:hAnsi="Book Antiqua" w:cs="Arial"/>
          <w:sz w:val="22"/>
          <w:szCs w:val="22"/>
        </w:rPr>
        <w:tab/>
      </w:r>
      <w:r w:rsidR="00620E08" w:rsidRPr="00952E27">
        <w:rPr>
          <w:rFonts w:ascii="Book Antiqua" w:hAnsi="Book Antiqua" w:cs="Arial"/>
          <w:sz w:val="22"/>
          <w:szCs w:val="22"/>
        </w:rPr>
        <w:t xml:space="preserve">Mr A Govan, </w:t>
      </w:r>
      <w:r w:rsidR="003D7D3D" w:rsidRPr="00952E27">
        <w:rPr>
          <w:rFonts w:ascii="Book Antiqua" w:hAnsi="Book Antiqua" w:cs="Arial"/>
          <w:sz w:val="22"/>
          <w:szCs w:val="22"/>
        </w:rPr>
        <w:t>Senior</w:t>
      </w:r>
      <w:r w:rsidRPr="00952E27">
        <w:rPr>
          <w:rFonts w:ascii="Book Antiqua" w:hAnsi="Book Antiqua" w:cs="Arial"/>
          <w:sz w:val="22"/>
          <w:szCs w:val="22"/>
        </w:rPr>
        <w:t xml:space="preserve"> Home Office Presenting Officer</w:t>
      </w:r>
    </w:p>
    <w:p w:rsidR="00933B65" w:rsidRDefault="00933B65" w:rsidP="00933B65">
      <w:pPr>
        <w:tabs>
          <w:tab w:val="left" w:pos="2520"/>
        </w:tabs>
        <w:jc w:val="center"/>
        <w:rPr>
          <w:rFonts w:ascii="Book Antiqua" w:hAnsi="Book Antiqua" w:cs="Arial"/>
          <w:sz w:val="22"/>
          <w:szCs w:val="22"/>
        </w:rPr>
      </w:pPr>
    </w:p>
    <w:p w:rsidR="00B155AF" w:rsidRPr="00952E27" w:rsidRDefault="00B155AF" w:rsidP="00933B65">
      <w:pPr>
        <w:tabs>
          <w:tab w:val="left" w:pos="2520"/>
        </w:tabs>
        <w:jc w:val="center"/>
        <w:rPr>
          <w:rFonts w:ascii="Book Antiqua" w:hAnsi="Book Antiqua" w:cs="Arial"/>
          <w:sz w:val="22"/>
          <w:szCs w:val="22"/>
        </w:rPr>
      </w:pPr>
    </w:p>
    <w:p w:rsidR="00321C6F" w:rsidRPr="00952E27" w:rsidRDefault="00933B65" w:rsidP="00734D2D">
      <w:pPr>
        <w:tabs>
          <w:tab w:val="left" w:pos="2520"/>
        </w:tabs>
        <w:jc w:val="center"/>
        <w:rPr>
          <w:rFonts w:ascii="Book Antiqua" w:hAnsi="Book Antiqua" w:cs="Arial"/>
          <w:sz w:val="22"/>
          <w:szCs w:val="22"/>
        </w:rPr>
      </w:pPr>
      <w:r w:rsidRPr="00952E27">
        <w:rPr>
          <w:rFonts w:ascii="Book Antiqua" w:hAnsi="Book Antiqua" w:cs="Arial"/>
          <w:b/>
          <w:sz w:val="22"/>
          <w:szCs w:val="22"/>
          <w:u w:val="single"/>
        </w:rPr>
        <w:t>DETERMINATION AND REASONS</w:t>
      </w:r>
    </w:p>
    <w:p w:rsidR="00D31D54" w:rsidRPr="00952E27" w:rsidRDefault="00007BAC" w:rsidP="00007BAC">
      <w:pPr>
        <w:numPr>
          <w:ilvl w:val="0"/>
          <w:numId w:val="2"/>
        </w:numPr>
        <w:spacing w:before="240"/>
        <w:jc w:val="both"/>
        <w:rPr>
          <w:rFonts w:ascii="Book Antiqua" w:hAnsi="Book Antiqua" w:cs="Arial"/>
          <w:sz w:val="22"/>
          <w:szCs w:val="22"/>
        </w:rPr>
      </w:pPr>
      <w:r w:rsidRPr="00952E27">
        <w:rPr>
          <w:rFonts w:ascii="Book Antiqua" w:hAnsi="Book Antiqua" w:cs="Arial"/>
          <w:sz w:val="22"/>
          <w:szCs w:val="22"/>
        </w:rPr>
        <w:t>Th</w:t>
      </w:r>
      <w:r w:rsidR="00D31D54" w:rsidRPr="00952E27">
        <w:rPr>
          <w:rFonts w:ascii="Book Antiqua" w:hAnsi="Book Antiqua" w:cs="Arial"/>
          <w:sz w:val="22"/>
          <w:szCs w:val="22"/>
        </w:rPr>
        <w:t>is decision is to be read with:</w:t>
      </w:r>
    </w:p>
    <w:p w:rsidR="00007BAC" w:rsidRPr="00952E27" w:rsidRDefault="00D31D54" w:rsidP="00E21898">
      <w:pPr>
        <w:numPr>
          <w:ilvl w:val="1"/>
          <w:numId w:val="2"/>
        </w:numPr>
        <w:spacing w:before="120"/>
        <w:jc w:val="both"/>
        <w:rPr>
          <w:rFonts w:ascii="Book Antiqua" w:hAnsi="Book Antiqua" w:cs="Arial"/>
          <w:sz w:val="22"/>
          <w:szCs w:val="22"/>
        </w:rPr>
      </w:pPr>
      <w:r w:rsidRPr="00952E27">
        <w:rPr>
          <w:rFonts w:ascii="Book Antiqua" w:hAnsi="Book Antiqua" w:cs="Arial"/>
          <w:sz w:val="22"/>
          <w:szCs w:val="22"/>
        </w:rPr>
        <w:t>The</w:t>
      </w:r>
      <w:r w:rsidR="00007BAC" w:rsidRPr="00952E27">
        <w:rPr>
          <w:rFonts w:ascii="Book Antiqua" w:hAnsi="Book Antiqua" w:cs="Arial"/>
          <w:sz w:val="22"/>
          <w:szCs w:val="22"/>
        </w:rPr>
        <w:t xml:space="preserve"> respondent</w:t>
      </w:r>
      <w:r w:rsidRPr="00952E27">
        <w:rPr>
          <w:rFonts w:ascii="Book Antiqua" w:hAnsi="Book Antiqua" w:cs="Arial"/>
          <w:sz w:val="22"/>
          <w:szCs w:val="22"/>
        </w:rPr>
        <w:t xml:space="preserve">’s decision dated </w:t>
      </w:r>
      <w:r w:rsidR="005A4DB7" w:rsidRPr="00952E27">
        <w:rPr>
          <w:rFonts w:ascii="Book Antiqua" w:hAnsi="Book Antiqua" w:cs="Arial"/>
          <w:sz w:val="22"/>
          <w:szCs w:val="22"/>
        </w:rPr>
        <w:t>2 November 2017</w:t>
      </w:r>
      <w:r w:rsidR="00007BAC" w:rsidRPr="00952E27">
        <w:rPr>
          <w:rFonts w:ascii="Book Antiqua" w:hAnsi="Book Antiqua" w:cs="Arial"/>
          <w:sz w:val="22"/>
          <w:szCs w:val="22"/>
        </w:rPr>
        <w:t xml:space="preserve"> refus</w:t>
      </w:r>
      <w:r w:rsidR="000777B7" w:rsidRPr="00952E27">
        <w:rPr>
          <w:rFonts w:ascii="Book Antiqua" w:hAnsi="Book Antiqua" w:cs="Arial"/>
          <w:sz w:val="22"/>
          <w:szCs w:val="22"/>
        </w:rPr>
        <w:t>ing the appellant’s</w:t>
      </w:r>
      <w:r w:rsidR="00007BAC" w:rsidRPr="00952E27">
        <w:rPr>
          <w:rFonts w:ascii="Book Antiqua" w:hAnsi="Book Antiqua" w:cs="Arial"/>
          <w:sz w:val="22"/>
          <w:szCs w:val="22"/>
        </w:rPr>
        <w:t xml:space="preserve"> claim</w:t>
      </w:r>
      <w:r w:rsidR="000777B7" w:rsidRPr="00952E27">
        <w:rPr>
          <w:rFonts w:ascii="Book Antiqua" w:hAnsi="Book Antiqua" w:cs="Arial"/>
          <w:sz w:val="22"/>
          <w:szCs w:val="22"/>
        </w:rPr>
        <w:t>.</w:t>
      </w:r>
      <w:r w:rsidR="00007BAC" w:rsidRPr="00952E27">
        <w:rPr>
          <w:rFonts w:ascii="Book Antiqua" w:hAnsi="Book Antiqua" w:cs="Arial"/>
          <w:sz w:val="22"/>
          <w:szCs w:val="22"/>
        </w:rPr>
        <w:t xml:space="preserve"> </w:t>
      </w:r>
    </w:p>
    <w:p w:rsidR="000777B7" w:rsidRPr="00952E27" w:rsidRDefault="000777B7" w:rsidP="00E21898">
      <w:pPr>
        <w:numPr>
          <w:ilvl w:val="1"/>
          <w:numId w:val="2"/>
        </w:numPr>
        <w:spacing w:before="120"/>
        <w:jc w:val="both"/>
        <w:rPr>
          <w:rFonts w:ascii="Book Antiqua" w:hAnsi="Book Antiqua" w:cs="Arial"/>
          <w:sz w:val="22"/>
          <w:szCs w:val="22"/>
        </w:rPr>
      </w:pPr>
      <w:r w:rsidRPr="00952E27">
        <w:rPr>
          <w:rFonts w:ascii="Book Antiqua" w:hAnsi="Book Antiqua" w:cs="Arial"/>
          <w:sz w:val="22"/>
          <w:szCs w:val="22"/>
        </w:rPr>
        <w:t>The appellant’s grounds of appeal to the First-tier Tribunal.</w:t>
      </w:r>
    </w:p>
    <w:p w:rsidR="00007BAC" w:rsidRPr="00952E27" w:rsidRDefault="000777B7" w:rsidP="00E21898">
      <w:pPr>
        <w:numPr>
          <w:ilvl w:val="1"/>
          <w:numId w:val="2"/>
        </w:numPr>
        <w:spacing w:before="120"/>
        <w:jc w:val="both"/>
        <w:rPr>
          <w:rFonts w:ascii="Book Antiqua" w:hAnsi="Book Antiqua" w:cs="Arial"/>
          <w:sz w:val="22"/>
          <w:szCs w:val="22"/>
        </w:rPr>
      </w:pPr>
      <w:r w:rsidRPr="00952E27">
        <w:rPr>
          <w:rFonts w:ascii="Book Antiqua" w:hAnsi="Book Antiqua" w:cs="Arial"/>
          <w:sz w:val="22"/>
          <w:szCs w:val="22"/>
        </w:rPr>
        <w:t>The decision of FtT</w:t>
      </w:r>
      <w:r w:rsidR="00007BAC" w:rsidRPr="00952E27">
        <w:rPr>
          <w:rFonts w:ascii="Book Antiqua" w:hAnsi="Book Antiqua" w:cs="Arial"/>
          <w:sz w:val="22"/>
          <w:szCs w:val="22"/>
        </w:rPr>
        <w:t xml:space="preserve"> Judge </w:t>
      </w:r>
      <w:r w:rsidR="005A4DB7" w:rsidRPr="00952E27">
        <w:rPr>
          <w:rFonts w:ascii="Book Antiqua" w:hAnsi="Book Antiqua" w:cs="Arial"/>
          <w:sz w:val="22"/>
          <w:szCs w:val="22"/>
        </w:rPr>
        <w:t>J C Grant-Hutchison,</w:t>
      </w:r>
      <w:r w:rsidR="00007BAC" w:rsidRPr="00952E27">
        <w:rPr>
          <w:rFonts w:ascii="Book Antiqua" w:hAnsi="Book Antiqua" w:cs="Arial"/>
          <w:sz w:val="22"/>
          <w:szCs w:val="22"/>
        </w:rPr>
        <w:t xml:space="preserve"> promulgated on</w:t>
      </w:r>
      <w:r w:rsidR="005A4DB7" w:rsidRPr="00952E27">
        <w:rPr>
          <w:rFonts w:ascii="Book Antiqua" w:hAnsi="Book Antiqua" w:cs="Arial"/>
          <w:sz w:val="22"/>
          <w:szCs w:val="22"/>
        </w:rPr>
        <w:t xml:space="preserve"> 18 January 2018.</w:t>
      </w:r>
      <w:r w:rsidR="00007BAC" w:rsidRPr="00952E27">
        <w:rPr>
          <w:rFonts w:ascii="Book Antiqua" w:hAnsi="Book Antiqua" w:cs="Arial"/>
          <w:sz w:val="22"/>
          <w:szCs w:val="22"/>
        </w:rPr>
        <w:t xml:space="preserve"> </w:t>
      </w:r>
    </w:p>
    <w:p w:rsidR="00F47052" w:rsidRPr="00952E27" w:rsidRDefault="00C15A7E" w:rsidP="00E21898">
      <w:pPr>
        <w:numPr>
          <w:ilvl w:val="1"/>
          <w:numId w:val="2"/>
        </w:numPr>
        <w:spacing w:before="120"/>
        <w:jc w:val="both"/>
        <w:rPr>
          <w:rFonts w:ascii="Book Antiqua" w:hAnsi="Book Antiqua"/>
          <w:sz w:val="22"/>
          <w:szCs w:val="22"/>
        </w:rPr>
      </w:pPr>
      <w:r w:rsidRPr="00952E27">
        <w:rPr>
          <w:rFonts w:ascii="Book Antiqua" w:hAnsi="Book Antiqua" w:cs="Arial"/>
          <w:sz w:val="22"/>
          <w:szCs w:val="22"/>
        </w:rPr>
        <w:t xml:space="preserve">The appellant’s grounds of appeal </w:t>
      </w:r>
      <w:r w:rsidR="00F125AD" w:rsidRPr="00952E27">
        <w:rPr>
          <w:rFonts w:ascii="Book Antiqua" w:hAnsi="Book Antiqua" w:cs="Arial"/>
          <w:sz w:val="22"/>
          <w:szCs w:val="22"/>
        </w:rPr>
        <w:t xml:space="preserve">to the UT, stated </w:t>
      </w:r>
      <w:r w:rsidRPr="00952E27">
        <w:rPr>
          <w:rFonts w:ascii="Book Antiqua" w:hAnsi="Book Antiqua" w:cs="Arial"/>
          <w:sz w:val="22"/>
          <w:szCs w:val="22"/>
        </w:rPr>
        <w:t xml:space="preserve">in the </w:t>
      </w:r>
      <w:r w:rsidRPr="00952E27">
        <w:rPr>
          <w:rFonts w:ascii="Book Antiqua" w:hAnsi="Book Antiqua"/>
          <w:sz w:val="22"/>
          <w:szCs w:val="22"/>
        </w:rPr>
        <w:t>application for permission to appeal</w:t>
      </w:r>
      <w:r w:rsidR="006E3DE1" w:rsidRPr="00952E27">
        <w:rPr>
          <w:rFonts w:ascii="Book Antiqua" w:hAnsi="Book Antiqua"/>
          <w:sz w:val="22"/>
          <w:szCs w:val="22"/>
        </w:rPr>
        <w:t xml:space="preserve"> </w:t>
      </w:r>
      <w:r w:rsidR="00470675" w:rsidRPr="00952E27">
        <w:rPr>
          <w:rFonts w:ascii="Book Antiqua" w:hAnsi="Book Antiqua"/>
          <w:sz w:val="22"/>
          <w:szCs w:val="22"/>
        </w:rPr>
        <w:t>filed on</w:t>
      </w:r>
      <w:r w:rsidR="0022248A" w:rsidRPr="00952E27">
        <w:rPr>
          <w:rFonts w:ascii="Book Antiqua" w:hAnsi="Book Antiqua"/>
          <w:sz w:val="22"/>
          <w:szCs w:val="22"/>
        </w:rPr>
        <w:t xml:space="preserve"> 31 January 2018.</w:t>
      </w:r>
    </w:p>
    <w:p w:rsidR="00F125AD" w:rsidRPr="00952E27" w:rsidRDefault="00F47052" w:rsidP="00E21898">
      <w:pPr>
        <w:numPr>
          <w:ilvl w:val="1"/>
          <w:numId w:val="2"/>
        </w:numPr>
        <w:spacing w:before="120"/>
        <w:jc w:val="both"/>
        <w:rPr>
          <w:rFonts w:ascii="Book Antiqua" w:hAnsi="Book Antiqua"/>
          <w:sz w:val="22"/>
          <w:szCs w:val="22"/>
        </w:rPr>
      </w:pPr>
      <w:r w:rsidRPr="00952E27">
        <w:rPr>
          <w:rFonts w:ascii="Book Antiqua" w:hAnsi="Book Antiqua"/>
          <w:sz w:val="22"/>
          <w:szCs w:val="22"/>
        </w:rPr>
        <w:t>The grant of permission</w:t>
      </w:r>
      <w:r w:rsidR="00470675" w:rsidRPr="00952E27">
        <w:rPr>
          <w:rFonts w:ascii="Book Antiqua" w:hAnsi="Book Antiqua"/>
          <w:sz w:val="22"/>
          <w:szCs w:val="22"/>
        </w:rPr>
        <w:t xml:space="preserve"> </w:t>
      </w:r>
      <w:r w:rsidR="00A61CA4" w:rsidRPr="00952E27">
        <w:rPr>
          <w:rFonts w:ascii="Book Antiqua" w:hAnsi="Book Antiqua"/>
          <w:sz w:val="22"/>
          <w:szCs w:val="22"/>
        </w:rPr>
        <w:t>by FtT Judge Andrew dated 22 February 2018</w:t>
      </w:r>
      <w:r w:rsidR="001A2A3F" w:rsidRPr="00952E27">
        <w:rPr>
          <w:rFonts w:ascii="Book Antiqua" w:hAnsi="Book Antiqua"/>
          <w:sz w:val="22"/>
          <w:szCs w:val="22"/>
        </w:rPr>
        <w:t xml:space="preserve"> (which</w:t>
      </w:r>
      <w:r w:rsidR="00AE0AEA" w:rsidRPr="00952E27">
        <w:rPr>
          <w:rFonts w:ascii="Book Antiqua" w:hAnsi="Book Antiqua"/>
          <w:sz w:val="22"/>
          <w:szCs w:val="22"/>
        </w:rPr>
        <w:t xml:space="preserve"> encapsulates the point of the grounds).</w:t>
      </w:r>
    </w:p>
    <w:p w:rsidR="003F3407" w:rsidRPr="00952E27" w:rsidRDefault="00C01B18" w:rsidP="00007BAC">
      <w:pPr>
        <w:numPr>
          <w:ilvl w:val="0"/>
          <w:numId w:val="2"/>
        </w:numPr>
        <w:spacing w:before="240"/>
        <w:jc w:val="both"/>
        <w:rPr>
          <w:rFonts w:ascii="Book Antiqua" w:hAnsi="Book Antiqua"/>
          <w:sz w:val="22"/>
          <w:szCs w:val="22"/>
        </w:rPr>
      </w:pPr>
      <w:r w:rsidRPr="00952E27">
        <w:rPr>
          <w:rFonts w:ascii="Book Antiqua" w:hAnsi="Book Antiqua"/>
          <w:noProof/>
          <w:sz w:val="22"/>
          <w:szCs w:val="22"/>
        </w:rPr>
        <w:lastRenderedPageBreak/>
        <mc:AlternateContent>
          <mc:Choice Requires="wpi">
            <w:drawing>
              <wp:anchor distT="0" distB="0" distL="114300" distR="114300" simplePos="0" relativeHeight="251659264" behindDoc="0" locked="0" layoutInCell="1" allowOverlap="1" wp14:anchorId="12FBDBA1" wp14:editId="5298615B">
                <wp:simplePos x="0" y="0"/>
                <wp:positionH relativeFrom="column">
                  <wp:posOffset>6896238</wp:posOffset>
                </wp:positionH>
                <wp:positionV relativeFrom="paragraph">
                  <wp:posOffset>761447</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29C4B23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42.3pt;margin-top:59.2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">
                <v:imagedata r:id="rId10" o:title=""/>
              </v:shape>
            </w:pict>
          </mc:Fallback>
        </mc:AlternateContent>
      </w:r>
      <w:r w:rsidR="0097183A" w:rsidRPr="00952E27">
        <w:rPr>
          <w:rFonts w:ascii="Book Antiqua" w:hAnsi="Book Antiqua"/>
          <w:sz w:val="22"/>
          <w:szCs w:val="22"/>
        </w:rPr>
        <w:t>T</w:t>
      </w:r>
      <w:r w:rsidR="006B087E" w:rsidRPr="00952E27">
        <w:rPr>
          <w:rFonts w:ascii="Book Antiqua" w:hAnsi="Book Antiqua"/>
          <w:sz w:val="22"/>
          <w:szCs w:val="22"/>
        </w:rPr>
        <w:t xml:space="preserve">he </w:t>
      </w:r>
      <w:r w:rsidR="00047408" w:rsidRPr="00952E27">
        <w:rPr>
          <w:rFonts w:ascii="Book Antiqua" w:hAnsi="Book Antiqua"/>
          <w:sz w:val="22"/>
          <w:szCs w:val="22"/>
        </w:rPr>
        <w:t xml:space="preserve">further </w:t>
      </w:r>
      <w:r w:rsidR="006B087E" w:rsidRPr="00952E27">
        <w:rPr>
          <w:rFonts w:ascii="Book Antiqua" w:hAnsi="Book Antiqua"/>
          <w:sz w:val="22"/>
          <w:szCs w:val="22"/>
        </w:rPr>
        <w:t>points which I noted from the submissions by Mr Sirel were these:</w:t>
      </w:r>
    </w:p>
    <w:p w:rsidR="006B087E" w:rsidRPr="00952E27" w:rsidRDefault="001D06EF" w:rsidP="00E21898">
      <w:pPr>
        <w:numPr>
          <w:ilvl w:val="1"/>
          <w:numId w:val="2"/>
        </w:numPr>
        <w:spacing w:before="120"/>
        <w:jc w:val="both"/>
        <w:rPr>
          <w:rFonts w:ascii="Book Antiqua" w:hAnsi="Book Antiqua"/>
          <w:sz w:val="22"/>
          <w:szCs w:val="22"/>
        </w:rPr>
      </w:pPr>
      <w:r w:rsidRPr="00952E27">
        <w:rPr>
          <w:rFonts w:ascii="Book Antiqua" w:hAnsi="Book Antiqua"/>
          <w:sz w:val="22"/>
          <w:szCs w:val="22"/>
        </w:rPr>
        <w:t>T</w:t>
      </w:r>
      <w:r w:rsidR="000D696D" w:rsidRPr="00952E27">
        <w:rPr>
          <w:rFonts w:ascii="Book Antiqua" w:hAnsi="Book Antiqua"/>
          <w:sz w:val="22"/>
          <w:szCs w:val="22"/>
        </w:rPr>
        <w:t>he grounds disclosed errors</w:t>
      </w:r>
      <w:r w:rsidR="00C01B18" w:rsidRPr="00952E27">
        <w:rPr>
          <w:rFonts w:ascii="Book Antiqua" w:hAnsi="Book Antiqua"/>
          <w:sz w:val="22"/>
          <w:szCs w:val="22"/>
        </w:rPr>
        <w:t xml:space="preserve"> regarding the appellant’s ability to reintegrate in </w:t>
      </w:r>
      <w:r w:rsidRPr="00952E27">
        <w:rPr>
          <w:rFonts w:ascii="Book Antiqua" w:hAnsi="Book Antiqua"/>
          <w:sz w:val="22"/>
          <w:szCs w:val="22"/>
        </w:rPr>
        <w:t>D</w:t>
      </w:r>
      <w:r w:rsidR="00C01B18" w:rsidRPr="00952E27">
        <w:rPr>
          <w:rFonts w:ascii="Book Antiqua" w:hAnsi="Book Antiqua"/>
          <w:sz w:val="22"/>
          <w:szCs w:val="22"/>
        </w:rPr>
        <w:t>RC; her family and private life in terms of article 8; and failure to consider all matters relevant to her</w:t>
      </w:r>
      <w:r w:rsidR="00DC1F25" w:rsidRPr="00952E27">
        <w:rPr>
          <w:rFonts w:ascii="Book Antiqua" w:hAnsi="Book Antiqua"/>
          <w:sz w:val="22"/>
          <w:szCs w:val="22"/>
        </w:rPr>
        <w:t xml:space="preserve"> “lone return”, rather than returning </w:t>
      </w:r>
      <w:r w:rsidRPr="00952E27">
        <w:rPr>
          <w:rFonts w:ascii="Book Antiqua" w:hAnsi="Book Antiqua"/>
          <w:sz w:val="22"/>
          <w:szCs w:val="22"/>
        </w:rPr>
        <w:t>with her</w:t>
      </w:r>
      <w:r w:rsidR="00DC1F25" w:rsidRPr="00952E27">
        <w:rPr>
          <w:rFonts w:ascii="Book Antiqua" w:hAnsi="Book Antiqua"/>
          <w:sz w:val="22"/>
          <w:szCs w:val="22"/>
        </w:rPr>
        <w:t xml:space="preserve"> mother.</w:t>
      </w:r>
    </w:p>
    <w:p w:rsidR="00DC1F25" w:rsidRPr="00952E27" w:rsidRDefault="004A07E6" w:rsidP="00E21898">
      <w:pPr>
        <w:numPr>
          <w:ilvl w:val="1"/>
          <w:numId w:val="2"/>
        </w:numPr>
        <w:spacing w:before="120"/>
        <w:jc w:val="both"/>
        <w:rPr>
          <w:rFonts w:ascii="Book Antiqua" w:hAnsi="Book Antiqua"/>
          <w:sz w:val="22"/>
          <w:szCs w:val="22"/>
        </w:rPr>
      </w:pPr>
      <w:r w:rsidRPr="00952E27">
        <w:rPr>
          <w:rFonts w:ascii="Book Antiqua" w:hAnsi="Book Antiqua"/>
          <w:sz w:val="22"/>
          <w:szCs w:val="22"/>
        </w:rPr>
        <w:t xml:space="preserve">The judge failed to apply the </w:t>
      </w:r>
      <w:r w:rsidR="00AB6731" w:rsidRPr="00952E27">
        <w:rPr>
          <w:rFonts w:ascii="Book Antiqua" w:hAnsi="Book Antiqua"/>
          <w:sz w:val="22"/>
          <w:szCs w:val="22"/>
        </w:rPr>
        <w:t>J</w:t>
      </w:r>
      <w:r w:rsidRPr="00952E27">
        <w:rPr>
          <w:rFonts w:ascii="Book Antiqua" w:hAnsi="Book Antiqua"/>
          <w:sz w:val="22"/>
          <w:szCs w:val="22"/>
        </w:rPr>
        <w:t xml:space="preserve">oint </w:t>
      </w:r>
      <w:r w:rsidR="00AB6731" w:rsidRPr="00952E27">
        <w:rPr>
          <w:rFonts w:ascii="Book Antiqua" w:hAnsi="Book Antiqua"/>
          <w:sz w:val="22"/>
          <w:szCs w:val="22"/>
        </w:rPr>
        <w:t>P</w:t>
      </w:r>
      <w:r w:rsidRPr="00952E27">
        <w:rPr>
          <w:rFonts w:ascii="Book Antiqua" w:hAnsi="Book Antiqua"/>
          <w:sz w:val="22"/>
          <w:szCs w:val="22"/>
        </w:rPr>
        <w:t xml:space="preserve">residential </w:t>
      </w:r>
      <w:r w:rsidR="00AB6731" w:rsidRPr="00952E27">
        <w:rPr>
          <w:rFonts w:ascii="Book Antiqua" w:hAnsi="Book Antiqua"/>
          <w:sz w:val="22"/>
          <w:szCs w:val="22"/>
        </w:rPr>
        <w:t>G</w:t>
      </w:r>
      <w:r w:rsidRPr="00952E27">
        <w:rPr>
          <w:rFonts w:ascii="Book Antiqua" w:hAnsi="Book Antiqua"/>
          <w:sz w:val="22"/>
          <w:szCs w:val="22"/>
        </w:rPr>
        <w:t xml:space="preserve">uidance </w:t>
      </w:r>
      <w:r w:rsidR="00AB6731" w:rsidRPr="00952E27">
        <w:rPr>
          <w:rFonts w:ascii="Book Antiqua" w:hAnsi="Book Antiqua"/>
          <w:sz w:val="22"/>
          <w:szCs w:val="22"/>
        </w:rPr>
        <w:t>N</w:t>
      </w:r>
      <w:r w:rsidRPr="00952E27">
        <w:rPr>
          <w:rFonts w:ascii="Book Antiqua" w:hAnsi="Book Antiqua"/>
          <w:sz w:val="22"/>
          <w:szCs w:val="22"/>
        </w:rPr>
        <w:t xml:space="preserve">ote </w:t>
      </w:r>
      <w:r w:rsidR="00AB6731" w:rsidRPr="00952E27">
        <w:rPr>
          <w:rFonts w:ascii="Book Antiqua" w:hAnsi="Book Antiqua"/>
          <w:sz w:val="22"/>
          <w:szCs w:val="22"/>
        </w:rPr>
        <w:t>No</w:t>
      </w:r>
      <w:r w:rsidRPr="00952E27">
        <w:rPr>
          <w:rFonts w:ascii="Book Antiqua" w:hAnsi="Book Antiqua"/>
          <w:sz w:val="22"/>
          <w:szCs w:val="22"/>
        </w:rPr>
        <w:t xml:space="preserve"> 2 of 2010</w:t>
      </w:r>
      <w:r w:rsidR="00112744" w:rsidRPr="00952E27">
        <w:rPr>
          <w:rFonts w:ascii="Book Antiqua" w:hAnsi="Book Antiqua"/>
          <w:sz w:val="22"/>
          <w:szCs w:val="22"/>
        </w:rPr>
        <w:t>.  The</w:t>
      </w:r>
      <w:r w:rsidR="00F921C1" w:rsidRPr="00952E27">
        <w:rPr>
          <w:rFonts w:ascii="Book Antiqua" w:hAnsi="Book Antiqua"/>
          <w:sz w:val="22"/>
          <w:szCs w:val="22"/>
        </w:rPr>
        <w:t xml:space="preserve"> appellant </w:t>
      </w:r>
      <w:r w:rsidR="00112744" w:rsidRPr="00952E27">
        <w:rPr>
          <w:rFonts w:ascii="Book Antiqua" w:hAnsi="Book Antiqua"/>
          <w:sz w:val="22"/>
          <w:szCs w:val="22"/>
        </w:rPr>
        <w:t>was</w:t>
      </w:r>
      <w:r w:rsidR="00F921C1" w:rsidRPr="00952E27">
        <w:rPr>
          <w:rFonts w:ascii="Book Antiqua" w:hAnsi="Book Antiqua"/>
          <w:sz w:val="22"/>
          <w:szCs w:val="22"/>
        </w:rPr>
        <w:t xml:space="preserve"> identifiable as a vulnerable witness w</w:t>
      </w:r>
      <w:r w:rsidR="00852E59" w:rsidRPr="00952E27">
        <w:rPr>
          <w:rFonts w:ascii="Book Antiqua" w:hAnsi="Book Antiqua"/>
          <w:sz w:val="22"/>
          <w:szCs w:val="22"/>
        </w:rPr>
        <w:t>ith</w:t>
      </w:r>
      <w:r w:rsidR="00F921C1" w:rsidRPr="00952E27">
        <w:rPr>
          <w:rFonts w:ascii="Book Antiqua" w:hAnsi="Book Antiqua"/>
          <w:sz w:val="22"/>
          <w:szCs w:val="22"/>
        </w:rPr>
        <w:t xml:space="preserve"> mental health problems. Paragraph 15 of the </w:t>
      </w:r>
      <w:r w:rsidR="00112744" w:rsidRPr="00952E27">
        <w:rPr>
          <w:rFonts w:ascii="Book Antiqua" w:hAnsi="Book Antiqua"/>
          <w:sz w:val="22"/>
          <w:szCs w:val="22"/>
        </w:rPr>
        <w:t>G</w:t>
      </w:r>
      <w:r w:rsidR="00F921C1" w:rsidRPr="00952E27">
        <w:rPr>
          <w:rFonts w:ascii="Book Antiqua" w:hAnsi="Book Antiqua"/>
          <w:sz w:val="22"/>
          <w:szCs w:val="22"/>
        </w:rPr>
        <w:t>uidance</w:t>
      </w:r>
      <w:r w:rsidR="00E07086" w:rsidRPr="00952E27">
        <w:rPr>
          <w:rFonts w:ascii="Book Antiqua" w:hAnsi="Book Antiqua"/>
          <w:sz w:val="22"/>
          <w:szCs w:val="22"/>
        </w:rPr>
        <w:t xml:space="preserve"> required the tribunal to record whether it had concluded that the appellant was a vulnerable witness</w:t>
      </w:r>
      <w:r w:rsidR="00112744" w:rsidRPr="00952E27">
        <w:rPr>
          <w:rFonts w:ascii="Book Antiqua" w:hAnsi="Book Antiqua"/>
          <w:sz w:val="22"/>
          <w:szCs w:val="22"/>
        </w:rPr>
        <w:t>,</w:t>
      </w:r>
      <w:r w:rsidR="00E07086" w:rsidRPr="00952E27">
        <w:rPr>
          <w:rFonts w:ascii="Book Antiqua" w:hAnsi="Book Antiqua"/>
          <w:sz w:val="22"/>
          <w:szCs w:val="22"/>
        </w:rPr>
        <w:t xml:space="preserve"> and the effect of that in assessing the evidence.</w:t>
      </w:r>
    </w:p>
    <w:p w:rsidR="00E07086" w:rsidRPr="00952E27" w:rsidRDefault="00F059F9" w:rsidP="00E21898">
      <w:pPr>
        <w:numPr>
          <w:ilvl w:val="1"/>
          <w:numId w:val="2"/>
        </w:numPr>
        <w:spacing w:before="120"/>
        <w:jc w:val="both"/>
        <w:rPr>
          <w:rFonts w:ascii="Book Antiqua" w:hAnsi="Book Antiqua"/>
          <w:sz w:val="22"/>
          <w:szCs w:val="22"/>
        </w:rPr>
      </w:pPr>
      <w:r w:rsidRPr="00952E27">
        <w:rPr>
          <w:rFonts w:ascii="Book Antiqua" w:hAnsi="Book Antiqua"/>
          <w:sz w:val="22"/>
          <w:szCs w:val="22"/>
        </w:rPr>
        <w:t xml:space="preserve">Failure to follow the guidance would most likely be </w:t>
      </w:r>
      <w:r w:rsidR="00112744" w:rsidRPr="00952E27">
        <w:rPr>
          <w:rFonts w:ascii="Book Antiqua" w:hAnsi="Book Antiqua"/>
          <w:sz w:val="22"/>
          <w:szCs w:val="22"/>
        </w:rPr>
        <w:t xml:space="preserve">a </w:t>
      </w:r>
      <w:r w:rsidRPr="00952E27">
        <w:rPr>
          <w:rFonts w:ascii="Book Antiqua" w:hAnsi="Book Antiqua"/>
          <w:sz w:val="22"/>
          <w:szCs w:val="22"/>
        </w:rPr>
        <w:t>material error of law –</w:t>
      </w:r>
      <w:r w:rsidR="00FD3234" w:rsidRPr="00952E27">
        <w:rPr>
          <w:rFonts w:ascii="Book Antiqua" w:hAnsi="Book Antiqua"/>
          <w:sz w:val="22"/>
          <w:szCs w:val="22"/>
        </w:rPr>
        <w:t xml:space="preserve"> </w:t>
      </w:r>
      <w:r w:rsidR="00852E59" w:rsidRPr="00952E27">
        <w:rPr>
          <w:rFonts w:ascii="Book Antiqua" w:hAnsi="Book Antiqua"/>
          <w:i/>
          <w:sz w:val="22"/>
          <w:szCs w:val="22"/>
        </w:rPr>
        <w:t>A</w:t>
      </w:r>
      <w:r w:rsidR="00FD3234" w:rsidRPr="00952E27">
        <w:rPr>
          <w:rFonts w:ascii="Book Antiqua" w:hAnsi="Book Antiqua"/>
          <w:i/>
          <w:sz w:val="22"/>
          <w:szCs w:val="22"/>
        </w:rPr>
        <w:t xml:space="preserve">M </w:t>
      </w:r>
      <w:r w:rsidR="00A60EC6" w:rsidRPr="00952E27">
        <w:rPr>
          <w:rFonts w:ascii="Book Antiqua" w:hAnsi="Book Antiqua"/>
          <w:i/>
          <w:sz w:val="22"/>
          <w:szCs w:val="22"/>
        </w:rPr>
        <w:t>v</w:t>
      </w:r>
      <w:r w:rsidR="00FD3234" w:rsidRPr="00952E27">
        <w:rPr>
          <w:rFonts w:ascii="Book Antiqua" w:hAnsi="Book Antiqua"/>
          <w:i/>
          <w:sz w:val="22"/>
          <w:szCs w:val="22"/>
        </w:rPr>
        <w:t xml:space="preserve"> SSHD</w:t>
      </w:r>
      <w:r w:rsidR="00FD3234" w:rsidRPr="00952E27">
        <w:rPr>
          <w:rFonts w:ascii="Book Antiqua" w:hAnsi="Book Antiqua"/>
          <w:sz w:val="22"/>
          <w:szCs w:val="22"/>
        </w:rPr>
        <w:t xml:space="preserve"> [2018]</w:t>
      </w:r>
      <w:r w:rsidR="00A60EC6" w:rsidRPr="00952E27">
        <w:rPr>
          <w:rFonts w:ascii="Book Antiqua" w:hAnsi="Book Antiqua"/>
          <w:sz w:val="22"/>
          <w:szCs w:val="22"/>
        </w:rPr>
        <w:t xml:space="preserve"> 4 WLR</w:t>
      </w:r>
      <w:r w:rsidR="00FD3234" w:rsidRPr="00952E27">
        <w:rPr>
          <w:rFonts w:ascii="Book Antiqua" w:hAnsi="Book Antiqua"/>
          <w:sz w:val="22"/>
          <w:szCs w:val="22"/>
        </w:rPr>
        <w:t xml:space="preserve"> 78</w:t>
      </w:r>
      <w:r w:rsidR="00A60EC6" w:rsidRPr="00952E27">
        <w:rPr>
          <w:rFonts w:ascii="Book Antiqua" w:hAnsi="Book Antiqua"/>
          <w:sz w:val="22"/>
          <w:szCs w:val="22"/>
        </w:rPr>
        <w:t xml:space="preserve"> at paragraph 30</w:t>
      </w:r>
      <w:r w:rsidR="00FD3234" w:rsidRPr="00952E27">
        <w:rPr>
          <w:rFonts w:ascii="Book Antiqua" w:hAnsi="Book Antiqua"/>
          <w:sz w:val="22"/>
          <w:szCs w:val="22"/>
        </w:rPr>
        <w:t>.</w:t>
      </w:r>
    </w:p>
    <w:p w:rsidR="00D144B3" w:rsidRPr="00952E27" w:rsidRDefault="00542B68" w:rsidP="00E21898">
      <w:pPr>
        <w:numPr>
          <w:ilvl w:val="1"/>
          <w:numId w:val="2"/>
        </w:numPr>
        <w:spacing w:before="120"/>
        <w:jc w:val="both"/>
        <w:rPr>
          <w:rFonts w:ascii="Book Antiqua" w:hAnsi="Book Antiqua"/>
          <w:sz w:val="22"/>
          <w:szCs w:val="22"/>
        </w:rPr>
      </w:pPr>
      <w:r w:rsidRPr="00952E27">
        <w:rPr>
          <w:rFonts w:ascii="Book Antiqua" w:hAnsi="Book Antiqua"/>
          <w:sz w:val="22"/>
          <w:szCs w:val="22"/>
        </w:rPr>
        <w:t>It was accepted that the</w:t>
      </w:r>
      <w:r w:rsidR="007355E0" w:rsidRPr="00952E27">
        <w:rPr>
          <w:rFonts w:ascii="Book Antiqua" w:hAnsi="Book Antiqua"/>
          <w:sz w:val="22"/>
          <w:szCs w:val="22"/>
        </w:rPr>
        <w:t xml:space="preserve"> F</w:t>
      </w:r>
      <w:r w:rsidR="00D83C0D" w:rsidRPr="00952E27">
        <w:rPr>
          <w:rFonts w:ascii="Book Antiqua" w:hAnsi="Book Antiqua"/>
          <w:sz w:val="22"/>
          <w:szCs w:val="22"/>
        </w:rPr>
        <w:t>t</w:t>
      </w:r>
      <w:r w:rsidR="007355E0" w:rsidRPr="00952E27">
        <w:rPr>
          <w:rFonts w:ascii="Book Antiqua" w:hAnsi="Book Antiqua"/>
          <w:sz w:val="22"/>
          <w:szCs w:val="22"/>
        </w:rPr>
        <w:t xml:space="preserve">T had not specifically been referred to the </w:t>
      </w:r>
      <w:r w:rsidR="00541239" w:rsidRPr="00952E27">
        <w:rPr>
          <w:rFonts w:ascii="Book Antiqua" w:hAnsi="Book Antiqua"/>
          <w:sz w:val="22"/>
          <w:szCs w:val="22"/>
        </w:rPr>
        <w:t>G</w:t>
      </w:r>
      <w:r w:rsidR="007355E0" w:rsidRPr="00952E27">
        <w:rPr>
          <w:rFonts w:ascii="Book Antiqua" w:hAnsi="Book Antiqua"/>
          <w:sz w:val="22"/>
          <w:szCs w:val="22"/>
        </w:rPr>
        <w:t xml:space="preserve">uidance or asked to </w:t>
      </w:r>
      <w:r w:rsidR="00541239" w:rsidRPr="00952E27">
        <w:rPr>
          <w:rFonts w:ascii="Book Antiqua" w:hAnsi="Book Antiqua"/>
          <w:sz w:val="22"/>
          <w:szCs w:val="22"/>
        </w:rPr>
        <w:t xml:space="preserve">make </w:t>
      </w:r>
      <w:r w:rsidR="007355E0" w:rsidRPr="00952E27">
        <w:rPr>
          <w:rFonts w:ascii="Book Antiqua" w:hAnsi="Book Antiqua"/>
          <w:sz w:val="22"/>
          <w:szCs w:val="22"/>
        </w:rPr>
        <w:t xml:space="preserve">record, and that there was no reference to the </w:t>
      </w:r>
      <w:r w:rsidR="00541239" w:rsidRPr="00952E27">
        <w:rPr>
          <w:rFonts w:ascii="Book Antiqua" w:hAnsi="Book Antiqua"/>
          <w:sz w:val="22"/>
          <w:szCs w:val="22"/>
        </w:rPr>
        <w:t>G</w:t>
      </w:r>
      <w:r w:rsidR="007355E0" w:rsidRPr="00952E27">
        <w:rPr>
          <w:rFonts w:ascii="Book Antiqua" w:hAnsi="Book Antiqua"/>
          <w:sz w:val="22"/>
          <w:szCs w:val="22"/>
        </w:rPr>
        <w:t>uidance in the grounds. However, the issue was obvious</w:t>
      </w:r>
      <w:r w:rsidR="00112744" w:rsidRPr="00952E27">
        <w:rPr>
          <w:rFonts w:ascii="Book Antiqua" w:hAnsi="Book Antiqua"/>
          <w:sz w:val="22"/>
          <w:szCs w:val="22"/>
        </w:rPr>
        <w:t>.  T</w:t>
      </w:r>
      <w:r w:rsidR="007355E0" w:rsidRPr="00952E27">
        <w:rPr>
          <w:rFonts w:ascii="Book Antiqua" w:hAnsi="Book Antiqua"/>
          <w:sz w:val="22"/>
          <w:szCs w:val="22"/>
        </w:rPr>
        <w:t xml:space="preserve">he judge was under a duty to apply the </w:t>
      </w:r>
      <w:r w:rsidR="00541239" w:rsidRPr="00952E27">
        <w:rPr>
          <w:rFonts w:ascii="Book Antiqua" w:hAnsi="Book Antiqua"/>
          <w:sz w:val="22"/>
          <w:szCs w:val="22"/>
        </w:rPr>
        <w:t>Gui</w:t>
      </w:r>
      <w:r w:rsidR="007355E0" w:rsidRPr="00952E27">
        <w:rPr>
          <w:rFonts w:ascii="Book Antiqua" w:hAnsi="Book Antiqua"/>
          <w:sz w:val="22"/>
          <w:szCs w:val="22"/>
        </w:rPr>
        <w:t>dance even</w:t>
      </w:r>
      <w:r w:rsidR="000862F7" w:rsidRPr="00952E27">
        <w:rPr>
          <w:rFonts w:ascii="Book Antiqua" w:hAnsi="Book Antiqua"/>
          <w:sz w:val="22"/>
          <w:szCs w:val="22"/>
        </w:rPr>
        <w:t xml:space="preserve"> without a specific submission.</w:t>
      </w:r>
    </w:p>
    <w:p w:rsidR="00D144B3" w:rsidRPr="00952E27" w:rsidRDefault="004A663C" w:rsidP="00E21898">
      <w:pPr>
        <w:numPr>
          <w:ilvl w:val="1"/>
          <w:numId w:val="2"/>
        </w:numPr>
        <w:spacing w:before="120"/>
        <w:jc w:val="both"/>
        <w:rPr>
          <w:rFonts w:ascii="Book Antiqua" w:hAnsi="Book Antiqua"/>
          <w:sz w:val="22"/>
          <w:szCs w:val="22"/>
        </w:rPr>
      </w:pPr>
      <w:r w:rsidRPr="00952E27">
        <w:rPr>
          <w:rFonts w:ascii="Book Antiqua" w:hAnsi="Book Antiqua"/>
          <w:sz w:val="22"/>
          <w:szCs w:val="22"/>
        </w:rPr>
        <w:t xml:space="preserve">It was significant that the tribunal accepted that the appellant came to the UK aged 15 with her mother, not through own choice; she is now aged 22, and </w:t>
      </w:r>
      <w:r w:rsidR="00541239" w:rsidRPr="00952E27">
        <w:rPr>
          <w:rFonts w:ascii="Book Antiqua" w:hAnsi="Book Antiqua"/>
          <w:sz w:val="22"/>
          <w:szCs w:val="22"/>
        </w:rPr>
        <w:t xml:space="preserve">has </w:t>
      </w:r>
      <w:r w:rsidRPr="00952E27">
        <w:rPr>
          <w:rFonts w:ascii="Book Antiqua" w:hAnsi="Book Antiqua"/>
          <w:sz w:val="22"/>
          <w:szCs w:val="22"/>
        </w:rPr>
        <w:t xml:space="preserve">spent 7 years the </w:t>
      </w:r>
      <w:r w:rsidR="00541239" w:rsidRPr="00952E27">
        <w:rPr>
          <w:rFonts w:ascii="Book Antiqua" w:hAnsi="Book Antiqua"/>
          <w:sz w:val="22"/>
          <w:szCs w:val="22"/>
        </w:rPr>
        <w:t>UK</w:t>
      </w:r>
      <w:r w:rsidRPr="00952E27">
        <w:rPr>
          <w:rFonts w:ascii="Book Antiqua" w:hAnsi="Book Antiqua"/>
          <w:sz w:val="22"/>
          <w:szCs w:val="22"/>
        </w:rPr>
        <w:t>; she has serious mental health difficulties</w:t>
      </w:r>
      <w:r w:rsidR="00F82DD4" w:rsidRPr="00952E27">
        <w:rPr>
          <w:rFonts w:ascii="Book Antiqua" w:hAnsi="Book Antiqua"/>
          <w:sz w:val="22"/>
          <w:szCs w:val="22"/>
        </w:rPr>
        <w:t xml:space="preserve">, accepted at paragraphs 24 to 26; her traumatic history was accepted both by the respondent </w:t>
      </w:r>
      <w:r w:rsidR="00F92026" w:rsidRPr="00952E27">
        <w:rPr>
          <w:rFonts w:ascii="Book Antiqua" w:hAnsi="Book Antiqua"/>
          <w:sz w:val="22"/>
          <w:szCs w:val="22"/>
        </w:rPr>
        <w:t>and</w:t>
      </w:r>
      <w:r w:rsidR="00F82DD4" w:rsidRPr="00952E27">
        <w:rPr>
          <w:rFonts w:ascii="Book Antiqua" w:hAnsi="Book Antiqua"/>
          <w:sz w:val="22"/>
          <w:szCs w:val="22"/>
        </w:rPr>
        <w:t xml:space="preserve"> by the tribunal, paragraph 25; </w:t>
      </w:r>
      <w:r w:rsidR="00F92026" w:rsidRPr="00952E27">
        <w:rPr>
          <w:rFonts w:ascii="Book Antiqua" w:hAnsi="Book Antiqua"/>
          <w:sz w:val="22"/>
          <w:szCs w:val="22"/>
        </w:rPr>
        <w:t>she had a</w:t>
      </w:r>
      <w:r w:rsidR="00F82DD4" w:rsidRPr="00952E27">
        <w:rPr>
          <w:rFonts w:ascii="Book Antiqua" w:hAnsi="Book Antiqua"/>
          <w:sz w:val="22"/>
          <w:szCs w:val="22"/>
        </w:rPr>
        <w:t xml:space="preserve"> close relationship with her mother, who ha</w:t>
      </w:r>
      <w:r w:rsidR="00F92026" w:rsidRPr="00952E27">
        <w:rPr>
          <w:rFonts w:ascii="Book Antiqua" w:hAnsi="Book Antiqua"/>
          <w:sz w:val="22"/>
          <w:szCs w:val="22"/>
        </w:rPr>
        <w:t>s</w:t>
      </w:r>
      <w:r w:rsidR="00F82DD4" w:rsidRPr="00952E27">
        <w:rPr>
          <w:rFonts w:ascii="Book Antiqua" w:hAnsi="Book Antiqua"/>
          <w:sz w:val="22"/>
          <w:szCs w:val="22"/>
        </w:rPr>
        <w:t xml:space="preserve"> an asylum appeal pending before the </w:t>
      </w:r>
      <w:r w:rsidR="00F92026" w:rsidRPr="00952E27">
        <w:rPr>
          <w:rFonts w:ascii="Book Antiqua" w:hAnsi="Book Antiqua"/>
          <w:sz w:val="22"/>
          <w:szCs w:val="22"/>
        </w:rPr>
        <w:t>FtT.</w:t>
      </w:r>
    </w:p>
    <w:p w:rsidR="00A16364" w:rsidRPr="00952E27" w:rsidRDefault="00A16364" w:rsidP="00E21898">
      <w:pPr>
        <w:numPr>
          <w:ilvl w:val="1"/>
          <w:numId w:val="2"/>
        </w:numPr>
        <w:spacing w:before="120"/>
        <w:jc w:val="both"/>
        <w:rPr>
          <w:rFonts w:ascii="Book Antiqua" w:hAnsi="Book Antiqua"/>
          <w:sz w:val="22"/>
          <w:szCs w:val="22"/>
        </w:rPr>
      </w:pPr>
      <w:r w:rsidRPr="00952E27">
        <w:rPr>
          <w:rFonts w:ascii="Book Antiqua" w:hAnsi="Book Antiqua"/>
          <w:sz w:val="22"/>
          <w:szCs w:val="22"/>
        </w:rPr>
        <w:t xml:space="preserve">The medical evidence considered by the tribunal was premised on the appellant </w:t>
      </w:r>
      <w:r w:rsidR="004D4C9A" w:rsidRPr="00952E27">
        <w:rPr>
          <w:rFonts w:ascii="Book Antiqua" w:hAnsi="Book Antiqua"/>
          <w:sz w:val="22"/>
          <w:szCs w:val="22"/>
        </w:rPr>
        <w:t>remaining with her mother, not on separation.</w:t>
      </w:r>
    </w:p>
    <w:p w:rsidR="004D4C9A" w:rsidRPr="00952E27" w:rsidRDefault="004D4C9A" w:rsidP="00E21898">
      <w:pPr>
        <w:numPr>
          <w:ilvl w:val="1"/>
          <w:numId w:val="2"/>
        </w:numPr>
        <w:spacing w:before="120"/>
        <w:jc w:val="both"/>
        <w:rPr>
          <w:rFonts w:ascii="Book Antiqua" w:hAnsi="Book Antiqua"/>
          <w:sz w:val="22"/>
          <w:szCs w:val="22"/>
        </w:rPr>
      </w:pPr>
      <w:r w:rsidRPr="00952E27">
        <w:rPr>
          <w:rFonts w:ascii="Book Antiqua" w:hAnsi="Book Antiqua"/>
          <w:sz w:val="22"/>
          <w:szCs w:val="22"/>
        </w:rPr>
        <w:t>The judge failed to consider the impact of the appellant</w:t>
      </w:r>
      <w:r w:rsidR="00F92026" w:rsidRPr="00952E27">
        <w:rPr>
          <w:rFonts w:ascii="Book Antiqua" w:hAnsi="Book Antiqua"/>
          <w:sz w:val="22"/>
          <w:szCs w:val="22"/>
        </w:rPr>
        <w:t>’s</w:t>
      </w:r>
      <w:r w:rsidRPr="00952E27">
        <w:rPr>
          <w:rFonts w:ascii="Book Antiqua" w:hAnsi="Book Antiqua"/>
          <w:sz w:val="22"/>
          <w:szCs w:val="22"/>
        </w:rPr>
        <w:t xml:space="preserve"> separate removal on her family life</w:t>
      </w:r>
      <w:r w:rsidR="00D83C0D" w:rsidRPr="00952E27">
        <w:rPr>
          <w:rFonts w:ascii="Book Antiqua" w:hAnsi="Book Antiqua"/>
          <w:sz w:val="22"/>
          <w:szCs w:val="22"/>
        </w:rPr>
        <w:t>.</w:t>
      </w:r>
    </w:p>
    <w:p w:rsidR="00F145FE" w:rsidRPr="00952E27" w:rsidRDefault="004D4C9A" w:rsidP="00E21898">
      <w:pPr>
        <w:numPr>
          <w:ilvl w:val="1"/>
          <w:numId w:val="2"/>
        </w:numPr>
        <w:spacing w:before="120"/>
        <w:jc w:val="both"/>
        <w:rPr>
          <w:rFonts w:ascii="Book Antiqua" w:hAnsi="Book Antiqua"/>
          <w:sz w:val="22"/>
          <w:szCs w:val="22"/>
        </w:rPr>
      </w:pPr>
      <w:r w:rsidRPr="00952E27">
        <w:rPr>
          <w:rFonts w:ascii="Book Antiqua" w:hAnsi="Book Antiqua"/>
          <w:sz w:val="22"/>
          <w:szCs w:val="22"/>
        </w:rPr>
        <w:t>The judge failed to probe</w:t>
      </w:r>
      <w:r w:rsidR="00346370" w:rsidRPr="00952E27">
        <w:rPr>
          <w:rFonts w:ascii="Book Antiqua" w:hAnsi="Book Antiqua"/>
          <w:sz w:val="22"/>
          <w:szCs w:val="22"/>
        </w:rPr>
        <w:t xml:space="preserve"> the circumstances regarding family life, and the country conditions to which the appellant would return, in relation to article 8. She did do so in relation to article 3, but that was a separate is</w:t>
      </w:r>
      <w:r w:rsidR="00777377" w:rsidRPr="00952E27">
        <w:rPr>
          <w:rFonts w:ascii="Book Antiqua" w:hAnsi="Book Antiqua"/>
          <w:sz w:val="22"/>
          <w:szCs w:val="22"/>
        </w:rPr>
        <w:t>sue.</w:t>
      </w:r>
    </w:p>
    <w:p w:rsidR="004D4C9A" w:rsidRPr="00952E27" w:rsidRDefault="00777377" w:rsidP="00E21898">
      <w:pPr>
        <w:numPr>
          <w:ilvl w:val="1"/>
          <w:numId w:val="2"/>
        </w:numPr>
        <w:spacing w:before="120"/>
        <w:jc w:val="both"/>
        <w:rPr>
          <w:rFonts w:ascii="Book Antiqua" w:hAnsi="Book Antiqua"/>
          <w:sz w:val="22"/>
          <w:szCs w:val="22"/>
        </w:rPr>
      </w:pPr>
      <w:r w:rsidRPr="00952E27">
        <w:rPr>
          <w:rFonts w:ascii="Book Antiqua" w:hAnsi="Book Antiqua"/>
          <w:sz w:val="22"/>
          <w:szCs w:val="22"/>
        </w:rPr>
        <w:t>The two</w:t>
      </w:r>
      <w:r w:rsidR="00346370" w:rsidRPr="00952E27">
        <w:rPr>
          <w:rFonts w:ascii="Book Antiqua" w:hAnsi="Book Antiqua"/>
          <w:sz w:val="22"/>
          <w:szCs w:val="22"/>
        </w:rPr>
        <w:t xml:space="preserve"> scenarios of return</w:t>
      </w:r>
      <w:r w:rsidR="00F145FE" w:rsidRPr="00952E27">
        <w:rPr>
          <w:rFonts w:ascii="Book Antiqua" w:hAnsi="Book Antiqua"/>
          <w:sz w:val="22"/>
          <w:szCs w:val="22"/>
        </w:rPr>
        <w:t>, with or without the appellant’s mother,</w:t>
      </w:r>
      <w:r w:rsidR="00346370" w:rsidRPr="00952E27">
        <w:rPr>
          <w:rFonts w:ascii="Book Antiqua" w:hAnsi="Book Antiqua"/>
          <w:sz w:val="22"/>
          <w:szCs w:val="22"/>
        </w:rPr>
        <w:t xml:space="preserve"> were radically different</w:t>
      </w:r>
      <w:r w:rsidR="00542B68" w:rsidRPr="00952E27">
        <w:rPr>
          <w:rFonts w:ascii="Book Antiqua" w:hAnsi="Book Antiqua"/>
          <w:sz w:val="22"/>
          <w:szCs w:val="22"/>
        </w:rPr>
        <w:t>.</w:t>
      </w:r>
    </w:p>
    <w:p w:rsidR="00A16364" w:rsidRPr="00952E27" w:rsidRDefault="00FE5375" w:rsidP="00E21898">
      <w:pPr>
        <w:numPr>
          <w:ilvl w:val="1"/>
          <w:numId w:val="2"/>
        </w:numPr>
        <w:spacing w:before="120"/>
        <w:jc w:val="both"/>
        <w:rPr>
          <w:rFonts w:ascii="Book Antiqua" w:hAnsi="Book Antiqua"/>
          <w:sz w:val="22"/>
          <w:szCs w:val="22"/>
        </w:rPr>
      </w:pPr>
      <w:r w:rsidRPr="00952E27">
        <w:rPr>
          <w:rFonts w:ascii="Book Antiqua" w:hAnsi="Book Antiqua"/>
          <w:sz w:val="22"/>
          <w:szCs w:val="22"/>
        </w:rPr>
        <w:t xml:space="preserve">The judge dealt with the appellant’s return on her own only as if it were an answer to </w:t>
      </w:r>
      <w:r w:rsidR="00A024C3" w:rsidRPr="00952E27">
        <w:rPr>
          <w:rFonts w:ascii="Book Antiqua" w:hAnsi="Book Antiqua"/>
          <w:sz w:val="22"/>
          <w:szCs w:val="22"/>
        </w:rPr>
        <w:t>the</w:t>
      </w:r>
      <w:r w:rsidRPr="00952E27">
        <w:rPr>
          <w:rFonts w:ascii="Book Antiqua" w:hAnsi="Book Antiqua"/>
          <w:sz w:val="22"/>
          <w:szCs w:val="22"/>
        </w:rPr>
        <w:t xml:space="preserve"> case based on health issues</w:t>
      </w:r>
      <w:r w:rsidR="00777377" w:rsidRPr="00952E27">
        <w:rPr>
          <w:rFonts w:ascii="Book Antiqua" w:hAnsi="Book Antiqua"/>
          <w:sz w:val="22"/>
          <w:szCs w:val="22"/>
        </w:rPr>
        <w:t xml:space="preserve"> (article 3)</w:t>
      </w:r>
      <w:r w:rsidRPr="00952E27">
        <w:rPr>
          <w:rFonts w:ascii="Book Antiqua" w:hAnsi="Book Antiqua"/>
          <w:sz w:val="22"/>
          <w:szCs w:val="22"/>
        </w:rPr>
        <w:t>, not in the family and private life context</w:t>
      </w:r>
      <w:r w:rsidR="00777377" w:rsidRPr="00952E27">
        <w:rPr>
          <w:rFonts w:ascii="Book Antiqua" w:hAnsi="Book Antiqua"/>
          <w:sz w:val="22"/>
          <w:szCs w:val="22"/>
        </w:rPr>
        <w:t xml:space="preserve"> (article 8)</w:t>
      </w:r>
      <w:r w:rsidRPr="00952E27">
        <w:rPr>
          <w:rFonts w:ascii="Book Antiqua" w:hAnsi="Book Antiqua"/>
          <w:sz w:val="22"/>
          <w:szCs w:val="22"/>
        </w:rPr>
        <w:t>.</w:t>
      </w:r>
    </w:p>
    <w:p w:rsidR="005B709D" w:rsidRPr="00952E27" w:rsidRDefault="005B709D" w:rsidP="00E21898">
      <w:pPr>
        <w:numPr>
          <w:ilvl w:val="1"/>
          <w:numId w:val="2"/>
        </w:numPr>
        <w:spacing w:before="120"/>
        <w:jc w:val="both"/>
        <w:rPr>
          <w:rFonts w:ascii="Book Antiqua" w:hAnsi="Book Antiqua"/>
          <w:sz w:val="22"/>
          <w:szCs w:val="22"/>
        </w:rPr>
      </w:pPr>
      <w:r w:rsidRPr="00952E27">
        <w:rPr>
          <w:rFonts w:ascii="Book Antiqua" w:hAnsi="Book Antiqua"/>
          <w:i/>
          <w:sz w:val="22"/>
          <w:szCs w:val="22"/>
        </w:rPr>
        <w:t>KO</w:t>
      </w:r>
      <w:r w:rsidR="009E5936" w:rsidRPr="00952E27">
        <w:rPr>
          <w:rFonts w:ascii="Book Antiqua" w:hAnsi="Book Antiqua"/>
          <w:sz w:val="22"/>
          <w:szCs w:val="22"/>
        </w:rPr>
        <w:t xml:space="preserve"> [2018] CSOH 71</w:t>
      </w:r>
      <w:r w:rsidR="00963B0B" w:rsidRPr="00952E27">
        <w:rPr>
          <w:rFonts w:ascii="Book Antiqua" w:hAnsi="Book Antiqua"/>
          <w:sz w:val="22"/>
          <w:szCs w:val="22"/>
        </w:rPr>
        <w:t>, although arising f</w:t>
      </w:r>
      <w:r w:rsidR="007141CA" w:rsidRPr="00952E27">
        <w:rPr>
          <w:rFonts w:ascii="Book Antiqua" w:hAnsi="Book Antiqua"/>
          <w:sz w:val="22"/>
          <w:szCs w:val="22"/>
        </w:rPr>
        <w:t>ro</w:t>
      </w:r>
      <w:r w:rsidR="00963B0B" w:rsidRPr="00952E27">
        <w:rPr>
          <w:rFonts w:ascii="Book Antiqua" w:hAnsi="Book Antiqua"/>
          <w:sz w:val="22"/>
          <w:szCs w:val="22"/>
        </w:rPr>
        <w:t xml:space="preserve">m judicial review, </w:t>
      </w:r>
      <w:r w:rsidR="0011233E" w:rsidRPr="00952E27">
        <w:rPr>
          <w:rFonts w:ascii="Book Antiqua" w:hAnsi="Book Antiqua"/>
          <w:sz w:val="22"/>
          <w:szCs w:val="22"/>
        </w:rPr>
        <w:t xml:space="preserve">showed that when considering integration on return </w:t>
      </w:r>
      <w:r w:rsidR="00C13143" w:rsidRPr="00952E27">
        <w:rPr>
          <w:rFonts w:ascii="Book Antiqua" w:hAnsi="Book Antiqua"/>
          <w:sz w:val="22"/>
          <w:szCs w:val="22"/>
        </w:rPr>
        <w:t>the difficulties of country conditions and of an appellant’s personal problems</w:t>
      </w:r>
      <w:r w:rsidR="0040301A" w:rsidRPr="00952E27">
        <w:rPr>
          <w:rFonts w:ascii="Book Antiqua" w:hAnsi="Book Antiqua"/>
          <w:sz w:val="22"/>
          <w:szCs w:val="22"/>
        </w:rPr>
        <w:t>, including medical problems</w:t>
      </w:r>
      <w:r w:rsidR="007141CA" w:rsidRPr="00952E27">
        <w:rPr>
          <w:rFonts w:ascii="Book Antiqua" w:hAnsi="Book Antiqua"/>
          <w:sz w:val="22"/>
          <w:szCs w:val="22"/>
        </w:rPr>
        <w:t xml:space="preserve">, had to </w:t>
      </w:r>
      <w:r w:rsidR="00F729C2" w:rsidRPr="00952E27">
        <w:rPr>
          <w:rFonts w:ascii="Book Antiqua" w:hAnsi="Book Antiqua"/>
          <w:sz w:val="22"/>
          <w:szCs w:val="22"/>
        </w:rPr>
        <w:t>be</w:t>
      </w:r>
      <w:r w:rsidR="007141CA" w:rsidRPr="00952E27">
        <w:rPr>
          <w:rFonts w:ascii="Book Antiqua" w:hAnsi="Book Antiqua"/>
          <w:sz w:val="22"/>
          <w:szCs w:val="22"/>
        </w:rPr>
        <w:t xml:space="preserve"> taken into account, </w:t>
      </w:r>
      <w:r w:rsidR="00C14CF4" w:rsidRPr="00952E27">
        <w:rPr>
          <w:rFonts w:ascii="Book Antiqua" w:hAnsi="Book Antiqua"/>
          <w:sz w:val="22"/>
          <w:szCs w:val="22"/>
        </w:rPr>
        <w:t xml:space="preserve">and </w:t>
      </w:r>
      <w:r w:rsidR="007141CA" w:rsidRPr="00952E27">
        <w:rPr>
          <w:rFonts w:ascii="Book Antiqua" w:hAnsi="Book Antiqua"/>
          <w:sz w:val="22"/>
          <w:szCs w:val="22"/>
        </w:rPr>
        <w:t>not only in relation to article 3.</w:t>
      </w:r>
      <w:r w:rsidR="00C13143" w:rsidRPr="00952E27">
        <w:rPr>
          <w:rFonts w:ascii="Book Antiqua" w:hAnsi="Book Antiqua"/>
          <w:sz w:val="22"/>
          <w:szCs w:val="22"/>
        </w:rPr>
        <w:t xml:space="preserve"> </w:t>
      </w:r>
      <w:r w:rsidR="009E5936" w:rsidRPr="00952E27">
        <w:rPr>
          <w:rFonts w:ascii="Book Antiqua" w:hAnsi="Book Antiqua"/>
          <w:sz w:val="22"/>
          <w:szCs w:val="22"/>
        </w:rPr>
        <w:t xml:space="preserve"> </w:t>
      </w:r>
    </w:p>
    <w:p w:rsidR="00FE5375" w:rsidRPr="00952E27" w:rsidRDefault="00777377" w:rsidP="00E21898">
      <w:pPr>
        <w:numPr>
          <w:ilvl w:val="1"/>
          <w:numId w:val="2"/>
        </w:numPr>
        <w:spacing w:before="120"/>
        <w:jc w:val="both"/>
        <w:rPr>
          <w:rFonts w:ascii="Book Antiqua" w:hAnsi="Book Antiqua"/>
          <w:sz w:val="22"/>
          <w:szCs w:val="22"/>
        </w:rPr>
      </w:pPr>
      <w:r w:rsidRPr="00952E27">
        <w:rPr>
          <w:rFonts w:ascii="Book Antiqua" w:hAnsi="Book Antiqua"/>
          <w:sz w:val="22"/>
          <w:szCs w:val="22"/>
        </w:rPr>
        <w:t>It was accepted that the appellant did not submit that although an adult, she still had family life with her mother for article 8 purposes.</w:t>
      </w:r>
      <w:r w:rsidR="004B553C" w:rsidRPr="00952E27">
        <w:rPr>
          <w:rFonts w:ascii="Book Antiqua" w:hAnsi="Book Antiqua"/>
          <w:sz w:val="22"/>
          <w:szCs w:val="22"/>
        </w:rPr>
        <w:t xml:space="preserve">  However, that was another obvious point in the circumstances of the case</w:t>
      </w:r>
      <w:r w:rsidR="006D090F" w:rsidRPr="00952E27">
        <w:rPr>
          <w:rFonts w:ascii="Book Antiqua" w:hAnsi="Book Antiqua"/>
          <w:sz w:val="22"/>
          <w:szCs w:val="22"/>
        </w:rPr>
        <w:t>.</w:t>
      </w:r>
      <w:r w:rsidR="004B553C" w:rsidRPr="00952E27">
        <w:rPr>
          <w:rFonts w:ascii="Book Antiqua" w:hAnsi="Book Antiqua"/>
          <w:sz w:val="22"/>
          <w:szCs w:val="22"/>
        </w:rPr>
        <w:t xml:space="preserve"> </w:t>
      </w:r>
    </w:p>
    <w:p w:rsidR="00FE5375" w:rsidRPr="00952E27" w:rsidRDefault="006D090F" w:rsidP="00E21898">
      <w:pPr>
        <w:numPr>
          <w:ilvl w:val="1"/>
          <w:numId w:val="2"/>
        </w:numPr>
        <w:spacing w:before="120"/>
        <w:jc w:val="both"/>
        <w:rPr>
          <w:rFonts w:ascii="Book Antiqua" w:hAnsi="Book Antiqua"/>
          <w:sz w:val="22"/>
          <w:szCs w:val="22"/>
        </w:rPr>
      </w:pPr>
      <w:r w:rsidRPr="00952E27">
        <w:rPr>
          <w:rFonts w:ascii="Book Antiqua" w:hAnsi="Book Antiqua"/>
          <w:sz w:val="22"/>
          <w:szCs w:val="22"/>
        </w:rPr>
        <w:t>The c</w:t>
      </w:r>
      <w:r w:rsidR="00FE5375" w:rsidRPr="00952E27">
        <w:rPr>
          <w:rFonts w:ascii="Book Antiqua" w:hAnsi="Book Antiqua"/>
          <w:sz w:val="22"/>
          <w:szCs w:val="22"/>
        </w:rPr>
        <w:t>ase should be remitted for a fresh hearing</w:t>
      </w:r>
      <w:r w:rsidRPr="00952E27">
        <w:rPr>
          <w:rFonts w:ascii="Book Antiqua" w:hAnsi="Book Antiqua"/>
          <w:sz w:val="22"/>
          <w:szCs w:val="22"/>
        </w:rPr>
        <w:t xml:space="preserve"> in the FtT.</w:t>
      </w:r>
    </w:p>
    <w:p w:rsidR="00FE5375" w:rsidRPr="00952E27" w:rsidRDefault="00C14CF4" w:rsidP="00007BAC">
      <w:pPr>
        <w:numPr>
          <w:ilvl w:val="0"/>
          <w:numId w:val="2"/>
        </w:numPr>
        <w:spacing w:before="240"/>
        <w:jc w:val="both"/>
        <w:rPr>
          <w:rFonts w:ascii="Book Antiqua" w:hAnsi="Book Antiqua"/>
          <w:sz w:val="22"/>
          <w:szCs w:val="22"/>
        </w:rPr>
      </w:pPr>
      <w:r w:rsidRPr="00952E27">
        <w:rPr>
          <w:rFonts w:ascii="Book Antiqua" w:hAnsi="Book Antiqua"/>
          <w:sz w:val="22"/>
          <w:szCs w:val="22"/>
        </w:rPr>
        <w:t>The m</w:t>
      </w:r>
      <w:r w:rsidR="0079369E" w:rsidRPr="00952E27">
        <w:rPr>
          <w:rFonts w:ascii="Book Antiqua" w:hAnsi="Book Antiqua"/>
          <w:sz w:val="22"/>
          <w:szCs w:val="22"/>
        </w:rPr>
        <w:t>ain points which I noted from the submissions by Mr Govan were these:</w:t>
      </w:r>
    </w:p>
    <w:p w:rsidR="0079369E" w:rsidRPr="00952E27" w:rsidRDefault="0079369E" w:rsidP="00E21898">
      <w:pPr>
        <w:numPr>
          <w:ilvl w:val="1"/>
          <w:numId w:val="2"/>
        </w:numPr>
        <w:spacing w:before="120"/>
        <w:jc w:val="both"/>
        <w:rPr>
          <w:rFonts w:ascii="Book Antiqua" w:hAnsi="Book Antiqua"/>
          <w:sz w:val="22"/>
          <w:szCs w:val="22"/>
        </w:rPr>
      </w:pPr>
      <w:r w:rsidRPr="00952E27">
        <w:rPr>
          <w:rFonts w:ascii="Book Antiqua" w:hAnsi="Book Antiqua"/>
          <w:sz w:val="22"/>
          <w:szCs w:val="22"/>
        </w:rPr>
        <w:t xml:space="preserve">The grounds of appeal made no reference to the </w:t>
      </w:r>
      <w:r w:rsidR="00C14CF4" w:rsidRPr="00952E27">
        <w:rPr>
          <w:rFonts w:ascii="Book Antiqua" w:hAnsi="Book Antiqua"/>
          <w:sz w:val="22"/>
          <w:szCs w:val="22"/>
        </w:rPr>
        <w:t>P</w:t>
      </w:r>
      <w:r w:rsidRPr="00952E27">
        <w:rPr>
          <w:rFonts w:ascii="Book Antiqua" w:hAnsi="Book Antiqua"/>
          <w:sz w:val="22"/>
          <w:szCs w:val="22"/>
        </w:rPr>
        <w:t xml:space="preserve">residential </w:t>
      </w:r>
      <w:r w:rsidR="00C14CF4" w:rsidRPr="00952E27">
        <w:rPr>
          <w:rFonts w:ascii="Book Antiqua" w:hAnsi="Book Antiqua"/>
          <w:sz w:val="22"/>
          <w:szCs w:val="22"/>
        </w:rPr>
        <w:t>G</w:t>
      </w:r>
      <w:r w:rsidRPr="00952E27">
        <w:rPr>
          <w:rFonts w:ascii="Book Antiqua" w:hAnsi="Book Antiqua"/>
          <w:sz w:val="22"/>
          <w:szCs w:val="22"/>
        </w:rPr>
        <w:t xml:space="preserve">uidance. </w:t>
      </w:r>
      <w:r w:rsidR="00C14CF4" w:rsidRPr="00952E27">
        <w:rPr>
          <w:rFonts w:ascii="Book Antiqua" w:hAnsi="Book Antiqua"/>
          <w:sz w:val="22"/>
          <w:szCs w:val="22"/>
        </w:rPr>
        <w:t>There had been</w:t>
      </w:r>
      <w:r w:rsidRPr="00952E27">
        <w:rPr>
          <w:rFonts w:ascii="Book Antiqua" w:hAnsi="Book Antiqua"/>
          <w:sz w:val="22"/>
          <w:szCs w:val="22"/>
        </w:rPr>
        <w:t xml:space="preserve"> no application to amend the grounds.</w:t>
      </w:r>
      <w:r w:rsidR="00400E35" w:rsidRPr="00952E27">
        <w:rPr>
          <w:rFonts w:ascii="Book Antiqua" w:hAnsi="Book Antiqua"/>
          <w:sz w:val="22"/>
          <w:szCs w:val="22"/>
        </w:rPr>
        <w:t xml:space="preserve"> This issue should not be admitted.</w:t>
      </w:r>
    </w:p>
    <w:p w:rsidR="00400E35" w:rsidRPr="00952E27" w:rsidRDefault="00C14CF4" w:rsidP="00E21898">
      <w:pPr>
        <w:numPr>
          <w:ilvl w:val="1"/>
          <w:numId w:val="2"/>
        </w:numPr>
        <w:spacing w:before="120"/>
        <w:jc w:val="both"/>
        <w:rPr>
          <w:rFonts w:ascii="Book Antiqua" w:hAnsi="Book Antiqua"/>
          <w:sz w:val="22"/>
          <w:szCs w:val="22"/>
        </w:rPr>
      </w:pPr>
      <w:r w:rsidRPr="00952E27">
        <w:rPr>
          <w:rFonts w:ascii="Book Antiqua" w:hAnsi="Book Antiqua"/>
          <w:sz w:val="22"/>
          <w:szCs w:val="22"/>
        </w:rPr>
        <w:lastRenderedPageBreak/>
        <w:t xml:space="preserve">In any event, the judge was </w:t>
      </w:r>
      <w:r w:rsidR="0097346B" w:rsidRPr="00952E27">
        <w:rPr>
          <w:rFonts w:ascii="Book Antiqua" w:hAnsi="Book Antiqua"/>
          <w:sz w:val="22"/>
          <w:szCs w:val="22"/>
        </w:rPr>
        <w:t>clearly</w:t>
      </w:r>
      <w:r w:rsidRPr="00952E27">
        <w:rPr>
          <w:rFonts w:ascii="Book Antiqua" w:hAnsi="Book Antiqua"/>
          <w:sz w:val="22"/>
          <w:szCs w:val="22"/>
        </w:rPr>
        <w:t xml:space="preserve"> aware </w:t>
      </w:r>
      <w:r w:rsidR="0094432C" w:rsidRPr="00952E27">
        <w:rPr>
          <w:rFonts w:ascii="Book Antiqua" w:hAnsi="Book Antiqua"/>
          <w:sz w:val="22"/>
          <w:szCs w:val="22"/>
        </w:rPr>
        <w:t>that the appell</w:t>
      </w:r>
      <w:r w:rsidR="0097346B" w:rsidRPr="00952E27">
        <w:rPr>
          <w:rFonts w:ascii="Book Antiqua" w:hAnsi="Book Antiqua"/>
          <w:sz w:val="22"/>
          <w:szCs w:val="22"/>
        </w:rPr>
        <w:t>ant was a vulnerable witness due to mental health issues, and treated her as such.</w:t>
      </w:r>
    </w:p>
    <w:p w:rsidR="00400E35" w:rsidRPr="00952E27" w:rsidRDefault="00400E35" w:rsidP="00E21898">
      <w:pPr>
        <w:numPr>
          <w:ilvl w:val="1"/>
          <w:numId w:val="2"/>
        </w:numPr>
        <w:spacing w:before="120"/>
        <w:jc w:val="both"/>
        <w:rPr>
          <w:rFonts w:ascii="Book Antiqua" w:hAnsi="Book Antiqua"/>
          <w:sz w:val="22"/>
          <w:szCs w:val="22"/>
        </w:rPr>
      </w:pPr>
      <w:r w:rsidRPr="00952E27">
        <w:rPr>
          <w:rFonts w:ascii="Book Antiqua" w:hAnsi="Book Antiqua"/>
          <w:sz w:val="22"/>
          <w:szCs w:val="22"/>
        </w:rPr>
        <w:t xml:space="preserve">The facts of the case were all before the judge and all material points were clearly recorded in her decision. There was no reason to think that factors she recorded </w:t>
      </w:r>
      <w:r w:rsidR="00F3609D" w:rsidRPr="00952E27">
        <w:rPr>
          <w:rFonts w:ascii="Book Antiqua" w:hAnsi="Book Antiqua"/>
          <w:sz w:val="22"/>
          <w:szCs w:val="22"/>
        </w:rPr>
        <w:t>were ignored in resolving</w:t>
      </w:r>
      <w:r w:rsidR="00AC3333" w:rsidRPr="00952E27">
        <w:rPr>
          <w:rFonts w:ascii="Book Antiqua" w:hAnsi="Book Antiqua"/>
          <w:sz w:val="22"/>
          <w:szCs w:val="22"/>
        </w:rPr>
        <w:t xml:space="preserve"> article 8 issues.</w:t>
      </w:r>
    </w:p>
    <w:p w:rsidR="00AC3333" w:rsidRPr="00952E27" w:rsidRDefault="00AC3333" w:rsidP="00E21898">
      <w:pPr>
        <w:numPr>
          <w:ilvl w:val="1"/>
          <w:numId w:val="2"/>
        </w:numPr>
        <w:spacing w:before="120"/>
        <w:jc w:val="both"/>
        <w:rPr>
          <w:rFonts w:ascii="Book Antiqua" w:hAnsi="Book Antiqua"/>
          <w:sz w:val="22"/>
          <w:szCs w:val="22"/>
        </w:rPr>
      </w:pPr>
      <w:r w:rsidRPr="00952E27">
        <w:rPr>
          <w:rFonts w:ascii="Book Antiqua" w:hAnsi="Book Antiqua"/>
          <w:sz w:val="22"/>
          <w:szCs w:val="22"/>
        </w:rPr>
        <w:t xml:space="preserve">The judge made it clear that she was dealing with the case as the return of a lone woman to </w:t>
      </w:r>
      <w:r w:rsidR="00D91C51" w:rsidRPr="00952E27">
        <w:rPr>
          <w:rFonts w:ascii="Book Antiqua" w:hAnsi="Book Antiqua"/>
          <w:sz w:val="22"/>
          <w:szCs w:val="22"/>
        </w:rPr>
        <w:t>D</w:t>
      </w:r>
      <w:r w:rsidRPr="00952E27">
        <w:rPr>
          <w:rFonts w:ascii="Book Antiqua" w:hAnsi="Book Antiqua"/>
          <w:sz w:val="22"/>
          <w:szCs w:val="22"/>
        </w:rPr>
        <w:t>RC. The appellant being an adult, and that being the nature of the decision appealed against, that was exactly what was to be expected.</w:t>
      </w:r>
    </w:p>
    <w:p w:rsidR="00181A4D" w:rsidRPr="00952E27" w:rsidRDefault="004F6140" w:rsidP="00E21898">
      <w:pPr>
        <w:numPr>
          <w:ilvl w:val="1"/>
          <w:numId w:val="2"/>
        </w:numPr>
        <w:spacing w:before="120"/>
        <w:jc w:val="both"/>
        <w:rPr>
          <w:rFonts w:ascii="Book Antiqua" w:hAnsi="Book Antiqua"/>
          <w:sz w:val="22"/>
          <w:szCs w:val="22"/>
        </w:rPr>
      </w:pPr>
      <w:r w:rsidRPr="00952E27">
        <w:rPr>
          <w:rFonts w:ascii="Book Antiqua" w:hAnsi="Book Antiqua"/>
          <w:sz w:val="22"/>
          <w:szCs w:val="22"/>
        </w:rPr>
        <w:t xml:space="preserve">The appellant </w:t>
      </w:r>
      <w:r w:rsidR="00724C42" w:rsidRPr="00952E27">
        <w:rPr>
          <w:rFonts w:ascii="Book Antiqua" w:hAnsi="Book Antiqua"/>
          <w:sz w:val="22"/>
          <w:szCs w:val="22"/>
        </w:rPr>
        <w:t>had not</w:t>
      </w:r>
      <w:r w:rsidRPr="00952E27">
        <w:rPr>
          <w:rFonts w:ascii="Book Antiqua" w:hAnsi="Book Antiqua"/>
          <w:sz w:val="22"/>
          <w:szCs w:val="22"/>
        </w:rPr>
        <w:t xml:space="preserve"> founded in the F</w:t>
      </w:r>
      <w:r w:rsidR="00B63FEB" w:rsidRPr="00952E27">
        <w:rPr>
          <w:rFonts w:ascii="Book Antiqua" w:hAnsi="Book Antiqua"/>
          <w:sz w:val="22"/>
          <w:szCs w:val="22"/>
        </w:rPr>
        <w:t>t</w:t>
      </w:r>
      <w:r w:rsidRPr="00952E27">
        <w:rPr>
          <w:rFonts w:ascii="Book Antiqua" w:hAnsi="Book Antiqua"/>
          <w:sz w:val="22"/>
          <w:szCs w:val="22"/>
        </w:rPr>
        <w:t xml:space="preserve">T on her relationship with her mother </w:t>
      </w:r>
      <w:r w:rsidR="0077172B" w:rsidRPr="00952E27">
        <w:rPr>
          <w:rFonts w:ascii="Book Antiqua" w:hAnsi="Book Antiqua"/>
          <w:sz w:val="22"/>
          <w:szCs w:val="22"/>
        </w:rPr>
        <w:t xml:space="preserve">as </w:t>
      </w:r>
      <w:r w:rsidRPr="00952E27">
        <w:rPr>
          <w:rFonts w:ascii="Book Antiqua" w:hAnsi="Book Antiqua"/>
          <w:sz w:val="22"/>
          <w:szCs w:val="22"/>
        </w:rPr>
        <w:t>constituting family life</w:t>
      </w:r>
      <w:r w:rsidR="00B63FEB" w:rsidRPr="00952E27">
        <w:rPr>
          <w:rFonts w:ascii="Book Antiqua" w:hAnsi="Book Antiqua"/>
          <w:sz w:val="22"/>
          <w:szCs w:val="22"/>
        </w:rPr>
        <w:t xml:space="preserve">.  That was </w:t>
      </w:r>
      <w:r w:rsidR="0077172B" w:rsidRPr="00952E27">
        <w:rPr>
          <w:rFonts w:ascii="Book Antiqua" w:hAnsi="Book Antiqua"/>
          <w:sz w:val="22"/>
          <w:szCs w:val="22"/>
        </w:rPr>
        <w:t>included in terms of</w:t>
      </w:r>
      <w:r w:rsidR="00B63FEB" w:rsidRPr="00952E27">
        <w:rPr>
          <w:rFonts w:ascii="Book Antiqua" w:hAnsi="Book Antiqua"/>
          <w:sz w:val="22"/>
          <w:szCs w:val="22"/>
        </w:rPr>
        <w:t xml:space="preserve"> private life</w:t>
      </w:r>
      <w:r w:rsidR="0081539D" w:rsidRPr="00952E27">
        <w:rPr>
          <w:rFonts w:ascii="Book Antiqua" w:hAnsi="Book Antiqua"/>
          <w:sz w:val="22"/>
          <w:szCs w:val="22"/>
        </w:rPr>
        <w:t xml:space="preserve">, </w:t>
      </w:r>
      <w:r w:rsidR="00C60F22" w:rsidRPr="00952E27">
        <w:rPr>
          <w:rFonts w:ascii="Book Antiqua" w:hAnsi="Book Antiqua"/>
          <w:sz w:val="22"/>
          <w:szCs w:val="22"/>
        </w:rPr>
        <w:t>and</w:t>
      </w:r>
      <w:r w:rsidR="00155E4E" w:rsidRPr="00952E27">
        <w:rPr>
          <w:rFonts w:ascii="Book Antiqua" w:hAnsi="Book Antiqua"/>
          <w:sz w:val="22"/>
          <w:szCs w:val="22"/>
        </w:rPr>
        <w:t xml:space="preserve"> the strain of separation from her mother was </w:t>
      </w:r>
      <w:r w:rsidR="0081539D" w:rsidRPr="00952E27">
        <w:rPr>
          <w:rFonts w:ascii="Book Antiqua" w:hAnsi="Book Antiqua"/>
          <w:sz w:val="22"/>
          <w:szCs w:val="22"/>
        </w:rPr>
        <w:t xml:space="preserve">part of </w:t>
      </w:r>
      <w:r w:rsidR="00155E4E" w:rsidRPr="00952E27">
        <w:rPr>
          <w:rFonts w:ascii="Book Antiqua" w:hAnsi="Book Antiqua"/>
          <w:sz w:val="22"/>
          <w:szCs w:val="22"/>
        </w:rPr>
        <w:t>what the F</w:t>
      </w:r>
      <w:r w:rsidR="0081539D" w:rsidRPr="00952E27">
        <w:rPr>
          <w:rFonts w:ascii="Book Antiqua" w:hAnsi="Book Antiqua"/>
          <w:sz w:val="22"/>
          <w:szCs w:val="22"/>
        </w:rPr>
        <w:t>t</w:t>
      </w:r>
      <w:r w:rsidR="00155E4E" w:rsidRPr="00952E27">
        <w:rPr>
          <w:rFonts w:ascii="Book Antiqua" w:hAnsi="Book Antiqua"/>
          <w:sz w:val="22"/>
          <w:szCs w:val="22"/>
        </w:rPr>
        <w:t>T contemplated. The point was now being embellished</w:t>
      </w:r>
      <w:r w:rsidR="00181A4D" w:rsidRPr="00952E27">
        <w:rPr>
          <w:rFonts w:ascii="Book Antiqua" w:hAnsi="Book Antiqua"/>
          <w:sz w:val="22"/>
          <w:szCs w:val="22"/>
        </w:rPr>
        <w:t>.</w:t>
      </w:r>
    </w:p>
    <w:p w:rsidR="00873E90" w:rsidRPr="00952E27" w:rsidRDefault="00181A4D" w:rsidP="00E21898">
      <w:pPr>
        <w:numPr>
          <w:ilvl w:val="1"/>
          <w:numId w:val="2"/>
        </w:numPr>
        <w:spacing w:before="120"/>
        <w:jc w:val="both"/>
        <w:rPr>
          <w:rFonts w:ascii="Book Antiqua" w:hAnsi="Book Antiqua"/>
          <w:sz w:val="22"/>
          <w:szCs w:val="22"/>
        </w:rPr>
      </w:pPr>
      <w:r w:rsidRPr="00952E27">
        <w:rPr>
          <w:rFonts w:ascii="Book Antiqua" w:hAnsi="Book Antiqua"/>
          <w:sz w:val="22"/>
          <w:szCs w:val="22"/>
        </w:rPr>
        <w:t>The judge had considered all matters relating to family and private life including the appellant’s relationship with her mother and her mental health.</w:t>
      </w:r>
      <w:r w:rsidR="00AD4D19" w:rsidRPr="00952E27">
        <w:rPr>
          <w:rFonts w:ascii="Book Antiqua" w:hAnsi="Book Antiqua"/>
          <w:sz w:val="22"/>
          <w:szCs w:val="22"/>
        </w:rPr>
        <w:t xml:space="preserve">  Looking at</w:t>
      </w:r>
      <w:r w:rsidRPr="00952E27">
        <w:rPr>
          <w:rFonts w:ascii="Book Antiqua" w:hAnsi="Book Antiqua"/>
          <w:sz w:val="22"/>
          <w:szCs w:val="22"/>
        </w:rPr>
        <w:t xml:space="preserve"> the decision </w:t>
      </w:r>
      <w:r w:rsidR="00873E90" w:rsidRPr="00952E27">
        <w:rPr>
          <w:rFonts w:ascii="Book Antiqua" w:hAnsi="Book Antiqua"/>
          <w:sz w:val="22"/>
          <w:szCs w:val="22"/>
        </w:rPr>
        <w:t xml:space="preserve">holistically, no error of law </w:t>
      </w:r>
      <w:r w:rsidR="00AD4D19" w:rsidRPr="00952E27">
        <w:rPr>
          <w:rFonts w:ascii="Book Antiqua" w:hAnsi="Book Antiqua"/>
          <w:sz w:val="22"/>
          <w:szCs w:val="22"/>
        </w:rPr>
        <w:t>wa</w:t>
      </w:r>
      <w:r w:rsidR="00873E90" w:rsidRPr="00952E27">
        <w:rPr>
          <w:rFonts w:ascii="Book Antiqua" w:hAnsi="Book Antiqua"/>
          <w:sz w:val="22"/>
          <w:szCs w:val="22"/>
        </w:rPr>
        <w:t>s disclosed.</w:t>
      </w:r>
    </w:p>
    <w:p w:rsidR="00E31785" w:rsidRPr="00952E27" w:rsidRDefault="00AD4D19" w:rsidP="00E21898">
      <w:pPr>
        <w:numPr>
          <w:ilvl w:val="1"/>
          <w:numId w:val="2"/>
        </w:numPr>
        <w:spacing w:before="120"/>
        <w:jc w:val="both"/>
        <w:rPr>
          <w:rFonts w:ascii="Book Antiqua" w:hAnsi="Book Antiqua"/>
          <w:sz w:val="22"/>
          <w:szCs w:val="22"/>
        </w:rPr>
      </w:pPr>
      <w:r w:rsidRPr="00952E27">
        <w:rPr>
          <w:rFonts w:ascii="Book Antiqua" w:hAnsi="Book Antiqua"/>
          <w:sz w:val="22"/>
          <w:szCs w:val="22"/>
        </w:rPr>
        <w:t>If there w</w:t>
      </w:r>
      <w:r w:rsidR="00873E90" w:rsidRPr="00952E27">
        <w:rPr>
          <w:rFonts w:ascii="Book Antiqua" w:hAnsi="Book Antiqua"/>
          <w:sz w:val="22"/>
          <w:szCs w:val="22"/>
        </w:rPr>
        <w:t xml:space="preserve">ere any error, </w:t>
      </w:r>
      <w:r w:rsidRPr="00952E27">
        <w:rPr>
          <w:rFonts w:ascii="Book Antiqua" w:hAnsi="Book Antiqua"/>
          <w:sz w:val="22"/>
          <w:szCs w:val="22"/>
        </w:rPr>
        <w:t>there had</w:t>
      </w:r>
      <w:r w:rsidR="00873E90" w:rsidRPr="00952E27">
        <w:rPr>
          <w:rFonts w:ascii="Book Antiqua" w:hAnsi="Book Antiqua"/>
          <w:sz w:val="22"/>
          <w:szCs w:val="22"/>
        </w:rPr>
        <w:t xml:space="preserve"> been no application to lead further evidence</w:t>
      </w:r>
      <w:r w:rsidR="00EB5D80" w:rsidRPr="00952E27">
        <w:rPr>
          <w:rFonts w:ascii="Book Antiqua" w:hAnsi="Book Antiqua"/>
          <w:sz w:val="22"/>
          <w:szCs w:val="22"/>
        </w:rPr>
        <w:t xml:space="preserve">, so </w:t>
      </w:r>
      <w:r w:rsidR="00873E90" w:rsidRPr="00952E27">
        <w:rPr>
          <w:rFonts w:ascii="Book Antiqua" w:hAnsi="Book Antiqua"/>
          <w:sz w:val="22"/>
          <w:szCs w:val="22"/>
        </w:rPr>
        <w:t xml:space="preserve">the decision would </w:t>
      </w:r>
      <w:r w:rsidR="00EB5D80" w:rsidRPr="00952E27">
        <w:rPr>
          <w:rFonts w:ascii="Book Antiqua" w:hAnsi="Book Antiqua"/>
          <w:sz w:val="22"/>
          <w:szCs w:val="22"/>
        </w:rPr>
        <w:t>fall</w:t>
      </w:r>
      <w:r w:rsidR="00873E90" w:rsidRPr="00952E27">
        <w:rPr>
          <w:rFonts w:ascii="Book Antiqua" w:hAnsi="Book Antiqua"/>
          <w:sz w:val="22"/>
          <w:szCs w:val="22"/>
        </w:rPr>
        <w:t xml:space="preserve"> to be remade in the U</w:t>
      </w:r>
      <w:r w:rsidR="00EB5D80" w:rsidRPr="00952E27">
        <w:rPr>
          <w:rFonts w:ascii="Book Antiqua" w:hAnsi="Book Antiqua"/>
          <w:sz w:val="22"/>
          <w:szCs w:val="22"/>
        </w:rPr>
        <w:t>T</w:t>
      </w:r>
      <w:r w:rsidR="00B135C0" w:rsidRPr="00952E27">
        <w:rPr>
          <w:rFonts w:ascii="Book Antiqua" w:hAnsi="Book Antiqua"/>
          <w:sz w:val="22"/>
          <w:szCs w:val="22"/>
        </w:rPr>
        <w:t>, based on the evidence the appellant had led</w:t>
      </w:r>
      <w:r w:rsidR="00873E90" w:rsidRPr="00952E27">
        <w:rPr>
          <w:rFonts w:ascii="Book Antiqua" w:hAnsi="Book Antiqua"/>
          <w:sz w:val="22"/>
          <w:szCs w:val="22"/>
        </w:rPr>
        <w:t>. There were no outstanding issues of fact to resolve.</w:t>
      </w:r>
      <w:r w:rsidR="00E31785" w:rsidRPr="00952E27">
        <w:rPr>
          <w:rFonts w:ascii="Book Antiqua" w:hAnsi="Book Antiqua"/>
          <w:sz w:val="22"/>
          <w:szCs w:val="22"/>
        </w:rPr>
        <w:t xml:space="preserve"> The appeal would fall again to be dismissed.</w:t>
      </w:r>
    </w:p>
    <w:p w:rsidR="00E31785" w:rsidRPr="00952E27" w:rsidRDefault="00E31785" w:rsidP="00007BAC">
      <w:pPr>
        <w:numPr>
          <w:ilvl w:val="0"/>
          <w:numId w:val="2"/>
        </w:numPr>
        <w:spacing w:before="240"/>
        <w:jc w:val="both"/>
        <w:rPr>
          <w:rFonts w:ascii="Book Antiqua" w:hAnsi="Book Antiqua"/>
          <w:sz w:val="22"/>
          <w:szCs w:val="22"/>
        </w:rPr>
      </w:pPr>
      <w:r w:rsidRPr="00952E27">
        <w:rPr>
          <w:rFonts w:ascii="Book Antiqua" w:hAnsi="Book Antiqua"/>
          <w:sz w:val="22"/>
          <w:szCs w:val="22"/>
        </w:rPr>
        <w:t>I reserved my decision.</w:t>
      </w:r>
    </w:p>
    <w:p w:rsidR="008D506F" w:rsidRPr="00952E27" w:rsidRDefault="00AC2EF2" w:rsidP="00007BAC">
      <w:pPr>
        <w:numPr>
          <w:ilvl w:val="0"/>
          <w:numId w:val="2"/>
        </w:numPr>
        <w:spacing w:before="240"/>
        <w:jc w:val="both"/>
        <w:rPr>
          <w:rFonts w:ascii="Book Antiqua" w:hAnsi="Book Antiqua"/>
          <w:sz w:val="22"/>
          <w:szCs w:val="22"/>
        </w:rPr>
      </w:pPr>
      <w:r w:rsidRPr="00952E27">
        <w:rPr>
          <w:rFonts w:ascii="Book Antiqua" w:hAnsi="Book Antiqua"/>
          <w:sz w:val="22"/>
          <w:szCs w:val="22"/>
        </w:rPr>
        <w:t>The</w:t>
      </w:r>
      <w:r w:rsidR="00DE05F5" w:rsidRPr="00952E27">
        <w:rPr>
          <w:rFonts w:ascii="Book Antiqua" w:hAnsi="Book Antiqua"/>
          <w:sz w:val="22"/>
          <w:szCs w:val="22"/>
        </w:rPr>
        <w:t xml:space="preserve"> issue about the Guidance is not in the grounds.</w:t>
      </w:r>
    </w:p>
    <w:p w:rsidR="005B142D" w:rsidRPr="00952E27" w:rsidRDefault="008D506F" w:rsidP="00007BAC">
      <w:pPr>
        <w:numPr>
          <w:ilvl w:val="0"/>
          <w:numId w:val="2"/>
        </w:numPr>
        <w:spacing w:before="240"/>
        <w:jc w:val="both"/>
        <w:rPr>
          <w:rFonts w:ascii="Book Antiqua" w:hAnsi="Book Antiqua"/>
          <w:sz w:val="22"/>
          <w:szCs w:val="22"/>
        </w:rPr>
      </w:pPr>
      <w:r w:rsidRPr="00952E27">
        <w:rPr>
          <w:rFonts w:ascii="Book Antiqua" w:hAnsi="Book Antiqua"/>
          <w:sz w:val="22"/>
          <w:szCs w:val="22"/>
        </w:rPr>
        <w:t xml:space="preserve">The </w:t>
      </w:r>
      <w:r w:rsidR="00F5318C" w:rsidRPr="00952E27">
        <w:rPr>
          <w:rFonts w:ascii="Book Antiqua" w:hAnsi="Book Antiqua"/>
          <w:sz w:val="22"/>
          <w:szCs w:val="22"/>
        </w:rPr>
        <w:t xml:space="preserve">judge did not record that the appellant is a vulnerable witness, but </w:t>
      </w:r>
      <w:r w:rsidR="002B6A81" w:rsidRPr="00952E27">
        <w:rPr>
          <w:rFonts w:ascii="Book Antiqua" w:hAnsi="Book Antiqua"/>
          <w:sz w:val="22"/>
          <w:szCs w:val="22"/>
        </w:rPr>
        <w:t xml:space="preserve">that is implicit in her decision.  </w:t>
      </w:r>
      <w:r w:rsidR="00553DC6" w:rsidRPr="00952E27">
        <w:rPr>
          <w:rFonts w:ascii="Book Antiqua" w:hAnsi="Book Antiqua"/>
          <w:sz w:val="22"/>
          <w:szCs w:val="22"/>
        </w:rPr>
        <w:t>S</w:t>
      </w:r>
      <w:r w:rsidR="00F5318C" w:rsidRPr="00952E27">
        <w:rPr>
          <w:rFonts w:ascii="Book Antiqua" w:hAnsi="Book Antiqua"/>
          <w:sz w:val="22"/>
          <w:szCs w:val="22"/>
        </w:rPr>
        <w:t xml:space="preserve">he was aware of </w:t>
      </w:r>
      <w:r w:rsidR="002B6A81" w:rsidRPr="00952E27">
        <w:rPr>
          <w:rFonts w:ascii="Book Antiqua" w:hAnsi="Book Antiqua"/>
          <w:sz w:val="22"/>
          <w:szCs w:val="22"/>
        </w:rPr>
        <w:t>the</w:t>
      </w:r>
      <w:r w:rsidR="00F5318C" w:rsidRPr="00952E27">
        <w:rPr>
          <w:rFonts w:ascii="Book Antiqua" w:hAnsi="Book Antiqua"/>
          <w:sz w:val="22"/>
          <w:szCs w:val="22"/>
        </w:rPr>
        <w:t xml:space="preserve"> </w:t>
      </w:r>
      <w:r w:rsidR="00777865" w:rsidRPr="00952E27">
        <w:rPr>
          <w:rFonts w:ascii="Book Antiqua" w:hAnsi="Book Antiqua"/>
          <w:sz w:val="22"/>
          <w:szCs w:val="22"/>
        </w:rPr>
        <w:t>mental health issues and took them into account.  If asked to record in terms of the Guidance that the appellant was a vulnerable witness, there is no reason to think she would not have done so.</w:t>
      </w:r>
      <w:r w:rsidR="002B6A81" w:rsidRPr="00952E27">
        <w:rPr>
          <w:rFonts w:ascii="Book Antiqua" w:hAnsi="Book Antiqua"/>
          <w:sz w:val="22"/>
          <w:szCs w:val="22"/>
        </w:rPr>
        <w:t xml:space="preserve">  This is an objection on a point of </w:t>
      </w:r>
      <w:r w:rsidR="00242806" w:rsidRPr="00952E27">
        <w:rPr>
          <w:rFonts w:ascii="Book Antiqua" w:hAnsi="Book Antiqua"/>
          <w:sz w:val="22"/>
          <w:szCs w:val="22"/>
        </w:rPr>
        <w:t>mer</w:t>
      </w:r>
      <w:r w:rsidR="0068305B" w:rsidRPr="00952E27">
        <w:rPr>
          <w:rFonts w:ascii="Book Antiqua" w:hAnsi="Book Antiqua"/>
          <w:sz w:val="22"/>
          <w:szCs w:val="22"/>
        </w:rPr>
        <w:t>e formality.</w:t>
      </w:r>
    </w:p>
    <w:p w:rsidR="005B142D" w:rsidRPr="00952E27" w:rsidRDefault="005B142D" w:rsidP="005B142D">
      <w:pPr>
        <w:numPr>
          <w:ilvl w:val="0"/>
          <w:numId w:val="2"/>
        </w:numPr>
        <w:spacing w:before="240"/>
        <w:jc w:val="both"/>
        <w:rPr>
          <w:rFonts w:ascii="Book Antiqua" w:hAnsi="Book Antiqua"/>
          <w:sz w:val="22"/>
          <w:szCs w:val="22"/>
        </w:rPr>
      </w:pPr>
      <w:r w:rsidRPr="00952E27">
        <w:rPr>
          <w:rFonts w:ascii="Book Antiqua" w:hAnsi="Book Antiqua"/>
          <w:sz w:val="22"/>
          <w:szCs w:val="22"/>
        </w:rPr>
        <w:t>It was clarified by Mr Govan in course of submissions that the appellant’s mother had an appeal pending before the FtT the same time as the appellant. She has other legal representatives. This appellant’s case was heard on 22 December 2017 and her mother’s case was heard on 19 February 2018. Her mother’s appeal was also dismissed. The FtT has refused permission to appeal to the UT. An application to the UT awaits decision.</w:t>
      </w:r>
    </w:p>
    <w:p w:rsidR="00CF60A6" w:rsidRPr="00952E27" w:rsidRDefault="00242806" w:rsidP="00007BAC">
      <w:pPr>
        <w:numPr>
          <w:ilvl w:val="0"/>
          <w:numId w:val="2"/>
        </w:numPr>
        <w:spacing w:before="240"/>
        <w:jc w:val="both"/>
        <w:rPr>
          <w:rFonts w:ascii="Book Antiqua" w:hAnsi="Book Antiqua"/>
          <w:sz w:val="22"/>
          <w:szCs w:val="22"/>
        </w:rPr>
      </w:pPr>
      <w:r w:rsidRPr="00952E27">
        <w:rPr>
          <w:rFonts w:ascii="Book Antiqua" w:hAnsi="Book Antiqua"/>
          <w:sz w:val="22"/>
          <w:szCs w:val="22"/>
        </w:rPr>
        <w:t>There is no doubt that the judge treated the case as one of the appellant returning on her own, not with her mother</w:t>
      </w:r>
      <w:r w:rsidR="00B47884" w:rsidRPr="00952E27">
        <w:rPr>
          <w:rFonts w:ascii="Book Antiqua" w:hAnsi="Book Antiqua"/>
          <w:sz w:val="22"/>
          <w:szCs w:val="22"/>
        </w:rPr>
        <w:t xml:space="preserve"> – see for example paragraph 19, </w:t>
      </w:r>
      <w:r w:rsidR="00B47884" w:rsidRPr="00952E27">
        <w:rPr>
          <w:rFonts w:ascii="Book Antiqua" w:hAnsi="Book Antiqua"/>
          <w:i/>
          <w:sz w:val="22"/>
          <w:szCs w:val="22"/>
        </w:rPr>
        <w:t>“</w:t>
      </w:r>
      <w:r w:rsidR="00D4532D" w:rsidRPr="00952E27">
        <w:rPr>
          <w:rFonts w:ascii="Book Antiqua" w:hAnsi="Book Antiqua"/>
          <w:i/>
          <w:sz w:val="22"/>
          <w:szCs w:val="22"/>
        </w:rPr>
        <w:t>T</w:t>
      </w:r>
      <w:r w:rsidR="00B47884" w:rsidRPr="00952E27">
        <w:rPr>
          <w:rFonts w:ascii="Book Antiqua" w:hAnsi="Book Antiqua"/>
          <w:i/>
          <w:sz w:val="22"/>
          <w:szCs w:val="22"/>
        </w:rPr>
        <w:t>he appellant will be returning to the DRC in her own right as an adult”</w:t>
      </w:r>
      <w:r w:rsidR="009176AE" w:rsidRPr="00952E27">
        <w:rPr>
          <w:rFonts w:ascii="Book Antiqua" w:hAnsi="Book Antiqua"/>
          <w:sz w:val="22"/>
          <w:szCs w:val="22"/>
        </w:rPr>
        <w:t xml:space="preserve">, and 31, </w:t>
      </w:r>
      <w:r w:rsidR="009176AE" w:rsidRPr="00952E27">
        <w:rPr>
          <w:rFonts w:ascii="Book Antiqua" w:hAnsi="Book Antiqua"/>
          <w:i/>
          <w:sz w:val="22"/>
          <w:szCs w:val="22"/>
        </w:rPr>
        <w:t>“Even should</w:t>
      </w:r>
      <w:r w:rsidR="0032400F" w:rsidRPr="00952E27">
        <w:rPr>
          <w:rFonts w:ascii="Book Antiqua" w:hAnsi="Book Antiqua"/>
          <w:i/>
          <w:sz w:val="22"/>
          <w:szCs w:val="22"/>
        </w:rPr>
        <w:t xml:space="preserve"> the appellant’s mother not return with her … I find that the appellant is able to return … in her own right.”</w:t>
      </w:r>
      <w:r w:rsidR="00CF60A6" w:rsidRPr="00952E27">
        <w:rPr>
          <w:rFonts w:ascii="Book Antiqua" w:hAnsi="Book Antiqua"/>
          <w:sz w:val="22"/>
          <w:szCs w:val="22"/>
        </w:rPr>
        <w:t xml:space="preserve"> </w:t>
      </w:r>
      <w:r w:rsidR="00B47884" w:rsidRPr="00952E27">
        <w:rPr>
          <w:rFonts w:ascii="Book Antiqua" w:hAnsi="Book Antiqua"/>
          <w:sz w:val="22"/>
          <w:szCs w:val="22"/>
        </w:rPr>
        <w:t xml:space="preserve"> </w:t>
      </w:r>
      <w:r w:rsidR="00CF60A6" w:rsidRPr="00952E27">
        <w:rPr>
          <w:rFonts w:ascii="Book Antiqua" w:hAnsi="Book Antiqua"/>
          <w:sz w:val="22"/>
          <w:szCs w:val="22"/>
        </w:rPr>
        <w:t>That was the effect of the respondent’s decision, and what the case was all about.</w:t>
      </w:r>
    </w:p>
    <w:p w:rsidR="00CF60A6" w:rsidRPr="00952E27" w:rsidRDefault="00CF60A6" w:rsidP="00007BAC">
      <w:pPr>
        <w:numPr>
          <w:ilvl w:val="0"/>
          <w:numId w:val="2"/>
        </w:numPr>
        <w:spacing w:before="240"/>
        <w:jc w:val="both"/>
        <w:rPr>
          <w:rFonts w:ascii="Book Antiqua" w:hAnsi="Book Antiqua"/>
          <w:sz w:val="22"/>
          <w:szCs w:val="22"/>
        </w:rPr>
      </w:pPr>
      <w:r w:rsidRPr="00952E27">
        <w:rPr>
          <w:rFonts w:ascii="Book Antiqua" w:hAnsi="Book Antiqua"/>
          <w:sz w:val="22"/>
          <w:szCs w:val="22"/>
        </w:rPr>
        <w:t xml:space="preserve">The observation later in </w:t>
      </w:r>
      <w:r w:rsidR="000416CF" w:rsidRPr="00952E27">
        <w:rPr>
          <w:rFonts w:ascii="Book Antiqua" w:hAnsi="Book Antiqua"/>
          <w:sz w:val="22"/>
          <w:szCs w:val="22"/>
        </w:rPr>
        <w:t xml:space="preserve">paragraph 19, </w:t>
      </w:r>
      <w:r w:rsidR="000416CF" w:rsidRPr="00952E27">
        <w:rPr>
          <w:rFonts w:ascii="Book Antiqua" w:hAnsi="Book Antiqua"/>
          <w:i/>
          <w:sz w:val="22"/>
          <w:szCs w:val="22"/>
        </w:rPr>
        <w:t>“There is no reason why she and her mother could not return together”</w:t>
      </w:r>
      <w:r w:rsidR="00475F74" w:rsidRPr="00952E27">
        <w:rPr>
          <w:rFonts w:ascii="Book Antiqua" w:hAnsi="Book Antiqua"/>
          <w:sz w:val="22"/>
          <w:szCs w:val="22"/>
        </w:rPr>
        <w:t xml:space="preserve">, is supplementary or alternative. It is not </w:t>
      </w:r>
      <w:r w:rsidR="0087300C">
        <w:rPr>
          <w:rFonts w:ascii="Book Antiqua" w:hAnsi="Book Antiqua"/>
          <w:sz w:val="22"/>
          <w:szCs w:val="22"/>
        </w:rPr>
        <w:t>crux</w:t>
      </w:r>
      <w:r w:rsidR="00475F74" w:rsidRPr="00952E27">
        <w:rPr>
          <w:rFonts w:ascii="Book Antiqua" w:hAnsi="Book Antiqua"/>
          <w:sz w:val="22"/>
          <w:szCs w:val="22"/>
        </w:rPr>
        <w:t xml:space="preserve"> of the de</w:t>
      </w:r>
      <w:r w:rsidR="006C2061" w:rsidRPr="00952E27">
        <w:rPr>
          <w:rFonts w:ascii="Book Antiqua" w:hAnsi="Book Antiqua"/>
          <w:sz w:val="22"/>
          <w:szCs w:val="22"/>
        </w:rPr>
        <w:t>cision.</w:t>
      </w:r>
    </w:p>
    <w:p w:rsidR="006C2061" w:rsidRPr="00952E27" w:rsidRDefault="0068147C" w:rsidP="00007BAC">
      <w:pPr>
        <w:numPr>
          <w:ilvl w:val="0"/>
          <w:numId w:val="2"/>
        </w:numPr>
        <w:spacing w:before="240"/>
        <w:jc w:val="both"/>
        <w:rPr>
          <w:rFonts w:ascii="Book Antiqua" w:hAnsi="Book Antiqua"/>
          <w:sz w:val="22"/>
          <w:szCs w:val="22"/>
        </w:rPr>
      </w:pPr>
      <w:r w:rsidRPr="00952E27">
        <w:rPr>
          <w:rFonts w:ascii="Book Antiqua" w:hAnsi="Book Antiqua"/>
          <w:sz w:val="22"/>
          <w:szCs w:val="22"/>
        </w:rPr>
        <w:t>It has not been argued that t</w:t>
      </w:r>
      <w:r w:rsidR="006C2061" w:rsidRPr="00952E27">
        <w:rPr>
          <w:rFonts w:ascii="Book Antiqua" w:hAnsi="Book Antiqua"/>
          <w:sz w:val="22"/>
          <w:szCs w:val="22"/>
        </w:rPr>
        <w:t xml:space="preserve">he observation </w:t>
      </w:r>
      <w:r w:rsidR="00491FDC" w:rsidRPr="00952E27">
        <w:rPr>
          <w:rFonts w:ascii="Book Antiqua" w:hAnsi="Book Antiqua"/>
          <w:sz w:val="22"/>
          <w:szCs w:val="22"/>
        </w:rPr>
        <w:t>wa</w:t>
      </w:r>
      <w:r w:rsidR="006C2061" w:rsidRPr="00952E27">
        <w:rPr>
          <w:rFonts w:ascii="Book Antiqua" w:hAnsi="Book Antiqua"/>
          <w:sz w:val="22"/>
          <w:szCs w:val="22"/>
        </w:rPr>
        <w:t xml:space="preserve">s </w:t>
      </w:r>
      <w:r w:rsidRPr="00952E27">
        <w:rPr>
          <w:rFonts w:ascii="Book Antiqua" w:hAnsi="Book Antiqua"/>
          <w:sz w:val="22"/>
          <w:szCs w:val="22"/>
        </w:rPr>
        <w:t>in</w:t>
      </w:r>
      <w:r w:rsidR="006C2061" w:rsidRPr="00952E27">
        <w:rPr>
          <w:rFonts w:ascii="Book Antiqua" w:hAnsi="Book Antiqua"/>
          <w:sz w:val="22"/>
          <w:szCs w:val="22"/>
        </w:rPr>
        <w:t>accurate.</w:t>
      </w:r>
      <w:r w:rsidR="00712C97" w:rsidRPr="00952E27">
        <w:rPr>
          <w:rFonts w:ascii="Book Antiqua" w:hAnsi="Book Antiqua"/>
          <w:sz w:val="22"/>
          <w:szCs w:val="22"/>
        </w:rPr>
        <w:t xml:space="preserve">  </w:t>
      </w:r>
      <w:r w:rsidR="008C580D" w:rsidRPr="00952E27">
        <w:rPr>
          <w:rFonts w:ascii="Book Antiqua" w:hAnsi="Book Antiqua"/>
          <w:sz w:val="22"/>
          <w:szCs w:val="22"/>
        </w:rPr>
        <w:t>It was not established that t</w:t>
      </w:r>
      <w:r w:rsidR="00712C97" w:rsidRPr="00952E27">
        <w:rPr>
          <w:rFonts w:ascii="Book Antiqua" w:hAnsi="Book Antiqua"/>
          <w:sz w:val="22"/>
          <w:szCs w:val="22"/>
        </w:rPr>
        <w:t xml:space="preserve">he appellant’s mother had </w:t>
      </w:r>
      <w:r w:rsidR="008C580D" w:rsidRPr="00952E27">
        <w:rPr>
          <w:rFonts w:ascii="Book Antiqua" w:hAnsi="Book Antiqua"/>
          <w:sz w:val="22"/>
          <w:szCs w:val="22"/>
        </w:rPr>
        <w:t>any reason not to return, or any right to remain in the UK.</w:t>
      </w:r>
    </w:p>
    <w:p w:rsidR="00491FDC" w:rsidRPr="00952E27" w:rsidRDefault="00491FDC" w:rsidP="00491FDC">
      <w:pPr>
        <w:numPr>
          <w:ilvl w:val="0"/>
          <w:numId w:val="2"/>
        </w:numPr>
        <w:spacing w:before="240"/>
        <w:jc w:val="both"/>
        <w:rPr>
          <w:rFonts w:ascii="Book Antiqua" w:hAnsi="Book Antiqua"/>
          <w:sz w:val="22"/>
          <w:szCs w:val="22"/>
        </w:rPr>
      </w:pPr>
      <w:r w:rsidRPr="00952E27">
        <w:rPr>
          <w:rFonts w:ascii="Book Antiqua" w:hAnsi="Book Antiqua"/>
          <w:sz w:val="22"/>
          <w:szCs w:val="22"/>
        </w:rPr>
        <w:lastRenderedPageBreak/>
        <w:t>If the appellant’s appeal had been thought to be contingent on her mother’s position, the obvious course would have been to ask for the appeals to be heard together. They were current at the same time, as each must have known.  Separate legal representation is no barrier.</w:t>
      </w:r>
    </w:p>
    <w:p w:rsidR="007D221A" w:rsidRPr="00952E27" w:rsidRDefault="0042454D" w:rsidP="00491FDC">
      <w:pPr>
        <w:numPr>
          <w:ilvl w:val="0"/>
          <w:numId w:val="2"/>
        </w:numPr>
        <w:spacing w:before="240"/>
        <w:jc w:val="both"/>
        <w:rPr>
          <w:rFonts w:ascii="Book Antiqua" w:hAnsi="Book Antiqua"/>
          <w:sz w:val="22"/>
          <w:szCs w:val="22"/>
        </w:rPr>
      </w:pPr>
      <w:r w:rsidRPr="00952E27">
        <w:rPr>
          <w:rFonts w:ascii="Book Antiqua" w:hAnsi="Book Antiqua"/>
          <w:sz w:val="22"/>
          <w:szCs w:val="22"/>
        </w:rPr>
        <w:t>It might have been a sustainable proposition, on the evidence, that</w:t>
      </w:r>
      <w:r w:rsidR="007D221A" w:rsidRPr="00952E27">
        <w:rPr>
          <w:rFonts w:ascii="Book Antiqua" w:hAnsi="Book Antiqua"/>
          <w:sz w:val="22"/>
          <w:szCs w:val="22"/>
        </w:rPr>
        <w:t xml:space="preserve"> the</w:t>
      </w:r>
      <w:r w:rsidR="008461F6" w:rsidRPr="00952E27">
        <w:rPr>
          <w:rFonts w:ascii="Book Antiqua" w:hAnsi="Book Antiqua"/>
          <w:sz w:val="22"/>
          <w:szCs w:val="22"/>
        </w:rPr>
        <w:t xml:space="preserve"> appellant</w:t>
      </w:r>
      <w:r w:rsidR="007D221A" w:rsidRPr="00952E27">
        <w:rPr>
          <w:rFonts w:ascii="Book Antiqua" w:hAnsi="Book Antiqua"/>
          <w:sz w:val="22"/>
          <w:szCs w:val="22"/>
        </w:rPr>
        <w:t>,</w:t>
      </w:r>
      <w:r w:rsidR="008461F6" w:rsidRPr="00952E27">
        <w:rPr>
          <w:rFonts w:ascii="Book Antiqua" w:hAnsi="Book Antiqua"/>
          <w:sz w:val="22"/>
          <w:szCs w:val="22"/>
        </w:rPr>
        <w:t xml:space="preserve"> although an adult, remained for article 8 purposes a family member of her mother.</w:t>
      </w:r>
      <w:r w:rsidR="0032036E" w:rsidRPr="00952E27">
        <w:rPr>
          <w:rFonts w:ascii="Book Antiqua" w:hAnsi="Book Antiqua"/>
          <w:sz w:val="22"/>
          <w:szCs w:val="22"/>
        </w:rPr>
        <w:t xml:space="preserve">  </w:t>
      </w:r>
      <w:r w:rsidR="007D221A" w:rsidRPr="00952E27">
        <w:rPr>
          <w:rFonts w:ascii="Book Antiqua" w:hAnsi="Book Antiqua"/>
          <w:sz w:val="22"/>
          <w:szCs w:val="22"/>
        </w:rPr>
        <w:t>However, s</w:t>
      </w:r>
      <w:r w:rsidR="0032036E" w:rsidRPr="00952E27">
        <w:rPr>
          <w:rFonts w:ascii="Book Antiqua" w:hAnsi="Book Antiqua"/>
          <w:sz w:val="22"/>
          <w:szCs w:val="22"/>
        </w:rPr>
        <w:t xml:space="preserve">he made thorough submissions, both oral and written, but did not </w:t>
      </w:r>
      <w:r w:rsidR="007D221A" w:rsidRPr="00952E27">
        <w:rPr>
          <w:rFonts w:ascii="Book Antiqua" w:hAnsi="Book Antiqua"/>
          <w:sz w:val="22"/>
          <w:szCs w:val="22"/>
        </w:rPr>
        <w:t>t</w:t>
      </w:r>
      <w:r w:rsidR="0032036E" w:rsidRPr="00952E27">
        <w:rPr>
          <w:rFonts w:ascii="Book Antiqua" w:hAnsi="Book Antiqua"/>
          <w:sz w:val="22"/>
          <w:szCs w:val="22"/>
        </w:rPr>
        <w:t>ake this point.</w:t>
      </w:r>
    </w:p>
    <w:p w:rsidR="008461F6" w:rsidRPr="00952E27" w:rsidRDefault="007D221A" w:rsidP="00491FDC">
      <w:pPr>
        <w:numPr>
          <w:ilvl w:val="0"/>
          <w:numId w:val="2"/>
        </w:numPr>
        <w:spacing w:before="240"/>
        <w:jc w:val="both"/>
        <w:rPr>
          <w:rFonts w:ascii="Book Antiqua" w:hAnsi="Book Antiqua"/>
          <w:sz w:val="22"/>
          <w:szCs w:val="22"/>
        </w:rPr>
      </w:pPr>
      <w:r w:rsidRPr="00952E27">
        <w:rPr>
          <w:rFonts w:ascii="Book Antiqua" w:hAnsi="Book Antiqua"/>
          <w:sz w:val="22"/>
          <w:szCs w:val="22"/>
        </w:rPr>
        <w:t>More importantly,</w:t>
      </w:r>
      <w:r w:rsidR="00024209" w:rsidRPr="00952E27">
        <w:rPr>
          <w:rFonts w:ascii="Book Antiqua" w:hAnsi="Book Antiqua"/>
          <w:sz w:val="22"/>
          <w:szCs w:val="22"/>
        </w:rPr>
        <w:t xml:space="preserve"> the appellant’s relationship with her mother, if not considered as family life, was </w:t>
      </w:r>
      <w:r w:rsidR="00D54AAD" w:rsidRPr="00952E27">
        <w:rPr>
          <w:rFonts w:ascii="Book Antiqua" w:hAnsi="Book Antiqua"/>
          <w:sz w:val="22"/>
          <w:szCs w:val="22"/>
        </w:rPr>
        <w:t>at the heart of the private life case</w:t>
      </w:r>
      <w:r w:rsidR="00BF1277" w:rsidRPr="00952E27">
        <w:rPr>
          <w:rFonts w:ascii="Book Antiqua" w:hAnsi="Book Antiqua"/>
          <w:sz w:val="22"/>
          <w:szCs w:val="22"/>
        </w:rPr>
        <w:t xml:space="preserve"> considered by the judge.  A decisive line </w:t>
      </w:r>
      <w:r w:rsidR="008B257A" w:rsidRPr="00952E27">
        <w:rPr>
          <w:rFonts w:ascii="Book Antiqua" w:hAnsi="Book Antiqua"/>
          <w:sz w:val="22"/>
          <w:szCs w:val="22"/>
        </w:rPr>
        <w:t>was</w:t>
      </w:r>
      <w:r w:rsidR="00BF1277" w:rsidRPr="00952E27">
        <w:rPr>
          <w:rFonts w:ascii="Book Antiqua" w:hAnsi="Book Antiqua"/>
          <w:sz w:val="22"/>
          <w:szCs w:val="22"/>
        </w:rPr>
        <w:t xml:space="preserve"> not drawn between family and private life</w:t>
      </w:r>
      <w:r w:rsidR="008B257A" w:rsidRPr="00952E27">
        <w:rPr>
          <w:rFonts w:ascii="Book Antiqua" w:hAnsi="Book Antiqua"/>
          <w:sz w:val="22"/>
          <w:szCs w:val="22"/>
        </w:rPr>
        <w:t>.</w:t>
      </w:r>
      <w:r w:rsidR="00024209" w:rsidRPr="00952E27">
        <w:rPr>
          <w:rFonts w:ascii="Book Antiqua" w:hAnsi="Book Antiqua"/>
          <w:sz w:val="22"/>
          <w:szCs w:val="22"/>
        </w:rPr>
        <w:t xml:space="preserve"> </w:t>
      </w:r>
    </w:p>
    <w:p w:rsidR="00AB464F" w:rsidRDefault="00D3519E" w:rsidP="00007BAC">
      <w:pPr>
        <w:numPr>
          <w:ilvl w:val="0"/>
          <w:numId w:val="2"/>
        </w:numPr>
        <w:spacing w:before="240"/>
        <w:jc w:val="both"/>
        <w:rPr>
          <w:rFonts w:ascii="Book Antiqua" w:hAnsi="Book Antiqua"/>
          <w:sz w:val="22"/>
          <w:szCs w:val="22"/>
        </w:rPr>
      </w:pPr>
      <w:r w:rsidRPr="00952E27">
        <w:rPr>
          <w:rFonts w:ascii="Book Antiqua" w:hAnsi="Book Antiqua"/>
          <w:sz w:val="22"/>
          <w:szCs w:val="22"/>
        </w:rPr>
        <w:t xml:space="preserve">The appellant’s case has been </w:t>
      </w:r>
      <w:r w:rsidR="00DE7EE0" w:rsidRPr="00952E27">
        <w:rPr>
          <w:rFonts w:ascii="Book Antiqua" w:hAnsi="Book Antiqua"/>
          <w:sz w:val="22"/>
          <w:szCs w:val="22"/>
        </w:rPr>
        <w:t>advanced</w:t>
      </w:r>
      <w:r w:rsidRPr="00952E27">
        <w:rPr>
          <w:rFonts w:ascii="Book Antiqua" w:hAnsi="Book Antiqua"/>
          <w:sz w:val="22"/>
          <w:szCs w:val="22"/>
        </w:rPr>
        <w:t xml:space="preserve"> as thoroughly </w:t>
      </w:r>
      <w:r w:rsidR="00874340" w:rsidRPr="00952E27">
        <w:rPr>
          <w:rFonts w:ascii="Book Antiqua" w:hAnsi="Book Antiqua"/>
          <w:sz w:val="22"/>
          <w:szCs w:val="22"/>
        </w:rPr>
        <w:t xml:space="preserve">as it could be, both in the FTT and in the UK. However, the grounds of appeal </w:t>
      </w:r>
      <w:r w:rsidR="00D00D5E" w:rsidRPr="00952E27">
        <w:rPr>
          <w:rFonts w:ascii="Book Antiqua" w:hAnsi="Book Antiqua"/>
          <w:sz w:val="22"/>
          <w:szCs w:val="22"/>
        </w:rPr>
        <w:t>are</w:t>
      </w:r>
      <w:r w:rsidR="00874340" w:rsidRPr="00952E27">
        <w:rPr>
          <w:rFonts w:ascii="Book Antiqua" w:hAnsi="Book Antiqua"/>
          <w:sz w:val="22"/>
          <w:szCs w:val="22"/>
        </w:rPr>
        <w:t xml:space="preserve"> </w:t>
      </w:r>
      <w:r w:rsidR="00E47A61" w:rsidRPr="00952E27">
        <w:rPr>
          <w:rFonts w:ascii="Book Antiqua" w:hAnsi="Book Antiqua"/>
          <w:sz w:val="22"/>
          <w:szCs w:val="22"/>
        </w:rPr>
        <w:t xml:space="preserve">only </w:t>
      </w:r>
      <w:r w:rsidR="00874340" w:rsidRPr="00952E27">
        <w:rPr>
          <w:rFonts w:ascii="Book Antiqua" w:hAnsi="Book Antiqua"/>
          <w:sz w:val="22"/>
          <w:szCs w:val="22"/>
        </w:rPr>
        <w:t>continued insistence</w:t>
      </w:r>
      <w:r w:rsidR="00D00D5E" w:rsidRPr="00952E27">
        <w:rPr>
          <w:rFonts w:ascii="Book Antiqua" w:hAnsi="Book Antiqua"/>
          <w:sz w:val="22"/>
          <w:szCs w:val="22"/>
        </w:rPr>
        <w:t xml:space="preserve">, </w:t>
      </w:r>
      <w:r w:rsidR="008F4FEE" w:rsidRPr="00952E27">
        <w:rPr>
          <w:rFonts w:ascii="Book Antiqua" w:hAnsi="Book Antiqua"/>
          <w:sz w:val="22"/>
          <w:szCs w:val="22"/>
        </w:rPr>
        <w:t xml:space="preserve">embellished in </w:t>
      </w:r>
      <w:r w:rsidR="00A52F93" w:rsidRPr="00952E27">
        <w:rPr>
          <w:rFonts w:ascii="Book Antiqua" w:hAnsi="Book Antiqua"/>
          <w:sz w:val="22"/>
          <w:szCs w:val="22"/>
        </w:rPr>
        <w:t xml:space="preserve">submissions in </w:t>
      </w:r>
      <w:r w:rsidR="008F4FEE" w:rsidRPr="00952E27">
        <w:rPr>
          <w:rFonts w:ascii="Book Antiqua" w:hAnsi="Book Antiqua"/>
          <w:sz w:val="22"/>
          <w:szCs w:val="22"/>
        </w:rPr>
        <w:t xml:space="preserve">terms which at best </w:t>
      </w:r>
      <w:r w:rsidR="00A52F93" w:rsidRPr="00952E27">
        <w:rPr>
          <w:rFonts w:ascii="Book Antiqua" w:hAnsi="Book Antiqua"/>
          <w:sz w:val="22"/>
          <w:szCs w:val="22"/>
        </w:rPr>
        <w:t>disclose error of form</w:t>
      </w:r>
      <w:r w:rsidR="000C692F" w:rsidRPr="00952E27">
        <w:rPr>
          <w:rFonts w:ascii="Book Antiqua" w:hAnsi="Book Antiqua"/>
          <w:sz w:val="22"/>
          <w:szCs w:val="22"/>
        </w:rPr>
        <w:t>. They do not show that th</w:t>
      </w:r>
      <w:r w:rsidR="008F4FEE" w:rsidRPr="00952E27">
        <w:rPr>
          <w:rFonts w:ascii="Book Antiqua" w:hAnsi="Book Antiqua"/>
          <w:sz w:val="22"/>
          <w:szCs w:val="22"/>
        </w:rPr>
        <w:t>e FtT</w:t>
      </w:r>
      <w:r w:rsidR="004C625E">
        <w:rPr>
          <w:rFonts w:ascii="Book Antiqua" w:hAnsi="Book Antiqua"/>
          <w:sz w:val="22"/>
          <w:szCs w:val="22"/>
        </w:rPr>
        <w:t xml:space="preserve"> failed to take account of all relevant matters at each stage of the decision.  The facts did not need to be repeated again and again.  </w:t>
      </w:r>
    </w:p>
    <w:p w:rsidR="00321C6F" w:rsidRPr="00AB464F" w:rsidRDefault="00AB464F" w:rsidP="00007BAC">
      <w:pPr>
        <w:numPr>
          <w:ilvl w:val="0"/>
          <w:numId w:val="2"/>
        </w:numPr>
        <w:spacing w:before="240"/>
        <w:jc w:val="both"/>
        <w:rPr>
          <w:rFonts w:ascii="Book Antiqua" w:hAnsi="Book Antiqua"/>
          <w:sz w:val="22"/>
          <w:szCs w:val="22"/>
        </w:rPr>
      </w:pPr>
      <w:r w:rsidRPr="00AB464F">
        <w:rPr>
          <w:rFonts w:ascii="Book Antiqua" w:hAnsi="Book Antiqua"/>
          <w:sz w:val="22"/>
          <w:szCs w:val="22"/>
        </w:rPr>
        <w:t>The FtT</w:t>
      </w:r>
      <w:r w:rsidR="008F4FEE" w:rsidRPr="00AB464F">
        <w:rPr>
          <w:rFonts w:ascii="Book Antiqua" w:hAnsi="Book Antiqua"/>
          <w:sz w:val="22"/>
          <w:szCs w:val="22"/>
        </w:rPr>
        <w:t>’s</w:t>
      </w:r>
      <w:r w:rsidR="000C692F" w:rsidRPr="00AB464F">
        <w:rPr>
          <w:rFonts w:ascii="Book Antiqua" w:hAnsi="Book Antiqua"/>
          <w:sz w:val="22"/>
          <w:szCs w:val="22"/>
        </w:rPr>
        <w:t xml:space="preserve"> resolution </w:t>
      </w:r>
      <w:r w:rsidR="008F4FEE" w:rsidRPr="00AB464F">
        <w:rPr>
          <w:rFonts w:ascii="Book Antiqua" w:hAnsi="Book Antiqua"/>
          <w:sz w:val="22"/>
          <w:szCs w:val="22"/>
        </w:rPr>
        <w:t xml:space="preserve">of the case </w:t>
      </w:r>
      <w:r w:rsidRPr="00AB464F">
        <w:rPr>
          <w:rFonts w:ascii="Book Antiqua" w:hAnsi="Book Antiqua"/>
          <w:sz w:val="22"/>
          <w:szCs w:val="22"/>
        </w:rPr>
        <w:t xml:space="preserve">did not </w:t>
      </w:r>
      <w:r w:rsidR="000C692F" w:rsidRPr="00AB464F">
        <w:rPr>
          <w:rFonts w:ascii="Book Antiqua" w:hAnsi="Book Antiqua"/>
          <w:sz w:val="22"/>
          <w:szCs w:val="22"/>
        </w:rPr>
        <w:t>involve the making of any error on a point of law, such that it should be set aside</w:t>
      </w:r>
      <w:r w:rsidR="00155E4E" w:rsidRPr="00AB464F">
        <w:rPr>
          <w:rFonts w:ascii="Book Antiqua" w:hAnsi="Book Antiqua"/>
          <w:sz w:val="22"/>
          <w:szCs w:val="22"/>
        </w:rPr>
        <w:t>.</w:t>
      </w:r>
      <w:r w:rsidRPr="00AB464F">
        <w:rPr>
          <w:rFonts w:ascii="Book Antiqua" w:hAnsi="Book Antiqua"/>
          <w:sz w:val="22"/>
          <w:szCs w:val="22"/>
        </w:rPr>
        <w:t xml:space="preserve">  Its</w:t>
      </w:r>
      <w:r>
        <w:rPr>
          <w:rFonts w:ascii="Book Antiqua" w:hAnsi="Book Antiqua"/>
          <w:sz w:val="22"/>
          <w:szCs w:val="22"/>
        </w:rPr>
        <w:t xml:space="preserve"> </w:t>
      </w:r>
      <w:r w:rsidR="008A64A7" w:rsidRPr="00AB464F">
        <w:rPr>
          <w:rFonts w:ascii="Book Antiqua" w:hAnsi="Book Antiqua" w:cs="Arial"/>
          <w:sz w:val="22"/>
          <w:szCs w:val="22"/>
        </w:rPr>
        <w:t>de</w:t>
      </w:r>
      <w:r w:rsidR="00DA3D04" w:rsidRPr="00AB464F">
        <w:rPr>
          <w:rFonts w:ascii="Book Antiqua" w:hAnsi="Book Antiqua" w:cs="Arial"/>
          <w:sz w:val="22"/>
          <w:szCs w:val="22"/>
        </w:rPr>
        <w:t>cision</w:t>
      </w:r>
      <w:r w:rsidR="008A64A7" w:rsidRPr="00AB464F">
        <w:rPr>
          <w:rFonts w:ascii="Book Antiqua" w:hAnsi="Book Antiqua" w:cs="Arial"/>
          <w:sz w:val="22"/>
          <w:szCs w:val="22"/>
        </w:rPr>
        <w:t xml:space="preserve"> shall stand</w:t>
      </w:r>
      <w:r w:rsidR="00321C6F" w:rsidRPr="00AB464F">
        <w:rPr>
          <w:rFonts w:ascii="Book Antiqua" w:hAnsi="Book Antiqua" w:cs="Arial"/>
          <w:sz w:val="22"/>
          <w:szCs w:val="22"/>
        </w:rPr>
        <w:t>.</w:t>
      </w:r>
    </w:p>
    <w:p w:rsidR="00321C6F" w:rsidRPr="00AB464F" w:rsidRDefault="007F6551" w:rsidP="00321C6F">
      <w:pPr>
        <w:numPr>
          <w:ilvl w:val="0"/>
          <w:numId w:val="2"/>
        </w:numPr>
        <w:spacing w:before="240"/>
        <w:jc w:val="both"/>
        <w:rPr>
          <w:rFonts w:ascii="Book Antiqua" w:hAnsi="Book Antiqua" w:cs="Arial"/>
          <w:sz w:val="22"/>
          <w:szCs w:val="22"/>
        </w:rPr>
      </w:pPr>
      <w:r w:rsidRPr="00AB464F">
        <w:rPr>
          <w:rFonts w:ascii="Book Antiqua" w:hAnsi="Book Antiqua" w:cs="Arial"/>
          <w:sz w:val="22"/>
          <w:szCs w:val="22"/>
        </w:rPr>
        <w:t>The</w:t>
      </w:r>
      <w:r w:rsidR="00321C6F" w:rsidRPr="00AB464F">
        <w:rPr>
          <w:rFonts w:ascii="Book Antiqua" w:hAnsi="Book Antiqua"/>
          <w:sz w:val="22"/>
          <w:szCs w:val="22"/>
        </w:rPr>
        <w:t xml:space="preserve"> anonymity direction made</w:t>
      </w:r>
      <w:r w:rsidRPr="00AB464F">
        <w:rPr>
          <w:rFonts w:ascii="Book Antiqua" w:hAnsi="Book Antiqua"/>
          <w:sz w:val="22"/>
          <w:szCs w:val="22"/>
        </w:rPr>
        <w:t xml:space="preserve"> by the FtT is maintained</w:t>
      </w:r>
      <w:r w:rsidR="00321C6F" w:rsidRPr="00AB464F">
        <w:rPr>
          <w:rFonts w:ascii="Book Antiqua" w:hAnsi="Book Antiqua"/>
          <w:sz w:val="22"/>
          <w:szCs w:val="22"/>
        </w:rPr>
        <w:t xml:space="preserve">.  </w:t>
      </w:r>
      <w:r w:rsidRPr="00AB464F">
        <w:rPr>
          <w:rFonts w:ascii="Book Antiqua" w:hAnsi="Book Antiqua"/>
          <w:sz w:val="22"/>
          <w:szCs w:val="22"/>
        </w:rPr>
        <w:t>U</w:t>
      </w:r>
      <w:r w:rsidR="00321C6F" w:rsidRPr="00AB464F">
        <w:rPr>
          <w:rFonts w:ascii="Book Antiqua" w:hAnsi="Book Antiqua"/>
          <w:sz w:val="22"/>
          <w:szCs w:val="22"/>
        </w:rPr>
        <w:t>nless and until a tribunal or court directs otherwise, the appellant is granted anonymity.  No report of these proceedings shall directly or indirectly identify h</w:t>
      </w:r>
      <w:r w:rsidRPr="00AB464F">
        <w:rPr>
          <w:rFonts w:ascii="Book Antiqua" w:hAnsi="Book Antiqua"/>
          <w:sz w:val="22"/>
          <w:szCs w:val="22"/>
        </w:rPr>
        <w:t>er</w:t>
      </w:r>
      <w:r w:rsidR="00321C6F" w:rsidRPr="00AB464F">
        <w:rPr>
          <w:rFonts w:ascii="Book Antiqua" w:hAnsi="Book Antiqua"/>
          <w:sz w:val="22"/>
          <w:szCs w:val="22"/>
        </w:rPr>
        <w:t xml:space="preserve"> or any member of </w:t>
      </w:r>
      <w:r w:rsidR="00CD5AEE" w:rsidRPr="00AB464F">
        <w:rPr>
          <w:rFonts w:ascii="Book Antiqua" w:hAnsi="Book Antiqua"/>
          <w:sz w:val="22"/>
          <w:szCs w:val="22"/>
        </w:rPr>
        <w:t>h</w:t>
      </w:r>
      <w:r w:rsidRPr="00AB464F">
        <w:rPr>
          <w:rFonts w:ascii="Book Antiqua" w:hAnsi="Book Antiqua"/>
          <w:sz w:val="22"/>
          <w:szCs w:val="22"/>
        </w:rPr>
        <w:t>er</w:t>
      </w:r>
      <w:r w:rsidR="00321C6F" w:rsidRPr="00AB464F">
        <w:rPr>
          <w:rFonts w:ascii="Book Antiqua" w:hAnsi="Book Antiqua"/>
          <w:sz w:val="22"/>
          <w:szCs w:val="22"/>
        </w:rPr>
        <w:t xml:space="preserve"> family.  This direction applies both to the appellant and to the respondent.  Failure to comply with this direction could lead to contempt of court proceedings.</w:t>
      </w:r>
    </w:p>
    <w:p w:rsidR="00321C6F" w:rsidRPr="00952E27" w:rsidRDefault="00321C6F" w:rsidP="00321C6F">
      <w:pPr>
        <w:jc w:val="both"/>
        <w:rPr>
          <w:rFonts w:ascii="Book Antiqua" w:hAnsi="Book Antiqua" w:cs="Arial"/>
          <w:sz w:val="22"/>
          <w:szCs w:val="22"/>
        </w:rPr>
      </w:pPr>
    </w:p>
    <w:p w:rsidR="00321C6F" w:rsidRPr="00952E27" w:rsidRDefault="00321C6F" w:rsidP="00321C6F">
      <w:pPr>
        <w:jc w:val="both"/>
        <w:rPr>
          <w:rFonts w:ascii="Book Antiqua" w:hAnsi="Book Antiqua" w:cs="Arial"/>
          <w:sz w:val="22"/>
          <w:szCs w:val="22"/>
        </w:rPr>
      </w:pPr>
      <w:r w:rsidRPr="00952E27">
        <w:rPr>
          <w:rFonts w:ascii="Book Antiqua" w:hAnsi="Book Antiqua"/>
          <w:sz w:val="22"/>
          <w:szCs w:val="22"/>
        </w:rPr>
        <w:tab/>
      </w:r>
      <w:r w:rsidRPr="00952E27">
        <w:rPr>
          <w:rFonts w:ascii="Book Antiqua" w:hAnsi="Book Antiqua"/>
          <w:sz w:val="22"/>
          <w:szCs w:val="22"/>
        </w:rPr>
        <w:tab/>
      </w:r>
      <w:r w:rsidR="00FE0046" w:rsidRPr="00952E27">
        <w:rPr>
          <w:rFonts w:ascii="Book Antiqua" w:hAnsi="Book Antiqua"/>
          <w:noProof/>
          <w:sz w:val="22"/>
          <w:szCs w:val="22"/>
        </w:rPr>
        <w:drawing>
          <wp:inline distT="0" distB="0" distL="0" distR="0" wp14:anchorId="334D9F4B" wp14:editId="334D9F4C">
            <wp:extent cx="1533525"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3525" cy="571500"/>
                    </a:xfrm>
                    <a:prstGeom prst="rect">
                      <a:avLst/>
                    </a:prstGeom>
                    <a:noFill/>
                    <a:ln>
                      <a:noFill/>
                    </a:ln>
                  </pic:spPr>
                </pic:pic>
              </a:graphicData>
            </a:graphic>
          </wp:inline>
        </w:drawing>
      </w:r>
    </w:p>
    <w:p w:rsidR="00321C6F" w:rsidRPr="00952E27" w:rsidRDefault="00321C6F" w:rsidP="00321C6F">
      <w:pPr>
        <w:jc w:val="both"/>
        <w:rPr>
          <w:rFonts w:ascii="Book Antiqua" w:hAnsi="Book Antiqua" w:cs="Arial"/>
          <w:sz w:val="22"/>
          <w:szCs w:val="22"/>
        </w:rPr>
      </w:pPr>
    </w:p>
    <w:p w:rsidR="00321C6F" w:rsidRPr="00952E27" w:rsidRDefault="00321C6F" w:rsidP="00321C6F">
      <w:pPr>
        <w:jc w:val="both"/>
        <w:rPr>
          <w:rFonts w:ascii="Book Antiqua" w:hAnsi="Book Antiqua" w:cs="Arial"/>
          <w:sz w:val="22"/>
          <w:szCs w:val="22"/>
        </w:rPr>
      </w:pPr>
      <w:r w:rsidRPr="00952E27">
        <w:rPr>
          <w:rFonts w:ascii="Book Antiqua" w:hAnsi="Book Antiqua" w:cs="Arial"/>
          <w:sz w:val="22"/>
          <w:szCs w:val="22"/>
        </w:rPr>
        <w:tab/>
      </w:r>
      <w:r w:rsidRPr="00952E27">
        <w:rPr>
          <w:rFonts w:ascii="Book Antiqua" w:hAnsi="Book Antiqua" w:cs="Arial"/>
          <w:sz w:val="22"/>
          <w:szCs w:val="22"/>
        </w:rPr>
        <w:tab/>
      </w:r>
      <w:r w:rsidR="0078319E">
        <w:rPr>
          <w:rFonts w:ascii="Book Antiqua" w:hAnsi="Book Antiqua" w:cs="Arial"/>
          <w:sz w:val="22"/>
          <w:szCs w:val="22"/>
        </w:rPr>
        <w:t xml:space="preserve">Dated </w:t>
      </w:r>
      <w:r w:rsidR="003F3407" w:rsidRPr="00952E27">
        <w:rPr>
          <w:rFonts w:ascii="Book Antiqua" w:hAnsi="Book Antiqua" w:cs="Arial"/>
          <w:sz w:val="22"/>
          <w:szCs w:val="22"/>
        </w:rPr>
        <w:t>20</w:t>
      </w:r>
      <w:r w:rsidR="007F6551" w:rsidRPr="00952E27">
        <w:rPr>
          <w:rFonts w:ascii="Book Antiqua" w:hAnsi="Book Antiqua" w:cs="Arial"/>
          <w:sz w:val="22"/>
          <w:szCs w:val="22"/>
        </w:rPr>
        <w:t xml:space="preserve"> July </w:t>
      </w:r>
      <w:r w:rsidR="000B442A" w:rsidRPr="00952E27">
        <w:rPr>
          <w:rFonts w:ascii="Book Antiqua" w:hAnsi="Book Antiqua" w:cs="Arial"/>
          <w:sz w:val="22"/>
          <w:szCs w:val="22"/>
        </w:rPr>
        <w:t>20</w:t>
      </w:r>
      <w:r w:rsidR="00A810D2" w:rsidRPr="00952E27">
        <w:rPr>
          <w:rFonts w:ascii="Book Antiqua" w:hAnsi="Book Antiqua" w:cs="Arial"/>
          <w:sz w:val="22"/>
          <w:szCs w:val="22"/>
        </w:rPr>
        <w:t>1</w:t>
      </w:r>
      <w:r w:rsidR="00B170ED" w:rsidRPr="00952E27">
        <w:rPr>
          <w:rFonts w:ascii="Book Antiqua" w:hAnsi="Book Antiqua" w:cs="Arial"/>
          <w:sz w:val="22"/>
          <w:szCs w:val="22"/>
        </w:rPr>
        <w:t>8</w:t>
      </w:r>
      <w:r w:rsidRPr="00952E27">
        <w:rPr>
          <w:rFonts w:ascii="Book Antiqua" w:hAnsi="Book Antiqua" w:cs="Arial"/>
          <w:sz w:val="22"/>
          <w:szCs w:val="22"/>
        </w:rPr>
        <w:t xml:space="preserve"> </w:t>
      </w:r>
    </w:p>
    <w:p w:rsidR="00321C6F" w:rsidRPr="00952E27" w:rsidRDefault="00321C6F" w:rsidP="00321C6F">
      <w:pPr>
        <w:jc w:val="both"/>
        <w:rPr>
          <w:rFonts w:ascii="Book Antiqua" w:hAnsi="Book Antiqua" w:cs="Arial"/>
          <w:sz w:val="22"/>
          <w:szCs w:val="22"/>
        </w:rPr>
      </w:pPr>
      <w:r w:rsidRPr="00952E27">
        <w:rPr>
          <w:rFonts w:ascii="Book Antiqua" w:hAnsi="Book Antiqua" w:cs="Arial"/>
          <w:sz w:val="22"/>
          <w:szCs w:val="22"/>
        </w:rPr>
        <w:tab/>
      </w:r>
      <w:r w:rsidRPr="00952E27">
        <w:rPr>
          <w:rFonts w:ascii="Book Antiqua" w:hAnsi="Book Antiqua" w:cs="Arial"/>
          <w:sz w:val="22"/>
          <w:szCs w:val="22"/>
        </w:rPr>
        <w:tab/>
        <w:t>Upper Tribunal Judge Macleman</w:t>
      </w:r>
    </w:p>
    <w:p w:rsidR="00933B65" w:rsidRPr="00F97703" w:rsidRDefault="00933B65" w:rsidP="00933B65">
      <w:pPr>
        <w:tabs>
          <w:tab w:val="left" w:pos="2520"/>
        </w:tabs>
        <w:ind w:left="4508" w:hanging="539"/>
        <w:rPr>
          <w:rFonts w:ascii="Book Antiqua" w:hAnsi="Book Antiqua" w:cs="Arial"/>
          <w:color w:val="000000"/>
        </w:rPr>
      </w:pPr>
    </w:p>
    <w:p w:rsidR="00266FFE" w:rsidRDefault="00266FFE"/>
    <w:p w:rsidR="006D2D9A" w:rsidRDefault="006D2D9A"/>
    <w:sectPr w:rsidR="006D2D9A" w:rsidSect="00614E94">
      <w:headerReference w:type="default" r:id="rId12"/>
      <w:footerReference w:type="default" r:id="rId13"/>
      <w:footerReference w:type="first" r:id="rId14"/>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AC5" w:rsidRDefault="00C57AC5">
      <w:r>
        <w:separator/>
      </w:r>
    </w:p>
  </w:endnote>
  <w:endnote w:type="continuationSeparator" w:id="0">
    <w:p w:rsidR="00C57AC5" w:rsidRDefault="00C57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782" w:rsidRPr="00593795" w:rsidRDefault="008D4782"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E21898">
      <w:rPr>
        <w:rStyle w:val="PageNumber"/>
        <w:rFonts w:ascii="Arial" w:hAnsi="Arial" w:cs="Arial"/>
        <w:noProof/>
        <w:sz w:val="16"/>
        <w:szCs w:val="16"/>
      </w:rPr>
      <w:t>4</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782" w:rsidRPr="00090CF9" w:rsidRDefault="008D4782"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w:t>
    </w:r>
    <w:r w:rsidR="003A4E7B">
      <w:rPr>
        <w:rFonts w:ascii="Arial" w:hAnsi="Arial"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AC5" w:rsidRDefault="00C57AC5">
      <w:r>
        <w:separator/>
      </w:r>
    </w:p>
  </w:footnote>
  <w:footnote w:type="continuationSeparator" w:id="0">
    <w:p w:rsidR="00C57AC5" w:rsidRDefault="00C57A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782" w:rsidRPr="003C5CE5" w:rsidRDefault="008D4782" w:rsidP="00614E94">
    <w:pPr>
      <w:pStyle w:val="Header"/>
      <w:jc w:val="right"/>
      <w:rPr>
        <w:rFonts w:ascii="Arial" w:hAnsi="Arial" w:cs="Arial"/>
        <w:sz w:val="16"/>
        <w:szCs w:val="16"/>
      </w:rPr>
    </w:pPr>
    <w:r>
      <w:rPr>
        <w:rFonts w:ascii="Arial" w:hAnsi="Arial" w:cs="Arial"/>
        <w:sz w:val="16"/>
        <w:szCs w:val="16"/>
      </w:rPr>
      <w:t xml:space="preserve">Appeal Number: </w:t>
    </w:r>
    <w:r w:rsidR="003A4E7B" w:rsidRPr="003A4E7B">
      <w:rPr>
        <w:rFonts w:ascii="Arial" w:hAnsi="Arial" w:cs="Arial"/>
        <w:sz w:val="16"/>
        <w:szCs w:val="16"/>
      </w:rPr>
      <w:t>PA/11859/2017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1342D17-F1ED-4416-AADC-4F0F86D95BA2}"/>
    <w:docVar w:name="dgnword-eventsink" w:val="637760648"/>
  </w:docVars>
  <w:rsids>
    <w:rsidRoot w:val="00933B65"/>
    <w:rsid w:val="00005159"/>
    <w:rsid w:val="00007BAC"/>
    <w:rsid w:val="000138CE"/>
    <w:rsid w:val="00024209"/>
    <w:rsid w:val="000416CF"/>
    <w:rsid w:val="00047408"/>
    <w:rsid w:val="00050F40"/>
    <w:rsid w:val="000777B7"/>
    <w:rsid w:val="000862F7"/>
    <w:rsid w:val="00087C41"/>
    <w:rsid w:val="00093D8A"/>
    <w:rsid w:val="000B442A"/>
    <w:rsid w:val="000C692F"/>
    <w:rsid w:val="000D2511"/>
    <w:rsid w:val="000D696D"/>
    <w:rsid w:val="001103E2"/>
    <w:rsid w:val="0011233E"/>
    <w:rsid w:val="00112744"/>
    <w:rsid w:val="00117089"/>
    <w:rsid w:val="00154E0C"/>
    <w:rsid w:val="00155E4E"/>
    <w:rsid w:val="00172233"/>
    <w:rsid w:val="00181A4D"/>
    <w:rsid w:val="00184269"/>
    <w:rsid w:val="001A2A3F"/>
    <w:rsid w:val="001D06EF"/>
    <w:rsid w:val="001D6343"/>
    <w:rsid w:val="001E0145"/>
    <w:rsid w:val="001F3A81"/>
    <w:rsid w:val="002065B8"/>
    <w:rsid w:val="002135A6"/>
    <w:rsid w:val="002154EF"/>
    <w:rsid w:val="0022248A"/>
    <w:rsid w:val="00224440"/>
    <w:rsid w:val="00242806"/>
    <w:rsid w:val="00261A0A"/>
    <w:rsid w:val="00262A8D"/>
    <w:rsid w:val="00266FFE"/>
    <w:rsid w:val="00274F92"/>
    <w:rsid w:val="002B6A81"/>
    <w:rsid w:val="002C683E"/>
    <w:rsid w:val="002D7FE9"/>
    <w:rsid w:val="002F0A24"/>
    <w:rsid w:val="002F6E40"/>
    <w:rsid w:val="0032036E"/>
    <w:rsid w:val="00321C6F"/>
    <w:rsid w:val="0032400F"/>
    <w:rsid w:val="00346370"/>
    <w:rsid w:val="003812EE"/>
    <w:rsid w:val="003A4E7B"/>
    <w:rsid w:val="003A6658"/>
    <w:rsid w:val="003B6CC4"/>
    <w:rsid w:val="003C1934"/>
    <w:rsid w:val="003C7E27"/>
    <w:rsid w:val="003D7D3D"/>
    <w:rsid w:val="003D7F34"/>
    <w:rsid w:val="003E6445"/>
    <w:rsid w:val="003F3407"/>
    <w:rsid w:val="00400E35"/>
    <w:rsid w:val="0040301A"/>
    <w:rsid w:val="004171D0"/>
    <w:rsid w:val="0042454D"/>
    <w:rsid w:val="00440EFB"/>
    <w:rsid w:val="00441640"/>
    <w:rsid w:val="0044533C"/>
    <w:rsid w:val="004541E5"/>
    <w:rsid w:val="0046122D"/>
    <w:rsid w:val="0046322A"/>
    <w:rsid w:val="00470675"/>
    <w:rsid w:val="00475F74"/>
    <w:rsid w:val="00491FDC"/>
    <w:rsid w:val="004A012D"/>
    <w:rsid w:val="004A07E6"/>
    <w:rsid w:val="004A663C"/>
    <w:rsid w:val="004B553C"/>
    <w:rsid w:val="004C625E"/>
    <w:rsid w:val="004D4C9A"/>
    <w:rsid w:val="004F6140"/>
    <w:rsid w:val="00513527"/>
    <w:rsid w:val="00541239"/>
    <w:rsid w:val="00542B68"/>
    <w:rsid w:val="00553DC6"/>
    <w:rsid w:val="0056317C"/>
    <w:rsid w:val="0057020B"/>
    <w:rsid w:val="00590CEE"/>
    <w:rsid w:val="005941D0"/>
    <w:rsid w:val="00594CA2"/>
    <w:rsid w:val="00595C55"/>
    <w:rsid w:val="005A1712"/>
    <w:rsid w:val="005A4DB7"/>
    <w:rsid w:val="005B142D"/>
    <w:rsid w:val="005B709D"/>
    <w:rsid w:val="005B7A54"/>
    <w:rsid w:val="005F6D40"/>
    <w:rsid w:val="00614020"/>
    <w:rsid w:val="00614E94"/>
    <w:rsid w:val="00620E08"/>
    <w:rsid w:val="0063091E"/>
    <w:rsid w:val="00633516"/>
    <w:rsid w:val="0065091A"/>
    <w:rsid w:val="00657E4A"/>
    <w:rsid w:val="0068147C"/>
    <w:rsid w:val="0068305B"/>
    <w:rsid w:val="006B087E"/>
    <w:rsid w:val="006C2061"/>
    <w:rsid w:val="006C4EE3"/>
    <w:rsid w:val="006D090F"/>
    <w:rsid w:val="006D2D9A"/>
    <w:rsid w:val="006D7C16"/>
    <w:rsid w:val="006E3DE1"/>
    <w:rsid w:val="00711C95"/>
    <w:rsid w:val="00712C97"/>
    <w:rsid w:val="007141CA"/>
    <w:rsid w:val="00724C42"/>
    <w:rsid w:val="00734D2D"/>
    <w:rsid w:val="007355E0"/>
    <w:rsid w:val="007412E0"/>
    <w:rsid w:val="00760203"/>
    <w:rsid w:val="0077172B"/>
    <w:rsid w:val="00774C7C"/>
    <w:rsid w:val="00777377"/>
    <w:rsid w:val="00777865"/>
    <w:rsid w:val="0078319E"/>
    <w:rsid w:val="0079369E"/>
    <w:rsid w:val="007D221A"/>
    <w:rsid w:val="007F6551"/>
    <w:rsid w:val="007F7538"/>
    <w:rsid w:val="0080239D"/>
    <w:rsid w:val="00810338"/>
    <w:rsid w:val="0081539D"/>
    <w:rsid w:val="0084433E"/>
    <w:rsid w:val="008461F6"/>
    <w:rsid w:val="00852E59"/>
    <w:rsid w:val="00861DE2"/>
    <w:rsid w:val="0087300C"/>
    <w:rsid w:val="00873E90"/>
    <w:rsid w:val="00874340"/>
    <w:rsid w:val="008832E8"/>
    <w:rsid w:val="008A64A7"/>
    <w:rsid w:val="008B257A"/>
    <w:rsid w:val="008B5B9B"/>
    <w:rsid w:val="008C2761"/>
    <w:rsid w:val="008C580D"/>
    <w:rsid w:val="008D4782"/>
    <w:rsid w:val="008D506F"/>
    <w:rsid w:val="008F2CE1"/>
    <w:rsid w:val="008F4FEE"/>
    <w:rsid w:val="009176AE"/>
    <w:rsid w:val="00923BA9"/>
    <w:rsid w:val="00926DE2"/>
    <w:rsid w:val="00933B65"/>
    <w:rsid w:val="0094432C"/>
    <w:rsid w:val="00952E27"/>
    <w:rsid w:val="009629AD"/>
    <w:rsid w:val="00963B0B"/>
    <w:rsid w:val="009701EB"/>
    <w:rsid w:val="0097183A"/>
    <w:rsid w:val="0097346B"/>
    <w:rsid w:val="009C6844"/>
    <w:rsid w:val="009E3D21"/>
    <w:rsid w:val="009E5936"/>
    <w:rsid w:val="009F361B"/>
    <w:rsid w:val="00A024C3"/>
    <w:rsid w:val="00A16364"/>
    <w:rsid w:val="00A17D6C"/>
    <w:rsid w:val="00A52F93"/>
    <w:rsid w:val="00A603A3"/>
    <w:rsid w:val="00A60EC6"/>
    <w:rsid w:val="00A61CA4"/>
    <w:rsid w:val="00A810D2"/>
    <w:rsid w:val="00A86A8D"/>
    <w:rsid w:val="00AA199C"/>
    <w:rsid w:val="00AA25A1"/>
    <w:rsid w:val="00AA5502"/>
    <w:rsid w:val="00AB464F"/>
    <w:rsid w:val="00AB6731"/>
    <w:rsid w:val="00AC2EF2"/>
    <w:rsid w:val="00AC3333"/>
    <w:rsid w:val="00AD4D19"/>
    <w:rsid w:val="00AE0AEA"/>
    <w:rsid w:val="00B135C0"/>
    <w:rsid w:val="00B155AF"/>
    <w:rsid w:val="00B170ED"/>
    <w:rsid w:val="00B47884"/>
    <w:rsid w:val="00B52844"/>
    <w:rsid w:val="00B63FEB"/>
    <w:rsid w:val="00BB2B34"/>
    <w:rsid w:val="00BB470C"/>
    <w:rsid w:val="00BB69F4"/>
    <w:rsid w:val="00BC0611"/>
    <w:rsid w:val="00BC220A"/>
    <w:rsid w:val="00BE34CF"/>
    <w:rsid w:val="00BF1277"/>
    <w:rsid w:val="00C01B18"/>
    <w:rsid w:val="00C01F6A"/>
    <w:rsid w:val="00C13143"/>
    <w:rsid w:val="00C14CF4"/>
    <w:rsid w:val="00C15A7E"/>
    <w:rsid w:val="00C51B29"/>
    <w:rsid w:val="00C57AC5"/>
    <w:rsid w:val="00C6098F"/>
    <w:rsid w:val="00C60F22"/>
    <w:rsid w:val="00C628F1"/>
    <w:rsid w:val="00C97891"/>
    <w:rsid w:val="00CD5AEE"/>
    <w:rsid w:val="00CF0FE6"/>
    <w:rsid w:val="00CF60A6"/>
    <w:rsid w:val="00D00D5E"/>
    <w:rsid w:val="00D144B3"/>
    <w:rsid w:val="00D31D54"/>
    <w:rsid w:val="00D3519E"/>
    <w:rsid w:val="00D37F5E"/>
    <w:rsid w:val="00D44C2B"/>
    <w:rsid w:val="00D4532D"/>
    <w:rsid w:val="00D54AAD"/>
    <w:rsid w:val="00D83826"/>
    <w:rsid w:val="00D83C0D"/>
    <w:rsid w:val="00D8432C"/>
    <w:rsid w:val="00D91C51"/>
    <w:rsid w:val="00D93F75"/>
    <w:rsid w:val="00DA3D04"/>
    <w:rsid w:val="00DC1F25"/>
    <w:rsid w:val="00DC699D"/>
    <w:rsid w:val="00DE05F5"/>
    <w:rsid w:val="00DE7EE0"/>
    <w:rsid w:val="00E07086"/>
    <w:rsid w:val="00E21898"/>
    <w:rsid w:val="00E26CBC"/>
    <w:rsid w:val="00E31785"/>
    <w:rsid w:val="00E47A61"/>
    <w:rsid w:val="00E54592"/>
    <w:rsid w:val="00EA3D98"/>
    <w:rsid w:val="00EB3D96"/>
    <w:rsid w:val="00EB5D80"/>
    <w:rsid w:val="00EC6984"/>
    <w:rsid w:val="00EE6CE7"/>
    <w:rsid w:val="00F059F9"/>
    <w:rsid w:val="00F06BA2"/>
    <w:rsid w:val="00F125AD"/>
    <w:rsid w:val="00F145FE"/>
    <w:rsid w:val="00F3609D"/>
    <w:rsid w:val="00F40619"/>
    <w:rsid w:val="00F47052"/>
    <w:rsid w:val="00F5318C"/>
    <w:rsid w:val="00F648C0"/>
    <w:rsid w:val="00F729C2"/>
    <w:rsid w:val="00F82DD4"/>
    <w:rsid w:val="00F85C8A"/>
    <w:rsid w:val="00F92026"/>
    <w:rsid w:val="00F921C1"/>
    <w:rsid w:val="00FA0A2E"/>
    <w:rsid w:val="00FA2A43"/>
    <w:rsid w:val="00FA400E"/>
    <w:rsid w:val="00FA7703"/>
    <w:rsid w:val="00FA7FC0"/>
    <w:rsid w:val="00FB0516"/>
    <w:rsid w:val="00FD3234"/>
    <w:rsid w:val="00FE0046"/>
    <w:rsid w:val="00FE5375"/>
    <w:rsid w:val="00FE7251"/>
    <w:rsid w:val="00FF0239"/>
    <w:rsid w:val="00FF48BE"/>
    <w:rsid w:val="00FF6B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FA19B19-EA1B-4335-8A57-7DB6EB049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603A3"/>
    <w:rPr>
      <w:rFonts w:ascii="Segoe UI" w:hAnsi="Segoe UI" w:cs="Segoe UI"/>
      <w:sz w:val="18"/>
      <w:szCs w:val="18"/>
    </w:rPr>
  </w:style>
  <w:style w:type="character" w:customStyle="1" w:styleId="BalloonTextChar">
    <w:name w:val="Balloon Text Char"/>
    <w:basedOn w:val="DefaultParagraphFont"/>
    <w:link w:val="BalloonText"/>
    <w:semiHidden/>
    <w:rsid w:val="00A603A3"/>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20T09:41:55.741"/>
    </inkml:context>
    <inkml:brush xml:id="br0">
      <inkml:brushProperty name="width" value="0.05" units="cm"/>
      <inkml:brushProperty name="height" value="0.05" units="cm"/>
    </inkml:brush>
  </inkml:definitions>
  <inkml:trace contextRef="#ctx0" brushRef="#br0">0 1 32767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94EFE-AF66-45CD-8202-E0E788317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1559</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lpstr>
    </vt:vector>
  </TitlesOfParts>
  <Company>Ministry of Justice</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dc:description/>
  <cp:lastModifiedBy>Dalziel, Robert</cp:lastModifiedBy>
  <cp:revision>4</cp:revision>
  <cp:lastPrinted>2018-07-20T11:29:00Z</cp:lastPrinted>
  <dcterms:created xsi:type="dcterms:W3CDTF">2018-07-27T09:52:00Z</dcterms:created>
  <dcterms:modified xsi:type="dcterms:W3CDTF">2018-08-10T14:46:00Z</dcterms:modified>
</cp:coreProperties>
</file>