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B2F04" w:rsidRDefault="00C649F0" w:rsidP="00C321B5">
      <w:pPr>
        <w:jc w:val="center"/>
        <w:rPr>
          <w:rFonts w:ascii="Book Antiqua" w:hAnsi="Book Antiqua" w:cs="Arial"/>
          <w:sz w:val="16"/>
          <w:szCs w:val="16"/>
        </w:rPr>
      </w:pPr>
      <w:r w:rsidRPr="00305191">
        <w:rPr>
          <w:noProof/>
          <w:lang w:val="en-US" w:eastAsia="en-US"/>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5B2F04" w:rsidRDefault="00D94AFC">
      <w:pPr>
        <w:rPr>
          <w:rFonts w:ascii="Book Antiqua" w:hAnsi="Book Antiqua" w:cs="Arial"/>
        </w:rPr>
      </w:pPr>
    </w:p>
    <w:p w:rsidR="00C321B5" w:rsidRPr="005B2F04" w:rsidRDefault="001A1E2C" w:rsidP="00B626FA">
      <w:pPr>
        <w:tabs>
          <w:tab w:val="right" w:pos="9639"/>
        </w:tabs>
        <w:rPr>
          <w:rFonts w:ascii="Book Antiqua" w:hAnsi="Book Antiqua" w:cs="Arial"/>
          <w:b/>
        </w:rPr>
      </w:pPr>
      <w:r w:rsidRPr="005B2F04">
        <w:rPr>
          <w:rFonts w:ascii="Book Antiqua" w:hAnsi="Book Antiqua" w:cs="Arial"/>
          <w:b/>
        </w:rPr>
        <w:t xml:space="preserve">Upper </w:t>
      </w:r>
      <w:r w:rsidR="00C321B5" w:rsidRPr="005B2F04">
        <w:rPr>
          <w:rFonts w:ascii="Book Antiqua" w:hAnsi="Book Antiqua" w:cs="Arial"/>
          <w:b/>
        </w:rPr>
        <w:t xml:space="preserve">Tribunal </w:t>
      </w:r>
      <w:r w:rsidR="0064079C" w:rsidRPr="005B2F04">
        <w:rPr>
          <w:rFonts w:ascii="Book Antiqua" w:hAnsi="Book Antiqua" w:cs="Arial"/>
          <w:b/>
        </w:rPr>
        <w:t xml:space="preserve"> </w:t>
      </w:r>
    </w:p>
    <w:p w:rsidR="007B0824" w:rsidRPr="005B2F04" w:rsidRDefault="00C321B5" w:rsidP="00B626FA">
      <w:pPr>
        <w:tabs>
          <w:tab w:val="right" w:pos="9639"/>
        </w:tabs>
        <w:rPr>
          <w:rFonts w:ascii="Book Antiqua" w:hAnsi="Book Antiqua" w:cs="Arial"/>
        </w:rPr>
      </w:pPr>
      <w:r w:rsidRPr="005B2F04">
        <w:rPr>
          <w:rFonts w:ascii="Book Antiqua" w:hAnsi="Book Antiqua" w:cs="Arial"/>
          <w:b/>
        </w:rPr>
        <w:t>(Immigration and Asylum Chamber)</w:t>
      </w:r>
      <w:r w:rsidR="00B626FA" w:rsidRPr="005B2F04">
        <w:rPr>
          <w:rFonts w:ascii="Book Antiqua" w:hAnsi="Book Antiqua" w:cs="Arial"/>
          <w:b/>
        </w:rPr>
        <w:tab/>
      </w:r>
      <w:r w:rsidR="00B3524D" w:rsidRPr="005B2F04">
        <w:rPr>
          <w:rFonts w:ascii="Book Antiqua" w:hAnsi="Book Antiqua" w:cs="Arial"/>
        </w:rPr>
        <w:t>Appeal Number</w:t>
      </w:r>
      <w:r w:rsidR="00D53769" w:rsidRPr="005B2F04">
        <w:rPr>
          <w:rFonts w:ascii="Book Antiqua" w:hAnsi="Book Antiqua" w:cs="Arial"/>
        </w:rPr>
        <w:t>:</w:t>
      </w:r>
      <w:r w:rsidR="00B3524D" w:rsidRPr="005B2F04">
        <w:rPr>
          <w:rFonts w:ascii="Book Antiqua" w:hAnsi="Book Antiqua" w:cs="Arial"/>
        </w:rPr>
        <w:t xml:space="preserve"> </w:t>
      </w:r>
      <w:bookmarkStart w:id="0" w:name="_GoBack"/>
      <w:r w:rsidR="00BA52F5" w:rsidRPr="005B2F04">
        <w:rPr>
          <w:rFonts w:ascii="Book Antiqua" w:hAnsi="Book Antiqua" w:cs="Arial"/>
          <w:caps/>
        </w:rPr>
        <w:t>PA/11883/2017</w:t>
      </w:r>
      <w:r w:rsidR="009E0C91" w:rsidRPr="005B2F04">
        <w:rPr>
          <w:rFonts w:ascii="Book Antiqua" w:hAnsi="Book Antiqua" w:cs="Arial"/>
          <w:caps/>
        </w:rPr>
        <w:t xml:space="preserve"> </w:t>
      </w:r>
      <w:r w:rsidR="00202F1C" w:rsidRPr="005B2F04">
        <w:rPr>
          <w:rFonts w:ascii="Book Antiqua" w:hAnsi="Book Antiqua" w:cs="Arial"/>
          <w:caps/>
        </w:rPr>
        <w:t xml:space="preserve"> </w:t>
      </w:r>
      <w:bookmarkEnd w:id="0"/>
    </w:p>
    <w:p w:rsidR="00C345E1" w:rsidRPr="005B2F04" w:rsidRDefault="00C345E1" w:rsidP="00C345E1">
      <w:pPr>
        <w:jc w:val="center"/>
        <w:rPr>
          <w:rFonts w:ascii="Book Antiqua" w:hAnsi="Book Antiqua" w:cs="Arial"/>
        </w:rPr>
      </w:pPr>
    </w:p>
    <w:p w:rsidR="00C345E1" w:rsidRPr="005B2F04" w:rsidRDefault="00C345E1" w:rsidP="00C345E1">
      <w:pPr>
        <w:jc w:val="center"/>
        <w:rPr>
          <w:rFonts w:ascii="Book Antiqua" w:hAnsi="Book Antiqua" w:cs="Arial"/>
        </w:rPr>
      </w:pPr>
    </w:p>
    <w:p w:rsidR="00C345E1" w:rsidRPr="005B2F04" w:rsidRDefault="00C345E1" w:rsidP="00C345E1">
      <w:pPr>
        <w:jc w:val="center"/>
        <w:rPr>
          <w:rFonts w:ascii="Book Antiqua" w:hAnsi="Book Antiqua" w:cs="Arial"/>
          <w:b/>
          <w:u w:val="single"/>
        </w:rPr>
      </w:pPr>
      <w:r w:rsidRPr="005B2F04">
        <w:rPr>
          <w:rFonts w:ascii="Book Antiqua" w:hAnsi="Book Antiqua" w:cs="Arial"/>
          <w:b/>
          <w:u w:val="single"/>
        </w:rPr>
        <w:t>THE IMMIGRATION ACTS</w:t>
      </w:r>
    </w:p>
    <w:p w:rsidR="00C345E1" w:rsidRPr="005B2F04" w:rsidRDefault="00C345E1" w:rsidP="00C345E1">
      <w:pPr>
        <w:jc w:val="center"/>
        <w:rPr>
          <w:rFonts w:ascii="Book Antiqua" w:hAnsi="Book Antiqua" w:cs="Arial"/>
          <w:b/>
          <w:u w:val="single"/>
        </w:rPr>
      </w:pPr>
    </w:p>
    <w:p w:rsidR="00C345E1" w:rsidRPr="005B2F04"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5B2F04" w:rsidTr="004F4238">
        <w:tc>
          <w:tcPr>
            <w:tcW w:w="5353" w:type="dxa"/>
            <w:shd w:val="clear" w:color="auto" w:fill="auto"/>
          </w:tcPr>
          <w:p w:rsidR="00D22636" w:rsidRPr="005B2F04" w:rsidRDefault="00D22636" w:rsidP="00F53574">
            <w:pPr>
              <w:jc w:val="both"/>
              <w:rPr>
                <w:rFonts w:ascii="Book Antiqua" w:hAnsi="Book Antiqua" w:cs="Arial"/>
                <w:b/>
              </w:rPr>
            </w:pPr>
            <w:r w:rsidRPr="005B2F04">
              <w:rPr>
                <w:rFonts w:ascii="Book Antiqua" w:hAnsi="Book Antiqua" w:cs="Arial"/>
                <w:b/>
              </w:rPr>
              <w:t xml:space="preserve">Heard at </w:t>
            </w:r>
            <w:r w:rsidR="001C07B9" w:rsidRPr="005B2F04">
              <w:rPr>
                <w:rFonts w:ascii="Book Antiqua" w:hAnsi="Book Antiqua" w:cs="Arial"/>
                <w:b/>
              </w:rPr>
              <w:t>Manchester</w:t>
            </w:r>
            <w:r w:rsidR="00F54B32" w:rsidRPr="005B2F04">
              <w:rPr>
                <w:rFonts w:ascii="Book Antiqua" w:hAnsi="Book Antiqua" w:cs="Arial"/>
                <w:b/>
              </w:rPr>
              <w:t xml:space="preserve"> Civil Justice Centre</w:t>
            </w:r>
            <w:r w:rsidR="001C07B9" w:rsidRPr="005B2F04">
              <w:rPr>
                <w:rFonts w:ascii="Book Antiqua" w:hAnsi="Book Antiqua" w:cs="Arial"/>
                <w:b/>
              </w:rPr>
              <w:t xml:space="preserve">  </w:t>
            </w:r>
            <w:r w:rsidR="00F54B32" w:rsidRPr="005B2F04">
              <w:rPr>
                <w:rFonts w:ascii="Book Antiqua" w:hAnsi="Book Antiqua" w:cs="Arial"/>
                <w:b/>
              </w:rPr>
              <w:t xml:space="preserve"> </w:t>
            </w:r>
          </w:p>
        </w:tc>
        <w:tc>
          <w:tcPr>
            <w:tcW w:w="4655" w:type="dxa"/>
            <w:gridSpan w:val="2"/>
            <w:shd w:val="clear" w:color="auto" w:fill="auto"/>
          </w:tcPr>
          <w:p w:rsidR="00D22636" w:rsidRPr="005B2F04" w:rsidRDefault="004F4238" w:rsidP="00F53574">
            <w:pPr>
              <w:jc w:val="both"/>
              <w:rPr>
                <w:rFonts w:ascii="Book Antiqua" w:hAnsi="Book Antiqua" w:cs="Arial"/>
                <w:b/>
              </w:rPr>
            </w:pPr>
            <w:r>
              <w:rPr>
                <w:rFonts w:ascii="Book Antiqua" w:hAnsi="Book Antiqua" w:cs="Arial"/>
                <w:b/>
              </w:rPr>
              <w:t>Decision and Reasons</w:t>
            </w:r>
            <w:r w:rsidR="009E0C91" w:rsidRPr="005B2F04">
              <w:rPr>
                <w:rFonts w:ascii="Book Antiqua" w:hAnsi="Book Antiqua" w:cs="Arial"/>
                <w:b/>
              </w:rPr>
              <w:t xml:space="preserve"> </w:t>
            </w:r>
            <w:r w:rsidR="00283659" w:rsidRPr="005B2F04">
              <w:rPr>
                <w:rFonts w:ascii="Book Antiqua" w:hAnsi="Book Antiqua" w:cs="Arial"/>
                <w:b/>
              </w:rPr>
              <w:t>Promulgated</w:t>
            </w:r>
            <w:r w:rsidR="009E0C91" w:rsidRPr="005B2F04">
              <w:rPr>
                <w:rFonts w:ascii="Book Antiqua" w:hAnsi="Book Antiqua" w:cs="Arial"/>
                <w:b/>
              </w:rPr>
              <w:t xml:space="preserve">  </w:t>
            </w:r>
          </w:p>
        </w:tc>
      </w:tr>
      <w:tr w:rsidR="00D22636" w:rsidRPr="005B2F04" w:rsidTr="004F4238">
        <w:tc>
          <w:tcPr>
            <w:tcW w:w="5353" w:type="dxa"/>
            <w:shd w:val="clear" w:color="auto" w:fill="auto"/>
          </w:tcPr>
          <w:p w:rsidR="00D22636" w:rsidRPr="005B2F04" w:rsidRDefault="00D22636" w:rsidP="00F53574">
            <w:pPr>
              <w:jc w:val="both"/>
              <w:rPr>
                <w:rFonts w:ascii="Book Antiqua" w:hAnsi="Book Antiqua" w:cs="Arial"/>
                <w:b/>
              </w:rPr>
            </w:pPr>
            <w:r w:rsidRPr="005B2F04">
              <w:rPr>
                <w:rFonts w:ascii="Book Antiqua" w:hAnsi="Book Antiqua" w:cs="Arial"/>
                <w:b/>
              </w:rPr>
              <w:t xml:space="preserve">On </w:t>
            </w:r>
            <w:r w:rsidR="001C07B9" w:rsidRPr="005B2F04">
              <w:rPr>
                <w:rFonts w:ascii="Book Antiqua" w:hAnsi="Book Antiqua" w:cs="Arial"/>
                <w:b/>
              </w:rPr>
              <w:t>8</w:t>
            </w:r>
            <w:r w:rsidR="001C07B9" w:rsidRPr="005B2F04">
              <w:rPr>
                <w:rFonts w:ascii="Book Antiqua" w:hAnsi="Book Antiqua" w:cs="Arial"/>
                <w:b/>
                <w:vertAlign w:val="superscript"/>
              </w:rPr>
              <w:t>th</w:t>
            </w:r>
            <w:r w:rsidR="001C07B9" w:rsidRPr="005B2F04">
              <w:rPr>
                <w:rFonts w:ascii="Book Antiqua" w:hAnsi="Book Antiqua" w:cs="Arial"/>
                <w:b/>
              </w:rPr>
              <w:t xml:space="preserve"> August 2018  </w:t>
            </w:r>
            <w:r w:rsidR="009E0C91" w:rsidRPr="005B2F04">
              <w:rPr>
                <w:rFonts w:ascii="Book Antiqua" w:hAnsi="Book Antiqua" w:cs="Arial"/>
                <w:b/>
              </w:rPr>
              <w:t xml:space="preserve"> </w:t>
            </w:r>
          </w:p>
        </w:tc>
        <w:tc>
          <w:tcPr>
            <w:tcW w:w="4655" w:type="dxa"/>
            <w:gridSpan w:val="2"/>
            <w:shd w:val="clear" w:color="auto" w:fill="auto"/>
          </w:tcPr>
          <w:p w:rsidR="00D22636" w:rsidRPr="005B2F04" w:rsidRDefault="004F4238" w:rsidP="00F53574">
            <w:pPr>
              <w:jc w:val="both"/>
              <w:rPr>
                <w:rFonts w:ascii="Book Antiqua" w:hAnsi="Book Antiqua" w:cs="Arial"/>
                <w:b/>
              </w:rPr>
            </w:pPr>
            <w:r>
              <w:rPr>
                <w:rFonts w:ascii="Book Antiqua" w:hAnsi="Book Antiqua" w:cs="Arial"/>
                <w:b/>
              </w:rPr>
              <w:t>On 19</w:t>
            </w:r>
            <w:r w:rsidRPr="004F4238">
              <w:rPr>
                <w:rFonts w:ascii="Book Antiqua" w:hAnsi="Book Antiqua" w:cs="Arial"/>
                <w:b/>
                <w:vertAlign w:val="superscript"/>
              </w:rPr>
              <w:t>th</w:t>
            </w:r>
            <w:r>
              <w:rPr>
                <w:rFonts w:ascii="Book Antiqua" w:hAnsi="Book Antiqua" w:cs="Arial"/>
                <w:b/>
              </w:rPr>
              <w:t xml:space="preserve"> September 2018 </w:t>
            </w:r>
          </w:p>
        </w:tc>
      </w:tr>
      <w:tr w:rsidR="00D22636" w:rsidRPr="005B2F04" w:rsidTr="004F4238">
        <w:tc>
          <w:tcPr>
            <w:tcW w:w="6048" w:type="dxa"/>
            <w:gridSpan w:val="2"/>
            <w:shd w:val="clear" w:color="auto" w:fill="auto"/>
          </w:tcPr>
          <w:p w:rsidR="00D22636" w:rsidRPr="005B2F04" w:rsidRDefault="00D22636" w:rsidP="00F53574">
            <w:pPr>
              <w:jc w:val="both"/>
              <w:rPr>
                <w:rFonts w:ascii="Book Antiqua" w:hAnsi="Book Antiqua" w:cs="Arial"/>
                <w:b/>
              </w:rPr>
            </w:pPr>
          </w:p>
        </w:tc>
        <w:tc>
          <w:tcPr>
            <w:tcW w:w="3960" w:type="dxa"/>
            <w:shd w:val="clear" w:color="auto" w:fill="auto"/>
          </w:tcPr>
          <w:p w:rsidR="00D22636" w:rsidRPr="005B2F04" w:rsidRDefault="00D22636" w:rsidP="00F53574">
            <w:pPr>
              <w:jc w:val="both"/>
              <w:rPr>
                <w:rFonts w:ascii="Book Antiqua" w:hAnsi="Book Antiqua" w:cs="Arial"/>
                <w:b/>
              </w:rPr>
            </w:pPr>
          </w:p>
        </w:tc>
      </w:tr>
    </w:tbl>
    <w:p w:rsidR="00A15234" w:rsidRPr="005B2F04" w:rsidRDefault="00A15234" w:rsidP="00A15234">
      <w:pPr>
        <w:jc w:val="center"/>
        <w:rPr>
          <w:rFonts w:ascii="Book Antiqua" w:hAnsi="Book Antiqua" w:cs="Arial"/>
        </w:rPr>
      </w:pPr>
    </w:p>
    <w:p w:rsidR="00A15234" w:rsidRPr="005B2F04" w:rsidRDefault="00A15234" w:rsidP="00A15234">
      <w:pPr>
        <w:jc w:val="center"/>
        <w:rPr>
          <w:rFonts w:ascii="Book Antiqua" w:hAnsi="Book Antiqua" w:cs="Arial"/>
        </w:rPr>
      </w:pPr>
    </w:p>
    <w:p w:rsidR="00A15234" w:rsidRPr="005B2F04" w:rsidRDefault="00207617" w:rsidP="00A15234">
      <w:pPr>
        <w:jc w:val="center"/>
        <w:rPr>
          <w:rFonts w:ascii="Book Antiqua" w:hAnsi="Book Antiqua" w:cs="Arial"/>
          <w:b/>
        </w:rPr>
      </w:pPr>
      <w:r w:rsidRPr="005B2F04">
        <w:rPr>
          <w:rFonts w:ascii="Book Antiqua" w:hAnsi="Book Antiqua" w:cs="Arial"/>
          <w:b/>
        </w:rPr>
        <w:t>Befo</w:t>
      </w:r>
      <w:r w:rsidR="00A15234" w:rsidRPr="005B2F04">
        <w:rPr>
          <w:rFonts w:ascii="Book Antiqua" w:hAnsi="Book Antiqua" w:cs="Arial"/>
          <w:b/>
        </w:rPr>
        <w:t>re</w:t>
      </w:r>
    </w:p>
    <w:p w:rsidR="00A15234" w:rsidRPr="005B2F04" w:rsidRDefault="00A15234" w:rsidP="00A15234">
      <w:pPr>
        <w:jc w:val="center"/>
        <w:rPr>
          <w:rFonts w:ascii="Book Antiqua" w:hAnsi="Book Antiqua" w:cs="Arial"/>
          <w:b/>
        </w:rPr>
      </w:pPr>
    </w:p>
    <w:p w:rsidR="001A1E2C" w:rsidRPr="005B2F04" w:rsidRDefault="00255071" w:rsidP="00A15234">
      <w:pPr>
        <w:jc w:val="center"/>
        <w:rPr>
          <w:rFonts w:ascii="Book Antiqua" w:hAnsi="Book Antiqua" w:cs="Arial"/>
          <w:b/>
        </w:rPr>
      </w:pPr>
      <w:r w:rsidRPr="005B2F04">
        <w:rPr>
          <w:rFonts w:ascii="Book Antiqua" w:hAnsi="Book Antiqua" w:cs="Arial"/>
          <w:b/>
        </w:rPr>
        <w:t>DEPUTY UPPER TRIBUNAL</w:t>
      </w:r>
      <w:r w:rsidR="00707DB1" w:rsidRPr="005B2F04">
        <w:rPr>
          <w:rFonts w:ascii="Book Antiqua" w:hAnsi="Book Antiqua" w:cs="Arial"/>
          <w:b/>
        </w:rPr>
        <w:t xml:space="preserve"> </w:t>
      </w:r>
      <w:r w:rsidR="00E1040E" w:rsidRPr="005B2F04">
        <w:rPr>
          <w:rFonts w:ascii="Book Antiqua" w:hAnsi="Book Antiqua" w:cs="Arial"/>
          <w:b/>
        </w:rPr>
        <w:t xml:space="preserve">JUDGE </w:t>
      </w:r>
      <w:r w:rsidR="0093333B" w:rsidRPr="005B2F04">
        <w:rPr>
          <w:rFonts w:ascii="Book Antiqua" w:hAnsi="Book Antiqua" w:cs="Arial"/>
          <w:b/>
        </w:rPr>
        <w:t>J</w:t>
      </w:r>
      <w:r w:rsidR="007D43F8" w:rsidRPr="005B2F04">
        <w:rPr>
          <w:rFonts w:ascii="Book Antiqua" w:hAnsi="Book Antiqua" w:cs="Arial"/>
          <w:b/>
        </w:rPr>
        <w:t>USS</w:t>
      </w:r>
      <w:r w:rsidR="009E0C91" w:rsidRPr="005B2F04">
        <w:rPr>
          <w:rFonts w:ascii="Book Antiqua" w:hAnsi="Book Antiqua" w:cs="Arial"/>
          <w:b/>
        </w:rPr>
        <w:t xml:space="preserve">  </w:t>
      </w:r>
    </w:p>
    <w:p w:rsidR="00B16F58" w:rsidRPr="005B2F04" w:rsidRDefault="00B16F58" w:rsidP="00A15234">
      <w:pPr>
        <w:jc w:val="center"/>
        <w:rPr>
          <w:rFonts w:ascii="Book Antiqua" w:hAnsi="Book Antiqua" w:cs="Arial"/>
          <w:b/>
        </w:rPr>
      </w:pPr>
    </w:p>
    <w:p w:rsidR="00A845DC" w:rsidRPr="005B2F04" w:rsidRDefault="00A845DC" w:rsidP="00A15234">
      <w:pPr>
        <w:jc w:val="center"/>
        <w:rPr>
          <w:rFonts w:ascii="Book Antiqua" w:hAnsi="Book Antiqua" w:cs="Arial"/>
          <w:b/>
        </w:rPr>
      </w:pPr>
      <w:r w:rsidRPr="005B2F04">
        <w:rPr>
          <w:rFonts w:ascii="Book Antiqua" w:hAnsi="Book Antiqua" w:cs="Arial"/>
          <w:b/>
        </w:rPr>
        <w:t>Between</w:t>
      </w:r>
    </w:p>
    <w:p w:rsidR="00A845DC" w:rsidRPr="005B2F04" w:rsidRDefault="00A845DC" w:rsidP="00A15234">
      <w:pPr>
        <w:jc w:val="center"/>
        <w:rPr>
          <w:rFonts w:ascii="Book Antiqua" w:hAnsi="Book Antiqua" w:cs="Arial"/>
          <w:b/>
        </w:rPr>
      </w:pPr>
    </w:p>
    <w:p w:rsidR="00742A8D" w:rsidRPr="005B2F04" w:rsidRDefault="009E0C91" w:rsidP="00742A8D">
      <w:pPr>
        <w:jc w:val="center"/>
        <w:rPr>
          <w:rFonts w:ascii="Book Antiqua" w:hAnsi="Book Antiqua" w:cs="Arial"/>
          <w:b/>
          <w:caps/>
        </w:rPr>
      </w:pPr>
      <w:r w:rsidRPr="005B2F04">
        <w:rPr>
          <w:rFonts w:ascii="Book Antiqua" w:hAnsi="Book Antiqua" w:cs="Arial"/>
          <w:b/>
          <w:caps/>
        </w:rPr>
        <w:t>AAM</w:t>
      </w:r>
      <w:r w:rsidR="001F3AA7" w:rsidRPr="005B2F04">
        <w:rPr>
          <w:rFonts w:ascii="Book Antiqua" w:hAnsi="Book Antiqua" w:cs="Arial"/>
          <w:b/>
          <w:caps/>
        </w:rPr>
        <w:t xml:space="preserve">  </w:t>
      </w:r>
    </w:p>
    <w:p w:rsidR="009F518E" w:rsidRPr="005B2F04" w:rsidRDefault="009F518E" w:rsidP="009F518E">
      <w:pPr>
        <w:jc w:val="center"/>
        <w:rPr>
          <w:rFonts w:ascii="Book Antiqua" w:hAnsi="Book Antiqua" w:cs="Arial"/>
          <w:b/>
          <w:caps/>
        </w:rPr>
      </w:pPr>
      <w:r w:rsidRPr="005B2F04">
        <w:rPr>
          <w:rFonts w:ascii="Book Antiqua" w:hAnsi="Book Antiqua" w:cs="Arial"/>
          <w:b/>
          <w:caps/>
        </w:rPr>
        <w:t xml:space="preserve">(ANONYMITY </w:t>
      </w:r>
      <w:r w:rsidR="00016A4C" w:rsidRPr="005B2F04">
        <w:rPr>
          <w:rFonts w:ascii="Book Antiqua" w:hAnsi="Book Antiqua" w:cs="Arial"/>
          <w:b/>
          <w:caps/>
        </w:rPr>
        <w:t>direction</w:t>
      </w:r>
      <w:r w:rsidRPr="005B2F04">
        <w:rPr>
          <w:rFonts w:ascii="Book Antiqua" w:hAnsi="Book Antiqua" w:cs="Arial"/>
          <w:b/>
          <w:caps/>
        </w:rPr>
        <w:t xml:space="preserve"> </w:t>
      </w:r>
      <w:bookmarkStart w:id="1" w:name="Text21"/>
      <w:r w:rsidRPr="005B2F04">
        <w:rPr>
          <w:rFonts w:ascii="Book Antiqua" w:hAnsi="Book Antiqua" w:cs="Arial"/>
          <w:b/>
          <w:caps/>
          <w:noProof/>
        </w:rPr>
        <w:t>MADE</w:t>
      </w:r>
      <w:bookmarkEnd w:id="1"/>
      <w:r w:rsidRPr="005B2F04">
        <w:rPr>
          <w:rFonts w:ascii="Book Antiqua" w:hAnsi="Book Antiqua" w:cs="Arial"/>
          <w:b/>
          <w:caps/>
        </w:rPr>
        <w:t>)</w:t>
      </w:r>
      <w:r w:rsidR="001038D6" w:rsidRPr="005B2F04">
        <w:rPr>
          <w:rFonts w:ascii="Book Antiqua" w:hAnsi="Book Antiqua" w:cs="Arial"/>
          <w:b/>
          <w:caps/>
        </w:rPr>
        <w:t xml:space="preserve">  </w:t>
      </w:r>
    </w:p>
    <w:p w:rsidR="00704B61" w:rsidRPr="005B2F04" w:rsidRDefault="00704B61" w:rsidP="00704B61">
      <w:pPr>
        <w:jc w:val="right"/>
        <w:rPr>
          <w:rFonts w:ascii="Book Antiqua" w:hAnsi="Book Antiqua" w:cs="Arial"/>
          <w:u w:val="single"/>
        </w:rPr>
      </w:pPr>
      <w:r w:rsidRPr="005B2F04">
        <w:rPr>
          <w:rFonts w:ascii="Book Antiqua" w:hAnsi="Book Antiqua" w:cs="Arial"/>
          <w:u w:val="single"/>
        </w:rPr>
        <w:t>Appellant</w:t>
      </w:r>
    </w:p>
    <w:p w:rsidR="006D1DFA" w:rsidRPr="005B2F04" w:rsidRDefault="006D1DFA" w:rsidP="00704B61">
      <w:pPr>
        <w:jc w:val="center"/>
        <w:rPr>
          <w:rFonts w:ascii="Book Antiqua" w:hAnsi="Book Antiqua" w:cs="Arial"/>
          <w:b/>
        </w:rPr>
      </w:pPr>
    </w:p>
    <w:p w:rsidR="00704B61" w:rsidRPr="005B2F04" w:rsidRDefault="00DD5071" w:rsidP="00704B61">
      <w:pPr>
        <w:jc w:val="center"/>
        <w:rPr>
          <w:rFonts w:ascii="Book Antiqua" w:hAnsi="Book Antiqua" w:cs="Arial"/>
          <w:b/>
        </w:rPr>
      </w:pPr>
      <w:r w:rsidRPr="005B2F04">
        <w:rPr>
          <w:rFonts w:ascii="Book Antiqua" w:hAnsi="Book Antiqua" w:cs="Arial"/>
          <w:b/>
        </w:rPr>
        <w:t>and</w:t>
      </w:r>
    </w:p>
    <w:p w:rsidR="00DD5071" w:rsidRPr="005B2F04" w:rsidRDefault="00DD5071" w:rsidP="00704B61">
      <w:pPr>
        <w:jc w:val="center"/>
        <w:rPr>
          <w:rFonts w:ascii="Book Antiqua" w:hAnsi="Book Antiqua" w:cs="Arial"/>
          <w:b/>
        </w:rPr>
      </w:pPr>
    </w:p>
    <w:p w:rsidR="00DD5071" w:rsidRPr="005B2F04" w:rsidRDefault="00DD5071" w:rsidP="00704B61">
      <w:pPr>
        <w:jc w:val="center"/>
        <w:rPr>
          <w:rFonts w:ascii="Book Antiqua" w:hAnsi="Book Antiqua" w:cs="Arial"/>
          <w:b/>
          <w:caps/>
        </w:rPr>
      </w:pPr>
      <w:bookmarkStart w:id="2" w:name="Text7"/>
      <w:r w:rsidRPr="005B2F04">
        <w:rPr>
          <w:rFonts w:ascii="Book Antiqua" w:hAnsi="Book Antiqua" w:cs="Arial"/>
          <w:b/>
          <w:caps/>
          <w:noProof/>
        </w:rPr>
        <w:t>THE SECRETARY OF STATE FOR THE HOME DEPARTMENT</w:t>
      </w:r>
      <w:bookmarkEnd w:id="2"/>
      <w:r w:rsidR="001F3AA7" w:rsidRPr="005B2F04">
        <w:rPr>
          <w:rFonts w:ascii="Book Antiqua" w:hAnsi="Book Antiqua" w:cs="Arial"/>
          <w:b/>
          <w:caps/>
          <w:noProof/>
        </w:rPr>
        <w:t xml:space="preserve"> </w:t>
      </w:r>
      <w:r w:rsidR="00636A5F" w:rsidRPr="005B2F04">
        <w:rPr>
          <w:rFonts w:ascii="Book Antiqua" w:hAnsi="Book Antiqua" w:cs="Arial"/>
          <w:b/>
          <w:caps/>
          <w:noProof/>
        </w:rPr>
        <w:t xml:space="preserve"> </w:t>
      </w:r>
    </w:p>
    <w:p w:rsidR="00DD5071" w:rsidRPr="005B2F04" w:rsidRDefault="00DD5071" w:rsidP="00704B61">
      <w:pPr>
        <w:jc w:val="center"/>
        <w:rPr>
          <w:rFonts w:ascii="Book Antiqua" w:hAnsi="Book Antiqua" w:cs="Arial"/>
          <w:b/>
        </w:rPr>
      </w:pPr>
    </w:p>
    <w:p w:rsidR="00DD5071" w:rsidRPr="005B2F04" w:rsidRDefault="00DD5071" w:rsidP="00DD5071">
      <w:pPr>
        <w:jc w:val="right"/>
        <w:rPr>
          <w:rFonts w:ascii="Book Antiqua" w:hAnsi="Book Antiqua" w:cs="Arial"/>
          <w:u w:val="single"/>
        </w:rPr>
      </w:pPr>
      <w:r w:rsidRPr="005B2F04">
        <w:rPr>
          <w:rFonts w:ascii="Book Antiqua" w:hAnsi="Book Antiqua" w:cs="Arial"/>
          <w:u w:val="single"/>
        </w:rPr>
        <w:t>Respondent</w:t>
      </w:r>
    </w:p>
    <w:p w:rsidR="00DD5071" w:rsidRPr="005B2F04" w:rsidRDefault="00DD5071" w:rsidP="00DD5071">
      <w:pPr>
        <w:rPr>
          <w:rFonts w:ascii="Book Antiqua" w:hAnsi="Book Antiqua" w:cs="Arial"/>
          <w:u w:val="single"/>
        </w:rPr>
      </w:pPr>
    </w:p>
    <w:p w:rsidR="00DD5071" w:rsidRPr="005B2F04" w:rsidRDefault="00DD5071" w:rsidP="00DD5071">
      <w:pPr>
        <w:rPr>
          <w:rFonts w:ascii="Book Antiqua" w:hAnsi="Book Antiqua" w:cs="Arial"/>
          <w:u w:val="single"/>
        </w:rPr>
      </w:pPr>
    </w:p>
    <w:p w:rsidR="00DD5071" w:rsidRPr="005B2F04" w:rsidRDefault="00DE7DB7" w:rsidP="00DD5071">
      <w:pPr>
        <w:rPr>
          <w:rFonts w:ascii="Book Antiqua" w:hAnsi="Book Antiqua" w:cs="Arial"/>
        </w:rPr>
      </w:pPr>
      <w:r w:rsidRPr="005B2F04">
        <w:rPr>
          <w:rFonts w:ascii="Book Antiqua" w:hAnsi="Book Antiqua" w:cs="Arial"/>
          <w:b/>
          <w:u w:val="single"/>
        </w:rPr>
        <w:t>Representation</w:t>
      </w:r>
      <w:r w:rsidRPr="005B2F04">
        <w:rPr>
          <w:rFonts w:ascii="Book Antiqua" w:hAnsi="Book Antiqua" w:cs="Arial"/>
          <w:b/>
        </w:rPr>
        <w:t>:</w:t>
      </w:r>
    </w:p>
    <w:p w:rsidR="00DE7DB7" w:rsidRPr="005B2F04" w:rsidRDefault="00DE7DB7" w:rsidP="00DD5071">
      <w:pPr>
        <w:rPr>
          <w:rFonts w:ascii="Book Antiqua" w:hAnsi="Book Antiqua" w:cs="Arial"/>
        </w:rPr>
      </w:pPr>
    </w:p>
    <w:p w:rsidR="00DE7DB7" w:rsidRPr="005B2F04" w:rsidRDefault="00DE7DB7" w:rsidP="00DE7DB7">
      <w:pPr>
        <w:tabs>
          <w:tab w:val="left" w:pos="2520"/>
        </w:tabs>
        <w:rPr>
          <w:rFonts w:ascii="Book Antiqua" w:hAnsi="Book Antiqua" w:cs="Arial"/>
        </w:rPr>
      </w:pPr>
      <w:r w:rsidRPr="005B2F04">
        <w:rPr>
          <w:rFonts w:ascii="Book Antiqua" w:hAnsi="Book Antiqua" w:cs="Arial"/>
        </w:rPr>
        <w:t>For the Appellant:</w:t>
      </w:r>
      <w:r w:rsidRPr="005B2F04">
        <w:rPr>
          <w:rFonts w:ascii="Book Antiqua" w:hAnsi="Book Antiqua" w:cs="Arial"/>
        </w:rPr>
        <w:tab/>
      </w:r>
      <w:r w:rsidR="00D909F4" w:rsidRPr="005B2F04">
        <w:rPr>
          <w:rFonts w:ascii="Book Antiqua" w:hAnsi="Book Antiqua" w:cs="Arial"/>
        </w:rPr>
        <w:t>Ms S Ta</w:t>
      </w:r>
      <w:r w:rsidR="00EA5856" w:rsidRPr="005B2F04">
        <w:rPr>
          <w:rFonts w:ascii="Book Antiqua" w:hAnsi="Book Antiqua" w:cs="Arial"/>
        </w:rPr>
        <w:t xml:space="preserve">bassum (solicitor)  </w:t>
      </w:r>
    </w:p>
    <w:p w:rsidR="00DE7DB7" w:rsidRPr="005B2F04" w:rsidRDefault="00DE7DB7" w:rsidP="00DE7DB7">
      <w:pPr>
        <w:tabs>
          <w:tab w:val="left" w:pos="2520"/>
        </w:tabs>
        <w:rPr>
          <w:rFonts w:ascii="Book Antiqua" w:hAnsi="Book Antiqua" w:cs="Arial"/>
        </w:rPr>
      </w:pPr>
      <w:r w:rsidRPr="005B2F04">
        <w:rPr>
          <w:rFonts w:ascii="Book Antiqua" w:hAnsi="Book Antiqua" w:cs="Arial"/>
        </w:rPr>
        <w:t>For the Respondent:</w:t>
      </w:r>
      <w:r w:rsidRPr="005B2F04">
        <w:rPr>
          <w:rFonts w:ascii="Book Antiqua" w:hAnsi="Book Antiqua" w:cs="Arial"/>
        </w:rPr>
        <w:tab/>
      </w:r>
      <w:r w:rsidR="00EA5856" w:rsidRPr="005B2F04">
        <w:rPr>
          <w:rFonts w:ascii="Book Antiqua" w:hAnsi="Book Antiqua" w:cs="Arial"/>
        </w:rPr>
        <w:t xml:space="preserve">Mr A McVeety (Senior HOPO)  </w:t>
      </w:r>
    </w:p>
    <w:p w:rsidR="00DE7DB7" w:rsidRPr="005B2F04" w:rsidRDefault="00DE7DB7" w:rsidP="00402B9E">
      <w:pPr>
        <w:tabs>
          <w:tab w:val="left" w:pos="2520"/>
        </w:tabs>
        <w:jc w:val="center"/>
        <w:rPr>
          <w:rFonts w:ascii="Book Antiqua" w:hAnsi="Book Antiqua" w:cs="Arial"/>
        </w:rPr>
      </w:pPr>
    </w:p>
    <w:p w:rsidR="00DE7DB7" w:rsidRPr="005B2F04" w:rsidRDefault="00DE7DB7" w:rsidP="00402B9E">
      <w:pPr>
        <w:tabs>
          <w:tab w:val="left" w:pos="2520"/>
        </w:tabs>
        <w:jc w:val="center"/>
        <w:rPr>
          <w:rFonts w:ascii="Book Antiqua" w:hAnsi="Book Antiqua" w:cs="Arial"/>
        </w:rPr>
      </w:pPr>
    </w:p>
    <w:p w:rsidR="00DE7DB7" w:rsidRPr="005B2F04" w:rsidRDefault="00EA5856" w:rsidP="00402B9E">
      <w:pPr>
        <w:tabs>
          <w:tab w:val="left" w:pos="2520"/>
        </w:tabs>
        <w:jc w:val="center"/>
        <w:rPr>
          <w:rFonts w:ascii="Book Antiqua" w:hAnsi="Book Antiqua" w:cs="Arial"/>
        </w:rPr>
      </w:pPr>
      <w:r w:rsidRPr="005B2F04">
        <w:rPr>
          <w:rFonts w:ascii="Book Antiqua" w:hAnsi="Book Antiqua" w:cs="Arial"/>
          <w:b/>
          <w:u w:val="single"/>
        </w:rPr>
        <w:t xml:space="preserve">DETERMINATION </w:t>
      </w:r>
      <w:r w:rsidR="00402B9E" w:rsidRPr="005B2F04">
        <w:rPr>
          <w:rFonts w:ascii="Book Antiqua" w:hAnsi="Book Antiqua" w:cs="Arial"/>
          <w:b/>
          <w:u w:val="single"/>
        </w:rPr>
        <w:t>AND REASONS</w:t>
      </w:r>
      <w:r w:rsidRPr="005B2F04">
        <w:rPr>
          <w:rFonts w:ascii="Book Antiqua" w:hAnsi="Book Antiqua" w:cs="Arial"/>
          <w:b/>
          <w:u w:val="single"/>
        </w:rPr>
        <w:t xml:space="preserve">  </w:t>
      </w:r>
    </w:p>
    <w:p w:rsidR="00B626FA" w:rsidRPr="005B2F04" w:rsidRDefault="00B626FA" w:rsidP="00402B9E">
      <w:pPr>
        <w:tabs>
          <w:tab w:val="left" w:pos="2520"/>
        </w:tabs>
        <w:jc w:val="both"/>
        <w:rPr>
          <w:rFonts w:ascii="Book Antiqua" w:hAnsi="Book Antiqua" w:cs="Arial"/>
        </w:rPr>
      </w:pPr>
    </w:p>
    <w:p w:rsidR="00E3452C" w:rsidRPr="005B2F04" w:rsidRDefault="00E3452C" w:rsidP="00B52A42">
      <w:pPr>
        <w:numPr>
          <w:ilvl w:val="0"/>
          <w:numId w:val="3"/>
        </w:numPr>
        <w:spacing w:before="240"/>
        <w:jc w:val="both"/>
        <w:rPr>
          <w:rFonts w:ascii="Book Antiqua" w:hAnsi="Book Antiqua" w:cs="Arial"/>
        </w:rPr>
      </w:pPr>
      <w:r w:rsidRPr="005B2F04">
        <w:rPr>
          <w:rFonts w:ascii="Book Antiqua" w:hAnsi="Book Antiqua" w:cs="Arial"/>
        </w:rPr>
        <w:t>This is an appeal against the determination of First-tier Tribunal Judge Mc</w:t>
      </w:r>
      <w:r w:rsidR="00B35CC3" w:rsidRPr="005B2F04">
        <w:rPr>
          <w:rFonts w:ascii="Book Antiqua" w:hAnsi="Book Antiqua" w:cs="Arial"/>
        </w:rPr>
        <w:t>Ca</w:t>
      </w:r>
      <w:r w:rsidR="00A56B08" w:rsidRPr="005B2F04">
        <w:rPr>
          <w:rFonts w:ascii="Book Antiqua" w:hAnsi="Book Antiqua" w:cs="Arial"/>
        </w:rPr>
        <w:t>ll, promulgated on 21</w:t>
      </w:r>
      <w:r w:rsidR="00A56B08" w:rsidRPr="005B2F04">
        <w:rPr>
          <w:rFonts w:ascii="Book Antiqua" w:hAnsi="Book Antiqua" w:cs="Arial"/>
          <w:vertAlign w:val="superscript"/>
        </w:rPr>
        <w:t>st</w:t>
      </w:r>
      <w:r w:rsidR="00A56B08" w:rsidRPr="005B2F04">
        <w:rPr>
          <w:rFonts w:ascii="Book Antiqua" w:hAnsi="Book Antiqua" w:cs="Arial"/>
        </w:rPr>
        <w:t xml:space="preserve"> May 2018, following a hearing at Manchester on 4</w:t>
      </w:r>
      <w:r w:rsidR="00A56B08" w:rsidRPr="005B2F04">
        <w:rPr>
          <w:rFonts w:ascii="Book Antiqua" w:hAnsi="Book Antiqua" w:cs="Arial"/>
          <w:vertAlign w:val="superscript"/>
        </w:rPr>
        <w:t>th</w:t>
      </w:r>
      <w:r w:rsidR="00A56B08" w:rsidRPr="005B2F04">
        <w:rPr>
          <w:rFonts w:ascii="Book Antiqua" w:hAnsi="Book Antiqua" w:cs="Arial"/>
        </w:rPr>
        <w:t xml:space="preserve"> May 2018.  In the determination, the judge dismissed the appeal of the Appellant, whereupon the </w:t>
      </w:r>
      <w:r w:rsidR="00A56B08" w:rsidRPr="005B2F04">
        <w:rPr>
          <w:rFonts w:ascii="Book Antiqua" w:hAnsi="Book Antiqua" w:cs="Arial"/>
        </w:rPr>
        <w:lastRenderedPageBreak/>
        <w:t xml:space="preserve">Appellant subsequently applied for, and was granted, permission to appeal to the Upper Tribunal, and thus the matter comes before me.  </w:t>
      </w:r>
    </w:p>
    <w:p w:rsidR="00A56B08" w:rsidRPr="005B2F04" w:rsidRDefault="00A56B08" w:rsidP="00A56B08">
      <w:pPr>
        <w:spacing w:before="240"/>
        <w:jc w:val="both"/>
        <w:rPr>
          <w:rFonts w:ascii="Book Antiqua" w:hAnsi="Book Antiqua" w:cs="Arial"/>
          <w:b/>
          <w:u w:val="single"/>
        </w:rPr>
      </w:pPr>
      <w:r w:rsidRPr="005B2F04">
        <w:rPr>
          <w:rFonts w:ascii="Book Antiqua" w:hAnsi="Book Antiqua" w:cs="Arial"/>
          <w:b/>
          <w:u w:val="single"/>
        </w:rPr>
        <w:t xml:space="preserve">The Appellant  </w:t>
      </w:r>
    </w:p>
    <w:p w:rsidR="00E3452C" w:rsidRPr="005B2F04" w:rsidRDefault="00A56B08" w:rsidP="00B52A42">
      <w:pPr>
        <w:numPr>
          <w:ilvl w:val="0"/>
          <w:numId w:val="3"/>
        </w:numPr>
        <w:spacing w:before="240"/>
        <w:jc w:val="both"/>
        <w:rPr>
          <w:rFonts w:ascii="Book Antiqua" w:hAnsi="Book Antiqua" w:cs="Arial"/>
        </w:rPr>
      </w:pPr>
      <w:r w:rsidRPr="005B2F04">
        <w:rPr>
          <w:rFonts w:ascii="Book Antiqua" w:hAnsi="Book Antiqua" w:cs="Arial"/>
        </w:rPr>
        <w:t>The Appellant is a male, a citizen of Somalia, and was born on 1</w:t>
      </w:r>
      <w:r w:rsidRPr="005B2F04">
        <w:rPr>
          <w:rFonts w:ascii="Book Antiqua" w:hAnsi="Book Antiqua" w:cs="Arial"/>
          <w:vertAlign w:val="superscript"/>
        </w:rPr>
        <w:t>st</w:t>
      </w:r>
      <w:r w:rsidRPr="005B2F04">
        <w:rPr>
          <w:rFonts w:ascii="Book Antiqua" w:hAnsi="Book Antiqua" w:cs="Arial"/>
        </w:rPr>
        <w:t xml:space="preserve"> April 1998.  He appealed against the decision of the Respondent Secretary of State dated 31</w:t>
      </w:r>
      <w:r w:rsidRPr="005B2F04">
        <w:rPr>
          <w:rFonts w:ascii="Book Antiqua" w:hAnsi="Book Antiqua" w:cs="Arial"/>
          <w:vertAlign w:val="superscript"/>
        </w:rPr>
        <w:t>st</w:t>
      </w:r>
      <w:r w:rsidRPr="005B2F04">
        <w:rPr>
          <w:rFonts w:ascii="Book Antiqua" w:hAnsi="Book Antiqua" w:cs="Arial"/>
        </w:rPr>
        <w:t xml:space="preserve"> October 2017 refusing his claim to asylum and to humanitarian protection under paragraph 339C of HC 395.  </w:t>
      </w:r>
    </w:p>
    <w:p w:rsidR="00A56B08" w:rsidRPr="005B2F04" w:rsidRDefault="00A56B08" w:rsidP="00A56B08">
      <w:pPr>
        <w:spacing w:before="240"/>
        <w:jc w:val="both"/>
        <w:rPr>
          <w:rFonts w:ascii="Book Antiqua" w:hAnsi="Book Antiqua" w:cs="Arial"/>
          <w:b/>
          <w:u w:val="single"/>
        </w:rPr>
      </w:pPr>
      <w:r w:rsidRPr="005B2F04">
        <w:rPr>
          <w:rFonts w:ascii="Book Antiqua" w:hAnsi="Book Antiqua" w:cs="Arial"/>
          <w:b/>
          <w:u w:val="single"/>
        </w:rPr>
        <w:t xml:space="preserve">The Appellant’s Claim  </w:t>
      </w:r>
    </w:p>
    <w:p w:rsidR="00A56B08" w:rsidRPr="005B2F04" w:rsidRDefault="00D16746" w:rsidP="00B52A42">
      <w:pPr>
        <w:numPr>
          <w:ilvl w:val="0"/>
          <w:numId w:val="3"/>
        </w:numPr>
        <w:spacing w:before="240"/>
        <w:jc w:val="both"/>
        <w:rPr>
          <w:rFonts w:ascii="Book Antiqua" w:hAnsi="Book Antiqua" w:cs="Arial"/>
        </w:rPr>
      </w:pPr>
      <w:r w:rsidRPr="005B2F04">
        <w:rPr>
          <w:rFonts w:ascii="Book Antiqua" w:hAnsi="Book Antiqua" w:cs="Arial"/>
        </w:rPr>
        <w:t xml:space="preserve">The essence of the Appellant’s claim is that he is of Bajuni ethnicity.  He was forced to leave his home when he was 4 years old.  His local area had then been attacked by members of the </w:t>
      </w:r>
      <w:r w:rsidR="001D3F9F" w:rsidRPr="005B2F04">
        <w:rPr>
          <w:rFonts w:ascii="Book Antiqua" w:hAnsi="Book Antiqua" w:cs="Arial"/>
        </w:rPr>
        <w:t>Daroo</w:t>
      </w:r>
      <w:r w:rsidRPr="005B2F04">
        <w:rPr>
          <w:rFonts w:ascii="Book Antiqua" w:hAnsi="Book Antiqua" w:cs="Arial"/>
        </w:rPr>
        <w:t xml:space="preserve">d clan.  </w:t>
      </w:r>
      <w:r w:rsidR="001D3F9F" w:rsidRPr="005B2F04">
        <w:rPr>
          <w:rFonts w:ascii="Book Antiqua" w:hAnsi="Book Antiqua" w:cs="Arial"/>
        </w:rPr>
        <w:t xml:space="preserve">His mother was raped in the attack.  She was taken away by the Darood and he has not seen her since.  His </w:t>
      </w:r>
      <w:r w:rsidR="00CF2555" w:rsidRPr="005B2F04">
        <w:rPr>
          <w:rFonts w:ascii="Book Antiqua" w:hAnsi="Book Antiqua" w:cs="Arial"/>
        </w:rPr>
        <w:t xml:space="preserve">father was assaulted.  Afterwards his father took the Appellant to a refugee camp in Kenya.  The Appellant lived in a refugee camp for some five years.  His father then passed away when the Appellant was about 10 years of age.  He moved with a friend to a safe place near a camp.  In Kenya he attended a mosque.  He came to the attention of </w:t>
      </w:r>
      <w:r w:rsidR="0090733A" w:rsidRPr="005B2F04">
        <w:rPr>
          <w:rFonts w:ascii="Book Antiqua" w:hAnsi="Book Antiqua" w:cs="Arial"/>
        </w:rPr>
        <w:t>followers of Sheikh Abu Bakhar.  He was asked to join their youth members and fight for them in Jihad and support Al-Shabab.  When the Appellant refused he was held captive, beaten, and tortured and his hand was hacked off with a machete.  After some three months in captivity he was informed that he would be released provided he agreed to spread the word of support for Al-Shabab and recruit more supporters which he agreed to do.  Once he was released the Appellant returned home and explained what had happened to him.  It was agreed it was no longer safe for him to remain in Kenya so he and his friend travelled by boat to Gambia.  He remained in Gambia for some six years.  He worked as a fisherman there.  Eventually he and his friend left with th</w:t>
      </w:r>
      <w:r w:rsidR="008220C0" w:rsidRPr="005B2F04">
        <w:rPr>
          <w:rFonts w:ascii="Book Antiqua" w:hAnsi="Book Antiqua" w:cs="Arial"/>
        </w:rPr>
        <w:t>e help of an agent to go to a safe country.  He travelled from Gambia to Italy, and from there to Germany, and eventually left that country to come to the UK where he claimed asylum</w:t>
      </w:r>
      <w:r w:rsidR="00A4102B" w:rsidRPr="005B2F04">
        <w:rPr>
          <w:rFonts w:ascii="Book Antiqua" w:hAnsi="Book Antiqua" w:cs="Arial"/>
        </w:rPr>
        <w:t xml:space="preserve">.  </w:t>
      </w:r>
    </w:p>
    <w:p w:rsidR="00A4102B" w:rsidRPr="005B2F04" w:rsidRDefault="00A4102B" w:rsidP="00A4102B">
      <w:pPr>
        <w:spacing w:before="240"/>
        <w:jc w:val="both"/>
        <w:rPr>
          <w:rFonts w:ascii="Book Antiqua" w:hAnsi="Book Antiqua" w:cs="Arial"/>
          <w:b/>
          <w:u w:val="single"/>
        </w:rPr>
      </w:pPr>
      <w:r w:rsidRPr="005B2F04">
        <w:rPr>
          <w:rFonts w:ascii="Book Antiqua" w:hAnsi="Book Antiqua" w:cs="Arial"/>
          <w:b/>
          <w:u w:val="single"/>
        </w:rPr>
        <w:t xml:space="preserve">The Judge’s Findings  </w:t>
      </w:r>
    </w:p>
    <w:p w:rsidR="00A4102B" w:rsidRPr="005B2F04" w:rsidRDefault="00A4102B" w:rsidP="00B52A42">
      <w:pPr>
        <w:numPr>
          <w:ilvl w:val="0"/>
          <w:numId w:val="3"/>
        </w:numPr>
        <w:spacing w:before="240"/>
        <w:jc w:val="both"/>
        <w:rPr>
          <w:rFonts w:ascii="Book Antiqua" w:hAnsi="Book Antiqua" w:cs="Arial"/>
        </w:rPr>
      </w:pPr>
      <w:r w:rsidRPr="005B2F04">
        <w:rPr>
          <w:rFonts w:ascii="Book Antiqua" w:hAnsi="Book Antiqua" w:cs="Arial"/>
        </w:rPr>
        <w:t>In what is a comprehensive and carefully crafted determination, the judge found that the Appellant was of Bajuni ethnicity.  However, he went on to say that his account was inconsistent.  He had not been honest with regard to the countries he had passed through.  He had fabricated his account.  He entered the UK on a false British passport</w:t>
      </w:r>
      <w:r w:rsidR="00F510A6" w:rsidRPr="005B2F04">
        <w:rPr>
          <w:rFonts w:ascii="Book Antiqua" w:hAnsi="Book Antiqua" w:cs="Arial"/>
        </w:rPr>
        <w:t xml:space="preserve">.  The judge went on to say, “I do not accept the Appellant’s account that he was detained and tortured because he refused to join Al-Shabab and that he was then later released” (paragraph 35).  Importantly, in coming to these conclusions, the judge referred to the leading country guidance case of </w:t>
      </w:r>
      <w:r w:rsidR="00F510A6" w:rsidRPr="005B2F04">
        <w:rPr>
          <w:rFonts w:ascii="Book Antiqua" w:hAnsi="Book Antiqua" w:cs="Arial"/>
          <w:b/>
          <w:u w:val="single"/>
        </w:rPr>
        <w:t>MOJ</w:t>
      </w:r>
      <w:r w:rsidR="00F510A6" w:rsidRPr="005B2F04">
        <w:rPr>
          <w:rFonts w:ascii="Book Antiqua" w:hAnsi="Book Antiqua" w:cs="Arial"/>
          <w:b/>
        </w:rPr>
        <w:t xml:space="preserve"> (Somalia) [2014] UKUT 00442</w:t>
      </w:r>
      <w:r w:rsidR="00F510A6" w:rsidRPr="005B2F04">
        <w:rPr>
          <w:rFonts w:ascii="Book Antiqua" w:hAnsi="Book Antiqua" w:cs="Arial"/>
        </w:rPr>
        <w:t xml:space="preserve"> (at paragraph 36 of the determination).  </w:t>
      </w:r>
    </w:p>
    <w:p w:rsidR="00F510A6" w:rsidRPr="005B2F04" w:rsidRDefault="00F510A6" w:rsidP="00B52A42">
      <w:pPr>
        <w:numPr>
          <w:ilvl w:val="0"/>
          <w:numId w:val="3"/>
        </w:numPr>
        <w:spacing w:before="240"/>
        <w:jc w:val="both"/>
        <w:rPr>
          <w:rFonts w:ascii="Book Antiqua" w:hAnsi="Book Antiqua" w:cs="Arial"/>
        </w:rPr>
      </w:pPr>
      <w:r w:rsidRPr="005B2F04">
        <w:rPr>
          <w:rFonts w:ascii="Book Antiqua" w:hAnsi="Book Antiqua" w:cs="Arial"/>
        </w:rPr>
        <w:t xml:space="preserve">The appeal was dismissed.  </w:t>
      </w:r>
    </w:p>
    <w:p w:rsidR="00B35CC3" w:rsidRPr="005B2F04" w:rsidRDefault="00B35CC3" w:rsidP="00F510A6">
      <w:pPr>
        <w:spacing w:before="240"/>
        <w:jc w:val="both"/>
        <w:rPr>
          <w:rFonts w:ascii="Book Antiqua" w:hAnsi="Book Antiqua" w:cs="Arial"/>
          <w:b/>
          <w:u w:val="single"/>
        </w:rPr>
      </w:pPr>
    </w:p>
    <w:p w:rsidR="00F510A6" w:rsidRPr="005B2F04" w:rsidRDefault="00F510A6" w:rsidP="00F510A6">
      <w:pPr>
        <w:spacing w:before="240"/>
        <w:jc w:val="both"/>
        <w:rPr>
          <w:rFonts w:ascii="Book Antiqua" w:hAnsi="Book Antiqua" w:cs="Arial"/>
          <w:b/>
          <w:u w:val="single"/>
        </w:rPr>
      </w:pPr>
      <w:r w:rsidRPr="005B2F04">
        <w:rPr>
          <w:rFonts w:ascii="Book Antiqua" w:hAnsi="Book Antiqua" w:cs="Arial"/>
          <w:b/>
          <w:u w:val="single"/>
        </w:rPr>
        <w:lastRenderedPageBreak/>
        <w:t xml:space="preserve">Grounds of Application  </w:t>
      </w:r>
    </w:p>
    <w:p w:rsidR="00F510A6" w:rsidRPr="005B2F04" w:rsidRDefault="00F510A6" w:rsidP="00B52A42">
      <w:pPr>
        <w:numPr>
          <w:ilvl w:val="0"/>
          <w:numId w:val="3"/>
        </w:numPr>
        <w:spacing w:before="240"/>
        <w:jc w:val="both"/>
        <w:rPr>
          <w:rFonts w:ascii="Book Antiqua" w:hAnsi="Book Antiqua" w:cs="Arial"/>
        </w:rPr>
      </w:pPr>
      <w:r w:rsidRPr="005B2F04">
        <w:rPr>
          <w:rFonts w:ascii="Book Antiqua" w:hAnsi="Book Antiqua" w:cs="Arial"/>
        </w:rPr>
        <w:t xml:space="preserve">The grounds of application state that the judge failed to correctly follow the country guidance when considering internal relocation to Mogadishu.  The judge failed to take into account several factors in assessing the viability of return to Mogadishu and made findings that were based purely on assumption.  The judge’s decision was based solely on the fact that he rejected the Appellant’s account.  However, he had failed to adequately consider the risk on return or the potential for internal relocation.  </w:t>
      </w:r>
    </w:p>
    <w:p w:rsidR="00F510A6" w:rsidRPr="005B2F04" w:rsidRDefault="00F510A6" w:rsidP="00B52A42">
      <w:pPr>
        <w:numPr>
          <w:ilvl w:val="0"/>
          <w:numId w:val="3"/>
        </w:numPr>
        <w:spacing w:before="240"/>
        <w:jc w:val="both"/>
        <w:rPr>
          <w:rFonts w:ascii="Book Antiqua" w:hAnsi="Book Antiqua" w:cs="Arial"/>
        </w:rPr>
      </w:pPr>
      <w:r w:rsidRPr="005B2F04">
        <w:rPr>
          <w:rFonts w:ascii="Book Antiqua" w:hAnsi="Book Antiqua" w:cs="Arial"/>
        </w:rPr>
        <w:t>On 14</w:t>
      </w:r>
      <w:r w:rsidRPr="005B2F04">
        <w:rPr>
          <w:rFonts w:ascii="Book Antiqua" w:hAnsi="Book Antiqua" w:cs="Arial"/>
          <w:vertAlign w:val="superscript"/>
        </w:rPr>
        <w:t>th</w:t>
      </w:r>
      <w:r w:rsidRPr="005B2F04">
        <w:rPr>
          <w:rFonts w:ascii="Book Antiqua" w:hAnsi="Book Antiqua" w:cs="Arial"/>
        </w:rPr>
        <w:t xml:space="preserve"> June 2018, permission to appeal was granted.  </w:t>
      </w:r>
    </w:p>
    <w:p w:rsidR="00F510A6" w:rsidRPr="005B2F04" w:rsidRDefault="00F510A6" w:rsidP="00F510A6">
      <w:pPr>
        <w:spacing w:before="240"/>
        <w:jc w:val="both"/>
        <w:rPr>
          <w:rFonts w:ascii="Book Antiqua" w:hAnsi="Book Antiqua" w:cs="Arial"/>
          <w:b/>
          <w:u w:val="single"/>
        </w:rPr>
      </w:pPr>
      <w:r w:rsidRPr="005B2F04">
        <w:rPr>
          <w:rFonts w:ascii="Book Antiqua" w:hAnsi="Book Antiqua" w:cs="Arial"/>
          <w:b/>
          <w:u w:val="single"/>
        </w:rPr>
        <w:t xml:space="preserve">Submissions  </w:t>
      </w:r>
    </w:p>
    <w:p w:rsidR="00305191" w:rsidRDefault="00F510A6" w:rsidP="00B52A42">
      <w:pPr>
        <w:numPr>
          <w:ilvl w:val="0"/>
          <w:numId w:val="3"/>
        </w:numPr>
        <w:spacing w:before="240"/>
        <w:jc w:val="both"/>
        <w:rPr>
          <w:rFonts w:ascii="Book Antiqua" w:hAnsi="Book Antiqua" w:cs="Arial"/>
        </w:rPr>
      </w:pPr>
      <w:r w:rsidRPr="005B2F04">
        <w:rPr>
          <w:rFonts w:ascii="Book Antiqua" w:hAnsi="Book Antiqua" w:cs="Arial"/>
        </w:rPr>
        <w:t>At the hearing before me on 8</w:t>
      </w:r>
      <w:r w:rsidRPr="005B2F04">
        <w:rPr>
          <w:rFonts w:ascii="Book Antiqua" w:hAnsi="Book Antiqua" w:cs="Arial"/>
          <w:vertAlign w:val="superscript"/>
        </w:rPr>
        <w:t>th</w:t>
      </w:r>
      <w:r w:rsidRPr="005B2F04">
        <w:rPr>
          <w:rFonts w:ascii="Book Antiqua" w:hAnsi="Book Antiqua" w:cs="Arial"/>
        </w:rPr>
        <w:t xml:space="preserve"> August 2017, Ms</w:t>
      </w:r>
      <w:r w:rsidR="00B35CC3" w:rsidRPr="005B2F04">
        <w:rPr>
          <w:rFonts w:ascii="Book Antiqua" w:hAnsi="Book Antiqua" w:cs="Arial"/>
        </w:rPr>
        <w:t xml:space="preserve"> Tabassum</w:t>
      </w:r>
      <w:r w:rsidRPr="005B2F04">
        <w:rPr>
          <w:rFonts w:ascii="Book Antiqua" w:hAnsi="Book Antiqua" w:cs="Arial"/>
        </w:rPr>
        <w:t xml:space="preserve">, appearing on behalf of the Appellant, relied upon the detailed and measured grounds of application.  </w:t>
      </w:r>
    </w:p>
    <w:p w:rsidR="00305191" w:rsidRDefault="00F510A6" w:rsidP="00B52A42">
      <w:pPr>
        <w:numPr>
          <w:ilvl w:val="0"/>
          <w:numId w:val="3"/>
        </w:numPr>
        <w:spacing w:before="240"/>
        <w:jc w:val="both"/>
        <w:rPr>
          <w:rFonts w:ascii="Book Antiqua" w:hAnsi="Book Antiqua" w:cs="Arial"/>
        </w:rPr>
      </w:pPr>
      <w:r w:rsidRPr="005B2F04">
        <w:rPr>
          <w:rFonts w:ascii="Book Antiqua" w:hAnsi="Book Antiqua" w:cs="Arial"/>
        </w:rPr>
        <w:t xml:space="preserve">First, that the relevant passages of </w:t>
      </w:r>
      <w:r w:rsidRPr="005B2F04">
        <w:rPr>
          <w:rFonts w:ascii="Book Antiqua" w:hAnsi="Book Antiqua" w:cs="Arial"/>
          <w:b/>
          <w:u w:val="single"/>
        </w:rPr>
        <w:t>MOJ</w:t>
      </w:r>
      <w:r w:rsidRPr="005B2F04">
        <w:rPr>
          <w:rFonts w:ascii="Book Antiqua" w:hAnsi="Book Antiqua" w:cs="Arial"/>
        </w:rPr>
        <w:t xml:space="preserve"> (to which the judge refers at paragraph 36 of the determination) makes it clear that a person returning to Mogadishu</w:t>
      </w:r>
      <w:r w:rsidR="00F307CD" w:rsidRPr="005B2F04">
        <w:rPr>
          <w:rFonts w:ascii="Book Antiqua" w:hAnsi="Book Antiqua" w:cs="Arial"/>
        </w:rPr>
        <w:t xml:space="preserve"> after a period of absence, who has no nuclear family or close relatives to return back to, would have difficulty in re-establishing themselves, such that careful assessment needs to be made of all the circumstances</w:t>
      </w:r>
      <w:r w:rsidR="00A83388" w:rsidRPr="005B2F04">
        <w:rPr>
          <w:rFonts w:ascii="Book Antiqua" w:hAnsi="Book Antiqua" w:cs="Arial"/>
        </w:rPr>
        <w:t xml:space="preserve">.  </w:t>
      </w:r>
    </w:p>
    <w:p w:rsidR="00305191" w:rsidRDefault="00A83388" w:rsidP="00B52A42">
      <w:pPr>
        <w:numPr>
          <w:ilvl w:val="0"/>
          <w:numId w:val="3"/>
        </w:numPr>
        <w:spacing w:before="240"/>
        <w:jc w:val="both"/>
        <w:rPr>
          <w:rFonts w:ascii="Book Antiqua" w:hAnsi="Book Antiqua" w:cs="Arial"/>
        </w:rPr>
      </w:pPr>
      <w:r w:rsidRPr="005B2F04">
        <w:rPr>
          <w:rFonts w:ascii="Book Antiqua" w:hAnsi="Book Antiqua" w:cs="Arial"/>
        </w:rPr>
        <w:t xml:space="preserve">Second, the issue of whether the Appellant could internally relocate to Mogadishu was central to his claim.  </w:t>
      </w:r>
    </w:p>
    <w:p w:rsidR="00305191" w:rsidRDefault="00A83388" w:rsidP="00B52A42">
      <w:pPr>
        <w:numPr>
          <w:ilvl w:val="0"/>
          <w:numId w:val="3"/>
        </w:numPr>
        <w:spacing w:before="240"/>
        <w:jc w:val="both"/>
        <w:rPr>
          <w:rFonts w:ascii="Book Antiqua" w:hAnsi="Book Antiqua" w:cs="Arial"/>
        </w:rPr>
      </w:pPr>
      <w:r w:rsidRPr="005B2F04">
        <w:rPr>
          <w:rFonts w:ascii="Book Antiqua" w:hAnsi="Book Antiqua" w:cs="Arial"/>
        </w:rPr>
        <w:t xml:space="preserve">His individual circumstances were that he was from the minority clan, of the Bajuni people, had no links to Mogadishu, and had no secular education, and no work experience in Somalia.  He had no close relatives in Mogadishu that he could turn to.  He was therefore unlikely to succeed in obtaining employment in Mogadishu.  The judge made no findings whatsoever in relation to his connections to Mogadishu.  </w:t>
      </w:r>
    </w:p>
    <w:p w:rsidR="00305191" w:rsidRDefault="00305191" w:rsidP="00B52A42">
      <w:pPr>
        <w:numPr>
          <w:ilvl w:val="0"/>
          <w:numId w:val="3"/>
        </w:numPr>
        <w:spacing w:before="240"/>
        <w:jc w:val="both"/>
        <w:rPr>
          <w:rFonts w:ascii="Book Antiqua" w:hAnsi="Book Antiqua" w:cs="Arial"/>
        </w:rPr>
      </w:pPr>
      <w:r>
        <w:rPr>
          <w:rFonts w:ascii="Book Antiqua" w:hAnsi="Book Antiqua" w:cs="Arial"/>
        </w:rPr>
        <w:t xml:space="preserve">Third, </w:t>
      </w:r>
      <w:r w:rsidR="00A83388" w:rsidRPr="005B2F04">
        <w:rPr>
          <w:rFonts w:ascii="Book Antiqua" w:hAnsi="Book Antiqua" w:cs="Arial"/>
        </w:rPr>
        <w:t xml:space="preserve">the Appellant did not speak the Somali language, which was spoken in Mogadishu, but spoke Kibajuni, which was the language of the Bajuni </w:t>
      </w:r>
      <w:r w:rsidR="00D273D5" w:rsidRPr="005B2F04">
        <w:rPr>
          <w:rFonts w:ascii="Book Antiqua" w:hAnsi="Book Antiqua" w:cs="Arial"/>
        </w:rPr>
        <w:t>islands, and the judge failed to take into account such key factors when assessing the availability of internal relocation to Mogadishu for the Appellant</w:t>
      </w:r>
    </w:p>
    <w:p w:rsidR="00305191" w:rsidRDefault="00D273D5" w:rsidP="00B52A42">
      <w:pPr>
        <w:numPr>
          <w:ilvl w:val="0"/>
          <w:numId w:val="3"/>
        </w:numPr>
        <w:spacing w:before="240"/>
        <w:jc w:val="both"/>
        <w:rPr>
          <w:rFonts w:ascii="Book Antiqua" w:hAnsi="Book Antiqua" w:cs="Arial"/>
        </w:rPr>
      </w:pPr>
      <w:r w:rsidRPr="005B2F04">
        <w:rPr>
          <w:rFonts w:ascii="Book Antiqua" w:hAnsi="Book Antiqua" w:cs="Arial"/>
        </w:rPr>
        <w:t xml:space="preserve">Fourth, the country guidance case of </w:t>
      </w:r>
      <w:r w:rsidRPr="005B2F04">
        <w:rPr>
          <w:rFonts w:ascii="Book Antiqua" w:hAnsi="Book Antiqua" w:cs="Arial"/>
          <w:b/>
          <w:u w:val="single"/>
        </w:rPr>
        <w:t>MOJ</w:t>
      </w:r>
      <w:r w:rsidRPr="005B2F04">
        <w:rPr>
          <w:rFonts w:ascii="Book Antiqua" w:hAnsi="Book Antiqua" w:cs="Arial"/>
        </w:rPr>
        <w:t xml:space="preserve"> makes it clear that return to Mogadishu with, “no access to funds and no other form of clan, family or social support is unlikely to be realistic” and the judge completely failed to apply this principle when assessing the viability of return to Mogadishu.  </w:t>
      </w:r>
    </w:p>
    <w:p w:rsidR="00305191" w:rsidRDefault="00D273D5" w:rsidP="00B52A42">
      <w:pPr>
        <w:numPr>
          <w:ilvl w:val="0"/>
          <w:numId w:val="3"/>
        </w:numPr>
        <w:spacing w:before="240"/>
        <w:jc w:val="both"/>
        <w:rPr>
          <w:rFonts w:ascii="Book Antiqua" w:hAnsi="Book Antiqua" w:cs="Arial"/>
        </w:rPr>
      </w:pPr>
      <w:r w:rsidRPr="005B2F04">
        <w:rPr>
          <w:rFonts w:ascii="Book Antiqua" w:hAnsi="Book Antiqua" w:cs="Arial"/>
        </w:rPr>
        <w:t xml:space="preserve">Fifth, the judge had recorded that the Appellant had worked in Germany </w:t>
      </w:r>
      <w:r w:rsidR="00BC5D1D" w:rsidRPr="005B2F04">
        <w:rPr>
          <w:rFonts w:ascii="Book Antiqua" w:hAnsi="Book Antiqua" w:cs="Arial"/>
        </w:rPr>
        <w:t xml:space="preserve">and had been supported in Germany by a Somali organisation, and he had not made any effort to obtain a statement from that organisation, “who presumably would corroborate some of the claims made by the Appellant” (paragraph 37) however, this was subjective reasoning, that was not properly made out on the evidence which the judge could refer to.  </w:t>
      </w:r>
    </w:p>
    <w:p w:rsidR="00305191" w:rsidRDefault="00BC5D1D" w:rsidP="00B52A42">
      <w:pPr>
        <w:numPr>
          <w:ilvl w:val="0"/>
          <w:numId w:val="3"/>
        </w:numPr>
        <w:spacing w:before="240"/>
        <w:jc w:val="both"/>
        <w:rPr>
          <w:rFonts w:ascii="Book Antiqua" w:hAnsi="Book Antiqua" w:cs="Arial"/>
        </w:rPr>
      </w:pPr>
      <w:r w:rsidRPr="005B2F04">
        <w:rPr>
          <w:rFonts w:ascii="Book Antiqua" w:hAnsi="Book Antiqua" w:cs="Arial"/>
        </w:rPr>
        <w:lastRenderedPageBreak/>
        <w:t xml:space="preserve">Sixth, the judge gave no other reason for why the Appellant’s account should be </w:t>
      </w:r>
      <w:r w:rsidR="00341CAA" w:rsidRPr="005B2F04">
        <w:rPr>
          <w:rFonts w:ascii="Book Antiqua" w:hAnsi="Book Antiqua" w:cs="Arial"/>
        </w:rPr>
        <w:t xml:space="preserve">rejected.  Seventh, the Bajuni clan are a minority group who are recognised as vulnerable by the Respondent, and exposing the Appellant </w:t>
      </w:r>
      <w:r w:rsidR="00147DF7" w:rsidRPr="005B2F04">
        <w:rPr>
          <w:rFonts w:ascii="Book Antiqua" w:hAnsi="Book Antiqua" w:cs="Arial"/>
        </w:rPr>
        <w:t xml:space="preserve">to the enhanced risk of ill-treatment with little protection, was unjustified.  </w:t>
      </w:r>
    </w:p>
    <w:p w:rsidR="00F510A6" w:rsidRPr="005B2F04" w:rsidRDefault="00147DF7" w:rsidP="00B52A42">
      <w:pPr>
        <w:numPr>
          <w:ilvl w:val="0"/>
          <w:numId w:val="3"/>
        </w:numPr>
        <w:spacing w:before="240"/>
        <w:jc w:val="both"/>
        <w:rPr>
          <w:rFonts w:ascii="Book Antiqua" w:hAnsi="Book Antiqua" w:cs="Arial"/>
        </w:rPr>
      </w:pPr>
      <w:r w:rsidRPr="005B2F04">
        <w:rPr>
          <w:rFonts w:ascii="Book Antiqua" w:hAnsi="Book Antiqua" w:cs="Arial"/>
        </w:rPr>
        <w:t xml:space="preserve">Finally, the judge had speculated about whether the Appellant could find work in Mogadishu because the Appellant was unskilled and had never worked in Somalia, had no work experience, and limited prospects of securing employment, such that </w:t>
      </w:r>
      <w:r w:rsidR="007822D7" w:rsidRPr="005B2F04">
        <w:rPr>
          <w:rFonts w:ascii="Book Antiqua" w:hAnsi="Book Antiqua" w:cs="Arial"/>
        </w:rPr>
        <w:t xml:space="preserve">he </w:t>
      </w:r>
      <w:r w:rsidRPr="005B2F04">
        <w:rPr>
          <w:rFonts w:ascii="Book Antiqua" w:hAnsi="Book Antiqua" w:cs="Arial"/>
        </w:rPr>
        <w:t xml:space="preserve">was extremely </w:t>
      </w:r>
      <w:r w:rsidR="00480FD7" w:rsidRPr="005B2F04">
        <w:rPr>
          <w:rFonts w:ascii="Book Antiqua" w:hAnsi="Book Antiqua" w:cs="Arial"/>
        </w:rPr>
        <w:t xml:space="preserve">vulnerable </w:t>
      </w:r>
      <w:r w:rsidR="00D87A59" w:rsidRPr="005B2F04">
        <w:rPr>
          <w:rFonts w:ascii="Book Antiqua" w:hAnsi="Book Antiqua" w:cs="Arial"/>
        </w:rPr>
        <w:t xml:space="preserve">as an individual, and all of this demonstrated that there had been a failure to apply “anxious scrutiny” to his particular circumstances.  </w:t>
      </w:r>
    </w:p>
    <w:p w:rsidR="00305191" w:rsidRPr="00305191" w:rsidRDefault="00D87A59" w:rsidP="00B52A42">
      <w:pPr>
        <w:numPr>
          <w:ilvl w:val="0"/>
          <w:numId w:val="3"/>
        </w:numPr>
        <w:spacing w:before="240"/>
        <w:jc w:val="both"/>
        <w:rPr>
          <w:rFonts w:ascii="Book Antiqua" w:hAnsi="Book Antiqua" w:cs="Arial"/>
        </w:rPr>
      </w:pPr>
      <w:r w:rsidRPr="005B2F04">
        <w:rPr>
          <w:rFonts w:ascii="Book Antiqua" w:hAnsi="Book Antiqua" w:cs="Arial"/>
        </w:rPr>
        <w:t xml:space="preserve">For his part, Mr McVeety submitted that what was critical to the Appellant’s decision was the complete rejection </w:t>
      </w:r>
      <w:r w:rsidR="004C71F8" w:rsidRPr="005B2F04">
        <w:rPr>
          <w:rFonts w:ascii="Book Antiqua" w:hAnsi="Book Antiqua" w:cs="Arial"/>
        </w:rPr>
        <w:t xml:space="preserve">of the Appellant’s credibility.  The reality was that only the Appellant’s Bajuni </w:t>
      </w:r>
      <w:r w:rsidR="007A6B57" w:rsidRPr="005B2F04">
        <w:rPr>
          <w:rFonts w:ascii="Book Antiqua" w:hAnsi="Book Antiqua" w:cs="Arial"/>
        </w:rPr>
        <w:t xml:space="preserve">ethnicity was accepted by the judge.  He had entered the UK illegally “in pursuit of economic betterment”, and he had been “unable to disclose the true facts relating to his background, family ties and his life because he realises that if he did </w:t>
      </w:r>
      <w:r w:rsidR="00101B13" w:rsidRPr="005B2F04">
        <w:rPr>
          <w:rFonts w:ascii="Book Antiqua" w:hAnsi="Book Antiqua" w:cs="Arial"/>
        </w:rPr>
        <w:t xml:space="preserve">so his claim </w:t>
      </w:r>
      <w:r w:rsidR="001938F1" w:rsidRPr="005B2F04">
        <w:rPr>
          <w:rFonts w:ascii="Book Antiqua" w:hAnsi="Book Antiqua" w:cs="Arial"/>
        </w:rPr>
        <w:t>would be rejected as it is safe for him to return to Somalia and is</w:t>
      </w:r>
      <w:r w:rsidR="00760A4C" w:rsidRPr="005B2F04">
        <w:rPr>
          <w:rFonts w:ascii="Book Antiqua" w:hAnsi="Book Antiqua" w:cs="Arial"/>
        </w:rPr>
        <w:t xml:space="preserve"> </w:t>
      </w:r>
      <w:r w:rsidR="001938F1" w:rsidRPr="00305191">
        <w:rPr>
          <w:rFonts w:ascii="Book Antiqua" w:hAnsi="Book Antiqua" w:cs="Calibri"/>
        </w:rPr>
        <w:t xml:space="preserve">able to support himself there” (see paragraph 40).  </w:t>
      </w:r>
    </w:p>
    <w:p w:rsidR="00305191" w:rsidRPr="00305191" w:rsidRDefault="001938F1" w:rsidP="00B52A42">
      <w:pPr>
        <w:numPr>
          <w:ilvl w:val="0"/>
          <w:numId w:val="3"/>
        </w:numPr>
        <w:spacing w:before="240"/>
        <w:jc w:val="both"/>
        <w:rPr>
          <w:rFonts w:ascii="Book Antiqua" w:hAnsi="Book Antiqua" w:cs="Arial"/>
        </w:rPr>
      </w:pPr>
      <w:r w:rsidRPr="00305191">
        <w:rPr>
          <w:rFonts w:ascii="Book Antiqua" w:hAnsi="Book Antiqua" w:cs="Calibri"/>
        </w:rPr>
        <w:t>Given that this was the finding of the judge, submitted Mr McVeety, it was implicit in this conclusion that the Appellant was not a person who had indeed lost his family in the manner that he had explained</w:t>
      </w:r>
      <w:r w:rsidR="000040C9" w:rsidRPr="00305191">
        <w:rPr>
          <w:rFonts w:ascii="Book Antiqua" w:hAnsi="Book Antiqua" w:cs="Calibri"/>
        </w:rPr>
        <w:t xml:space="preserve"> and the judge was not satisfied that the Appellant was a person without “family ties”.  He had travelled extensively throughout Europe.  He had been on </w:t>
      </w:r>
      <w:r w:rsidR="00680390" w:rsidRPr="00305191">
        <w:rPr>
          <w:rFonts w:ascii="Book Antiqua" w:hAnsi="Book Antiqua" w:cs="Calibri"/>
        </w:rPr>
        <w:t xml:space="preserve">Ryanair </w:t>
      </w:r>
      <w:r w:rsidR="000040C9" w:rsidRPr="00305191">
        <w:rPr>
          <w:rFonts w:ascii="Book Antiqua" w:hAnsi="Book Antiqua" w:cs="Calibri"/>
        </w:rPr>
        <w:t xml:space="preserve">twice.  </w:t>
      </w:r>
      <w:r w:rsidR="00680390" w:rsidRPr="00305191">
        <w:rPr>
          <w:rFonts w:ascii="Book Antiqua" w:hAnsi="Book Antiqua" w:cs="Calibri"/>
        </w:rPr>
        <w:t xml:space="preserve">He had been working in Europe.  </w:t>
      </w:r>
    </w:p>
    <w:p w:rsidR="00680390" w:rsidRPr="005B2F04" w:rsidRDefault="00680390" w:rsidP="00B52A42">
      <w:pPr>
        <w:numPr>
          <w:ilvl w:val="0"/>
          <w:numId w:val="3"/>
        </w:numPr>
        <w:spacing w:before="240"/>
        <w:jc w:val="both"/>
        <w:rPr>
          <w:rFonts w:ascii="Book Antiqua" w:hAnsi="Book Antiqua" w:cs="Arial"/>
        </w:rPr>
      </w:pPr>
      <w:r w:rsidRPr="00305191">
        <w:rPr>
          <w:rFonts w:ascii="Book Antiqua" w:hAnsi="Book Antiqua" w:cs="Calibri"/>
        </w:rPr>
        <w:t xml:space="preserve">A reliance upon clan membership, by his representatives now, was to no avail, because the very purpose of the country guidance case of </w:t>
      </w:r>
      <w:r w:rsidRPr="00305191">
        <w:rPr>
          <w:rFonts w:ascii="Book Antiqua" w:hAnsi="Book Antiqua" w:cs="Calibri"/>
          <w:b/>
          <w:u w:val="single"/>
        </w:rPr>
        <w:t>MOJ</w:t>
      </w:r>
      <w:r w:rsidRPr="00305191">
        <w:rPr>
          <w:rFonts w:ascii="Book Antiqua" w:hAnsi="Book Antiqua" w:cs="Calibri"/>
        </w:rPr>
        <w:t xml:space="preserve">, was to make it clear that,             </w:t>
      </w:r>
    </w:p>
    <w:p w:rsidR="00D87A59" w:rsidRPr="005B2F04" w:rsidRDefault="00680390" w:rsidP="00680390">
      <w:pPr>
        <w:spacing w:before="240"/>
        <w:ind w:left="1134"/>
        <w:jc w:val="both"/>
        <w:rPr>
          <w:rFonts w:ascii="Book Antiqua" w:hAnsi="Book Antiqua" w:cs="Arial"/>
        </w:rPr>
      </w:pPr>
      <w:r w:rsidRPr="00305191">
        <w:rPr>
          <w:rFonts w:ascii="Book Antiqua" w:hAnsi="Book Antiqua" w:cs="Calibri"/>
        </w:rPr>
        <w:t xml:space="preserve">“The significance of clan membership in Mogadishu has changed.  Clans now provide, potentially, social support mechanisms and assist with access to livelihoods, performing less of a protection function than previously.  There are no clan militias in Mogadishu …” (see paragraph 36 of the determination where the judge refers to this in terms).  </w:t>
      </w:r>
    </w:p>
    <w:p w:rsidR="00E3452C" w:rsidRPr="005B2F04" w:rsidRDefault="00680390" w:rsidP="00B52A42">
      <w:pPr>
        <w:numPr>
          <w:ilvl w:val="0"/>
          <w:numId w:val="3"/>
        </w:numPr>
        <w:spacing w:before="240"/>
        <w:jc w:val="both"/>
        <w:rPr>
          <w:rFonts w:ascii="Book Antiqua" w:hAnsi="Book Antiqua" w:cs="Arial"/>
        </w:rPr>
      </w:pPr>
      <w:r w:rsidRPr="005B2F04">
        <w:rPr>
          <w:rFonts w:ascii="Book Antiqua" w:hAnsi="Book Antiqua" w:cs="Arial"/>
        </w:rPr>
        <w:t xml:space="preserve">Mr McVeety submitted that there was </w:t>
      </w:r>
      <w:r w:rsidR="00FE336A" w:rsidRPr="005B2F04">
        <w:rPr>
          <w:rFonts w:ascii="Book Antiqua" w:hAnsi="Book Antiqua" w:cs="Arial"/>
        </w:rPr>
        <w:t xml:space="preserve">no error of law.  </w:t>
      </w:r>
    </w:p>
    <w:p w:rsidR="00305191" w:rsidRDefault="00FE336A" w:rsidP="00B52A42">
      <w:pPr>
        <w:numPr>
          <w:ilvl w:val="0"/>
          <w:numId w:val="3"/>
        </w:numPr>
        <w:spacing w:before="240"/>
        <w:jc w:val="both"/>
        <w:rPr>
          <w:rFonts w:ascii="Book Antiqua" w:hAnsi="Book Antiqua" w:cs="Arial"/>
        </w:rPr>
      </w:pPr>
      <w:r w:rsidRPr="005B2F04">
        <w:rPr>
          <w:rFonts w:ascii="Book Antiqua" w:hAnsi="Book Antiqua" w:cs="Arial"/>
        </w:rPr>
        <w:t xml:space="preserve">In reply, Ms </w:t>
      </w:r>
      <w:r w:rsidR="002148BF" w:rsidRPr="005B2F04">
        <w:rPr>
          <w:rFonts w:ascii="Book Antiqua" w:hAnsi="Book Antiqua" w:cs="Arial"/>
        </w:rPr>
        <w:t xml:space="preserve">Tabassum </w:t>
      </w:r>
      <w:r w:rsidRPr="005B2F04">
        <w:rPr>
          <w:rFonts w:ascii="Book Antiqua" w:hAnsi="Book Antiqua" w:cs="Arial"/>
        </w:rPr>
        <w:t xml:space="preserve">submitted that much of the credibility attack upon the Appellant was in relation to Section 8 matters relating to the delay in applying </w:t>
      </w:r>
      <w:r w:rsidR="00AD3366" w:rsidRPr="005B2F04">
        <w:rPr>
          <w:rFonts w:ascii="Book Antiqua" w:hAnsi="Book Antiqua" w:cs="Arial"/>
        </w:rPr>
        <w:t xml:space="preserve">for asylum and the travel through other countries.  </w:t>
      </w:r>
    </w:p>
    <w:p w:rsidR="00305191" w:rsidRDefault="00AD3366" w:rsidP="00B52A42">
      <w:pPr>
        <w:numPr>
          <w:ilvl w:val="0"/>
          <w:numId w:val="3"/>
        </w:numPr>
        <w:spacing w:before="240"/>
        <w:jc w:val="both"/>
        <w:rPr>
          <w:rFonts w:ascii="Book Antiqua" w:hAnsi="Book Antiqua" w:cs="Arial"/>
        </w:rPr>
      </w:pPr>
      <w:r w:rsidRPr="005B2F04">
        <w:rPr>
          <w:rFonts w:ascii="Book Antiqua" w:hAnsi="Book Antiqua" w:cs="Arial"/>
        </w:rPr>
        <w:t xml:space="preserve">However, the fact of the Appellant’s Bajuni ethnicity in itself </w:t>
      </w:r>
      <w:r w:rsidR="005C5ACD" w:rsidRPr="005B2F04">
        <w:rPr>
          <w:rFonts w:ascii="Book Antiqua" w:hAnsi="Book Antiqua" w:cs="Arial"/>
        </w:rPr>
        <w:t xml:space="preserve">(which was accepted on the basis of the evidence that the Appellant had given) cannot be insignificant.  </w:t>
      </w:r>
      <w:r w:rsidR="00135601" w:rsidRPr="005B2F04">
        <w:rPr>
          <w:rFonts w:ascii="Book Antiqua" w:hAnsi="Book Antiqua" w:cs="Arial"/>
        </w:rPr>
        <w:t xml:space="preserve">The reality was he had no ties in Mogadishu.  </w:t>
      </w:r>
    </w:p>
    <w:p w:rsidR="00FE336A" w:rsidRPr="005B2F04" w:rsidRDefault="00135601" w:rsidP="00B52A42">
      <w:pPr>
        <w:numPr>
          <w:ilvl w:val="0"/>
          <w:numId w:val="3"/>
        </w:numPr>
        <w:spacing w:before="240"/>
        <w:jc w:val="both"/>
        <w:rPr>
          <w:rFonts w:ascii="Book Antiqua" w:hAnsi="Book Antiqua" w:cs="Arial"/>
        </w:rPr>
      </w:pPr>
      <w:r w:rsidRPr="005B2F04">
        <w:rPr>
          <w:rFonts w:ascii="Book Antiqua" w:hAnsi="Book Antiqua" w:cs="Arial"/>
        </w:rPr>
        <w:t xml:space="preserve">He would therefore not be able to “establish” himself.  He spoke Kibajuni.  He did not speak Somali.  He had no access to financial help.  </w:t>
      </w:r>
    </w:p>
    <w:p w:rsidR="0068095E" w:rsidRDefault="0068095E" w:rsidP="00135601">
      <w:pPr>
        <w:spacing w:before="240"/>
        <w:jc w:val="both"/>
        <w:rPr>
          <w:rFonts w:ascii="Book Antiqua" w:hAnsi="Book Antiqua" w:cs="Arial"/>
          <w:b/>
          <w:u w:val="single"/>
        </w:rPr>
      </w:pPr>
    </w:p>
    <w:p w:rsidR="00135601" w:rsidRPr="005B2F04" w:rsidRDefault="00135601" w:rsidP="00135601">
      <w:pPr>
        <w:spacing w:before="240"/>
        <w:jc w:val="both"/>
        <w:rPr>
          <w:rFonts w:ascii="Book Antiqua" w:hAnsi="Book Antiqua" w:cs="Arial"/>
          <w:b/>
          <w:u w:val="single"/>
        </w:rPr>
      </w:pPr>
      <w:r w:rsidRPr="005B2F04">
        <w:rPr>
          <w:rFonts w:ascii="Book Antiqua" w:hAnsi="Book Antiqua" w:cs="Arial"/>
          <w:b/>
          <w:u w:val="single"/>
        </w:rPr>
        <w:lastRenderedPageBreak/>
        <w:t xml:space="preserve">No Error of Law  </w:t>
      </w:r>
    </w:p>
    <w:p w:rsidR="00305191" w:rsidRPr="00305191" w:rsidRDefault="00135601" w:rsidP="00305191">
      <w:pPr>
        <w:numPr>
          <w:ilvl w:val="0"/>
          <w:numId w:val="3"/>
        </w:numPr>
        <w:spacing w:before="240"/>
        <w:jc w:val="both"/>
        <w:rPr>
          <w:rFonts w:ascii="Book Antiqua" w:hAnsi="Book Antiqua" w:cs="Arial"/>
        </w:rPr>
      </w:pPr>
      <w:r w:rsidRPr="005B2F04">
        <w:rPr>
          <w:rFonts w:ascii="Book Antiqua" w:hAnsi="Book Antiqua" w:cs="Arial"/>
        </w:rPr>
        <w:t xml:space="preserve">I am satisfied that the making of the decision by the judge did not involve </w:t>
      </w:r>
      <w:r w:rsidR="000D7AB4" w:rsidRPr="005B2F04">
        <w:rPr>
          <w:rFonts w:ascii="Book Antiqua" w:hAnsi="Book Antiqua" w:cs="Arial"/>
        </w:rPr>
        <w:t xml:space="preserve">the making </w:t>
      </w:r>
      <w:r w:rsidR="008148BC" w:rsidRPr="005B2F04">
        <w:rPr>
          <w:rFonts w:ascii="Book Antiqua" w:hAnsi="Book Antiqua" w:cs="Arial"/>
        </w:rPr>
        <w:t>of an error on a point of law (see Section 12(1) of TCEA 2007) such that I should set aside the decision and remake the decision.  My reasons are as follows</w:t>
      </w:r>
      <w:r w:rsidR="00407F00" w:rsidRPr="005B2F04">
        <w:rPr>
          <w:rFonts w:ascii="Book Antiqua" w:hAnsi="Book Antiqua" w:cs="Arial"/>
        </w:rPr>
        <w:t xml:space="preserve">.  First, it is not the case that the impugning of the Appellant’s credibility by the judge is based solely upon Section 8 matters.  The judge found in terms that the Appellant was not detained or tortured or that he had refused </w:t>
      </w:r>
      <w:r w:rsidR="00A5143F" w:rsidRPr="005B2F04">
        <w:rPr>
          <w:rFonts w:ascii="Book Antiqua" w:hAnsi="Book Antiqua" w:cs="Arial"/>
        </w:rPr>
        <w:t>to join Al-Shabab or that he was subsequently released upon giving</w:t>
      </w:r>
      <w:r w:rsidR="00305191">
        <w:rPr>
          <w:rFonts w:ascii="Book Antiqua" w:hAnsi="Book Antiqua" w:cs="Arial"/>
        </w:rPr>
        <w:t xml:space="preserve"> them an </w:t>
      </w:r>
      <w:r w:rsidR="00A5143F" w:rsidRPr="00305191">
        <w:rPr>
          <w:rFonts w:ascii="Book Antiqua" w:hAnsi="Book Antiqua" w:cs="Calibri"/>
        </w:rPr>
        <w:t>undertaking (see paragraph 35).  At its core, the Appellant’s p</w:t>
      </w:r>
      <w:r w:rsidR="00305191" w:rsidRPr="00305191">
        <w:rPr>
          <w:rFonts w:ascii="Book Antiqua" w:hAnsi="Book Antiqua" w:cs="Calibri"/>
        </w:rPr>
        <w:t xml:space="preserve">rotection claim was rejected.  </w:t>
      </w:r>
    </w:p>
    <w:p w:rsidR="00305191" w:rsidRPr="00305191" w:rsidRDefault="00305191" w:rsidP="00B52A42">
      <w:pPr>
        <w:numPr>
          <w:ilvl w:val="0"/>
          <w:numId w:val="3"/>
        </w:numPr>
        <w:spacing w:before="240"/>
        <w:jc w:val="both"/>
        <w:rPr>
          <w:rFonts w:ascii="Book Antiqua" w:hAnsi="Book Antiqua" w:cs="Arial"/>
        </w:rPr>
      </w:pPr>
      <w:r w:rsidRPr="00305191">
        <w:rPr>
          <w:rFonts w:ascii="Book Antiqua" w:hAnsi="Book Antiqua" w:cs="Calibri"/>
        </w:rPr>
        <w:t>S</w:t>
      </w:r>
      <w:r w:rsidR="00A5143F" w:rsidRPr="00305191">
        <w:rPr>
          <w:rFonts w:ascii="Book Antiqua" w:hAnsi="Book Antiqua" w:cs="Calibri"/>
        </w:rPr>
        <w:t xml:space="preserve">econd, the Appellant has been a resourceful individual.  The judge found that “the Appellant has been able to support himself for some time and that he has travelled extensively”.  He had the opportunity to seek protection in Italy, Belgium and Germany.  However, he failed to make a claim.  The judge found that “he had worked in Germany” (paragraph 37).  </w:t>
      </w:r>
    </w:p>
    <w:p w:rsidR="00135601" w:rsidRPr="005B2F04" w:rsidRDefault="00A5143F" w:rsidP="00B52A42">
      <w:pPr>
        <w:numPr>
          <w:ilvl w:val="0"/>
          <w:numId w:val="3"/>
        </w:numPr>
        <w:spacing w:before="240"/>
        <w:jc w:val="both"/>
        <w:rPr>
          <w:rFonts w:ascii="Book Antiqua" w:hAnsi="Book Antiqua" w:cs="Arial"/>
        </w:rPr>
      </w:pPr>
      <w:r w:rsidRPr="00305191">
        <w:rPr>
          <w:rFonts w:ascii="Book Antiqua" w:hAnsi="Book Antiqua" w:cs="Calibri"/>
        </w:rPr>
        <w:t xml:space="preserve">Given that </w:t>
      </w:r>
      <w:r w:rsidRPr="00305191">
        <w:rPr>
          <w:rFonts w:ascii="Book Antiqua" w:hAnsi="Book Antiqua" w:cs="Calibri"/>
          <w:b/>
          <w:u w:val="single"/>
        </w:rPr>
        <w:t>MOJ</w:t>
      </w:r>
      <w:r w:rsidRPr="00305191">
        <w:rPr>
          <w:rFonts w:ascii="Book Antiqua" w:hAnsi="Book Antiqua" w:cs="Calibri"/>
        </w:rPr>
        <w:t xml:space="preserve"> makes it clear </w:t>
      </w:r>
      <w:r w:rsidR="003127BA" w:rsidRPr="00305191">
        <w:rPr>
          <w:rFonts w:ascii="Book Antiqua" w:hAnsi="Book Antiqua" w:cs="Calibri"/>
        </w:rPr>
        <w:t>at (</w:t>
      </w:r>
      <w:r w:rsidR="00463DBF" w:rsidRPr="00305191">
        <w:rPr>
          <w:rFonts w:ascii="Book Antiqua" w:hAnsi="Book Antiqua" w:cs="Calibri"/>
        </w:rPr>
        <w:t>1)(</w:t>
      </w:r>
      <w:r w:rsidR="003127BA" w:rsidRPr="00305191">
        <w:rPr>
          <w:rFonts w:ascii="Book Antiqua" w:hAnsi="Book Antiqua" w:cs="Calibri"/>
        </w:rPr>
        <w:t xml:space="preserve">x) that a number of factors need to be taken into account for a person who is returning back after a long </w:t>
      </w:r>
      <w:r w:rsidR="00210CF7" w:rsidRPr="00305191">
        <w:rPr>
          <w:rFonts w:ascii="Book Antiqua" w:hAnsi="Book Antiqua" w:cs="Calibri"/>
        </w:rPr>
        <w:t>absence</w:t>
      </w:r>
      <w:r w:rsidR="001A1B36" w:rsidRPr="00305191">
        <w:rPr>
          <w:rFonts w:ascii="Book Antiqua" w:hAnsi="Book Antiqua" w:cs="Calibri"/>
        </w:rPr>
        <w:t xml:space="preserve">, with no nuclear family or close relatives to turn to, (and the judge refers to this at paragraph 36 of the determination), the conclusion reached by the judge that “the Appellant is unable to disclose the true facts relating to his background, family ties and his life” (at paragraph 40) mean that it cannot for this reason </w:t>
      </w:r>
      <w:r w:rsidR="00376AFD" w:rsidRPr="00305191">
        <w:rPr>
          <w:rFonts w:ascii="Book Antiqua" w:hAnsi="Book Antiqua" w:cs="Calibri"/>
        </w:rPr>
        <w:t>be concluded that the Appellant’s return to Mogadishu is untenable.  This is exactly what the judge decided (at paragraph 40).  Accordingly, there is no error of law</w:t>
      </w:r>
      <w:r w:rsidR="00FF211D" w:rsidRPr="00305191">
        <w:rPr>
          <w:rFonts w:ascii="Book Antiqua" w:hAnsi="Book Antiqua" w:cs="Calibri"/>
        </w:rPr>
        <w:t xml:space="preserve">.  </w:t>
      </w:r>
    </w:p>
    <w:p w:rsidR="009F518E" w:rsidRPr="005B2F04" w:rsidRDefault="009F518E" w:rsidP="00FF211D">
      <w:pPr>
        <w:spacing w:before="240"/>
        <w:jc w:val="both"/>
        <w:rPr>
          <w:rFonts w:ascii="Book Antiqua" w:hAnsi="Book Antiqua" w:cs="Arial"/>
          <w:b/>
          <w:u w:val="single"/>
        </w:rPr>
      </w:pPr>
      <w:r w:rsidRPr="005B2F04">
        <w:rPr>
          <w:rFonts w:ascii="Book Antiqua" w:hAnsi="Book Antiqua" w:cs="Arial"/>
          <w:b/>
          <w:u w:val="single"/>
        </w:rPr>
        <w:t xml:space="preserve">Notice of </w:t>
      </w:r>
      <w:r w:rsidR="00FF211D" w:rsidRPr="005B2F04">
        <w:rPr>
          <w:rFonts w:ascii="Book Antiqua" w:hAnsi="Book Antiqua" w:cs="Arial"/>
          <w:b/>
          <w:u w:val="single"/>
        </w:rPr>
        <w:t xml:space="preserve">Decision       </w:t>
      </w:r>
    </w:p>
    <w:p w:rsidR="00FF211D" w:rsidRPr="005B2F04" w:rsidRDefault="00FF211D" w:rsidP="00FF211D">
      <w:pPr>
        <w:numPr>
          <w:ilvl w:val="0"/>
          <w:numId w:val="3"/>
        </w:numPr>
        <w:spacing w:before="240"/>
        <w:jc w:val="both"/>
        <w:rPr>
          <w:rFonts w:ascii="Book Antiqua" w:hAnsi="Book Antiqua" w:cs="Arial"/>
        </w:rPr>
      </w:pPr>
      <w:r w:rsidRPr="005B2F04">
        <w:rPr>
          <w:rFonts w:ascii="Book Antiqua" w:hAnsi="Book Antiqua" w:cs="Arial"/>
        </w:rPr>
        <w:t xml:space="preserve">There is no material error of law in the original judge’s decision.  The determination shall stand.  </w:t>
      </w:r>
    </w:p>
    <w:p w:rsidR="009F518E" w:rsidRPr="005B2F04" w:rsidRDefault="00A3423B" w:rsidP="00CF71CD">
      <w:pPr>
        <w:numPr>
          <w:ilvl w:val="0"/>
          <w:numId w:val="3"/>
        </w:numPr>
        <w:spacing w:before="240"/>
        <w:jc w:val="both"/>
        <w:rPr>
          <w:rFonts w:ascii="Book Antiqua" w:hAnsi="Book Antiqua" w:cs="Arial"/>
        </w:rPr>
      </w:pPr>
      <w:r w:rsidRPr="005B2F04">
        <w:rPr>
          <w:rFonts w:ascii="Book Antiqua" w:hAnsi="Book Antiqua" w:cs="Arial"/>
        </w:rPr>
        <w:t xml:space="preserve">An anonymity order is made. </w:t>
      </w:r>
      <w:r w:rsidR="000F6745" w:rsidRPr="005B2F04">
        <w:rPr>
          <w:rFonts w:ascii="Book Antiqua" w:hAnsi="Book Antiqua" w:cs="Arial"/>
        </w:rPr>
        <w:t xml:space="preserve"> </w:t>
      </w:r>
    </w:p>
    <w:p w:rsidR="009F518E" w:rsidRPr="005B2F04" w:rsidRDefault="00016A4C" w:rsidP="00CF71CD">
      <w:pPr>
        <w:spacing w:before="240"/>
        <w:jc w:val="both"/>
        <w:rPr>
          <w:rFonts w:ascii="Book Antiqua" w:hAnsi="Book Antiqua" w:cs="Arial"/>
        </w:rPr>
      </w:pPr>
      <w:r w:rsidRPr="005B2F04">
        <w:rPr>
          <w:rFonts w:ascii="Book Antiqua" w:hAnsi="Book Antiqua" w:cs="Arial"/>
          <w:b/>
          <w:u w:val="single"/>
        </w:rPr>
        <w:t>Direction</w:t>
      </w:r>
      <w:r w:rsidR="009F518E" w:rsidRPr="005B2F04">
        <w:rPr>
          <w:rFonts w:ascii="Book Antiqua" w:hAnsi="Book Antiqua" w:cs="Arial"/>
          <w:b/>
          <w:u w:val="single"/>
        </w:rPr>
        <w:t xml:space="preserve"> Regarding Anonymity – Rule 14 of the Tribunal Procedure (Upper Tribunal) Rules 2008</w:t>
      </w:r>
    </w:p>
    <w:p w:rsidR="000369F5" w:rsidRPr="005B2F04" w:rsidRDefault="009F518E" w:rsidP="00305191">
      <w:pPr>
        <w:spacing w:before="240"/>
        <w:jc w:val="both"/>
        <w:rPr>
          <w:rFonts w:ascii="Book Antiqua" w:hAnsi="Book Antiqua" w:cs="Arial"/>
        </w:rPr>
      </w:pPr>
      <w:r w:rsidRPr="005B2F04">
        <w:rPr>
          <w:rFonts w:ascii="Book Antiqua" w:hAnsi="Book Antiqua" w:cs="Arial"/>
        </w:rPr>
        <w:t xml:space="preserve">Unless and </w:t>
      </w:r>
      <w:r w:rsidRPr="005B2F04">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sidRPr="005B2F04">
        <w:rPr>
          <w:rFonts w:ascii="Book Antiqua" w:hAnsi="Book Antiqua"/>
        </w:rPr>
        <w:t>direction</w:t>
      </w:r>
      <w:r w:rsidRPr="005B2F04">
        <w:rPr>
          <w:rFonts w:ascii="Book Antiqua" w:hAnsi="Book Antiqua"/>
        </w:rPr>
        <w:t xml:space="preserve"> applies both to the Appellant and to the Respondent.  Failure to comply with this </w:t>
      </w:r>
      <w:r w:rsidR="00016A4C" w:rsidRPr="005B2F04">
        <w:rPr>
          <w:rFonts w:ascii="Book Antiqua" w:hAnsi="Book Antiqua"/>
        </w:rPr>
        <w:t>direction</w:t>
      </w:r>
      <w:r w:rsidRPr="005B2F04">
        <w:rPr>
          <w:rFonts w:ascii="Book Antiqua" w:hAnsi="Book Antiqua"/>
        </w:rPr>
        <w:t xml:space="preserve"> could lead to contempt of court proceedings.</w:t>
      </w:r>
    </w:p>
    <w:p w:rsidR="000369F5" w:rsidRPr="005B2F04" w:rsidRDefault="000369F5" w:rsidP="000369F5">
      <w:pPr>
        <w:tabs>
          <w:tab w:val="left" w:pos="2520"/>
        </w:tabs>
        <w:jc w:val="both"/>
        <w:rPr>
          <w:rFonts w:ascii="Book Antiqua" w:hAnsi="Book Antiqua" w:cs="Arial"/>
        </w:rPr>
      </w:pPr>
    </w:p>
    <w:p w:rsidR="001F2716" w:rsidRPr="005B2F04" w:rsidRDefault="006E3C90" w:rsidP="000369F5">
      <w:pPr>
        <w:tabs>
          <w:tab w:val="left" w:pos="2520"/>
        </w:tabs>
        <w:jc w:val="both"/>
        <w:rPr>
          <w:rFonts w:ascii="Book Antiqua" w:hAnsi="Book Antiqua" w:cs="Arial"/>
        </w:rPr>
      </w:pPr>
      <w:r w:rsidRPr="005B2F04">
        <w:rPr>
          <w:rFonts w:ascii="Book Antiqua" w:hAnsi="Book Antiqua" w:cs="Arial"/>
        </w:rPr>
        <w:t>Signed</w:t>
      </w:r>
      <w:r w:rsidRPr="005B2F04">
        <w:rPr>
          <w:rFonts w:ascii="Book Antiqua" w:hAnsi="Book Antiqua" w:cs="Arial"/>
        </w:rPr>
        <w:tab/>
      </w:r>
      <w:r w:rsidRPr="005B2F04">
        <w:rPr>
          <w:rFonts w:ascii="Book Antiqua" w:hAnsi="Book Antiqua" w:cs="Arial"/>
        </w:rPr>
        <w:tab/>
      </w:r>
      <w:r w:rsidRPr="005B2F04">
        <w:rPr>
          <w:rFonts w:ascii="Book Antiqua" w:hAnsi="Book Antiqua" w:cs="Arial"/>
        </w:rPr>
        <w:tab/>
      </w:r>
      <w:r w:rsidRPr="005B2F04">
        <w:rPr>
          <w:rFonts w:ascii="Book Antiqua" w:hAnsi="Book Antiqua" w:cs="Arial"/>
        </w:rPr>
        <w:tab/>
      </w:r>
      <w:r w:rsidRPr="005B2F04">
        <w:rPr>
          <w:rFonts w:ascii="Book Antiqua" w:hAnsi="Book Antiqua" w:cs="Arial"/>
        </w:rPr>
        <w:tab/>
      </w:r>
      <w:r w:rsidRPr="005B2F04">
        <w:rPr>
          <w:rFonts w:ascii="Book Antiqua" w:hAnsi="Book Antiqua" w:cs="Arial"/>
        </w:rPr>
        <w:tab/>
      </w:r>
      <w:r w:rsidRPr="005B2F04">
        <w:rPr>
          <w:rFonts w:ascii="Book Antiqua" w:hAnsi="Book Antiqua" w:cs="Arial"/>
        </w:rPr>
        <w:tab/>
      </w:r>
      <w:r w:rsidR="001F2716" w:rsidRPr="005B2F04">
        <w:rPr>
          <w:rFonts w:ascii="Book Antiqua" w:hAnsi="Book Antiqua" w:cs="Arial"/>
        </w:rPr>
        <w:t>Date</w:t>
      </w:r>
      <w:r w:rsidR="00CF71CD" w:rsidRPr="005B2F04">
        <w:rPr>
          <w:rFonts w:ascii="Book Antiqua" w:hAnsi="Book Antiqua" w:cs="Arial"/>
        </w:rPr>
        <w:t xml:space="preserve">d  </w:t>
      </w:r>
    </w:p>
    <w:p w:rsidR="001F2716" w:rsidRPr="005B2F04" w:rsidRDefault="001F2716" w:rsidP="000369F5">
      <w:pPr>
        <w:tabs>
          <w:tab w:val="left" w:pos="2520"/>
        </w:tabs>
        <w:jc w:val="both"/>
        <w:rPr>
          <w:rFonts w:ascii="Book Antiqua" w:hAnsi="Book Antiqua" w:cs="Arial"/>
        </w:rPr>
      </w:pPr>
    </w:p>
    <w:p w:rsidR="001F2716" w:rsidRPr="005B2F04" w:rsidRDefault="001F2716" w:rsidP="000369F5">
      <w:pPr>
        <w:tabs>
          <w:tab w:val="left" w:pos="2520"/>
        </w:tabs>
        <w:jc w:val="both"/>
        <w:rPr>
          <w:rFonts w:ascii="Book Antiqua" w:hAnsi="Book Antiqua" w:cs="Arial"/>
        </w:rPr>
      </w:pPr>
    </w:p>
    <w:p w:rsidR="005B7789" w:rsidRPr="005B2F04" w:rsidRDefault="00255071" w:rsidP="000369F5">
      <w:pPr>
        <w:tabs>
          <w:tab w:val="left" w:pos="2520"/>
        </w:tabs>
        <w:jc w:val="both"/>
        <w:rPr>
          <w:rFonts w:ascii="Book Antiqua" w:hAnsi="Book Antiqua" w:cs="Arial"/>
        </w:rPr>
      </w:pPr>
      <w:r w:rsidRPr="005B2F04">
        <w:rPr>
          <w:rFonts w:ascii="Book Antiqua" w:hAnsi="Book Antiqua" w:cs="Arial"/>
        </w:rPr>
        <w:t xml:space="preserve">Deputy Upper Tribunal Judge </w:t>
      </w:r>
      <w:proofErr w:type="spellStart"/>
      <w:r w:rsidR="007D43F8" w:rsidRPr="005B2F04">
        <w:rPr>
          <w:rFonts w:ascii="Book Antiqua" w:hAnsi="Book Antiqua" w:cs="Arial"/>
        </w:rPr>
        <w:t>Juss</w:t>
      </w:r>
      <w:proofErr w:type="spellEnd"/>
      <w:r w:rsidR="00305191">
        <w:rPr>
          <w:rFonts w:ascii="Book Antiqua" w:hAnsi="Book Antiqua" w:cs="Arial"/>
        </w:rPr>
        <w:tab/>
      </w:r>
      <w:r w:rsidR="00305191">
        <w:rPr>
          <w:rFonts w:ascii="Book Antiqua" w:hAnsi="Book Antiqua" w:cs="Arial"/>
        </w:rPr>
        <w:tab/>
      </w:r>
      <w:r w:rsidR="00305191">
        <w:rPr>
          <w:rFonts w:ascii="Book Antiqua" w:hAnsi="Book Antiqua" w:cs="Arial"/>
        </w:rPr>
        <w:tab/>
      </w:r>
      <w:r w:rsidR="00305191">
        <w:rPr>
          <w:rFonts w:ascii="Book Antiqua" w:hAnsi="Book Antiqua" w:cs="Arial"/>
        </w:rPr>
        <w:tab/>
        <w:t>8</w:t>
      </w:r>
      <w:r w:rsidR="00305191" w:rsidRPr="00305191">
        <w:rPr>
          <w:rFonts w:ascii="Book Antiqua" w:hAnsi="Book Antiqua" w:cs="Arial"/>
          <w:vertAlign w:val="superscript"/>
        </w:rPr>
        <w:t>th</w:t>
      </w:r>
      <w:r w:rsidR="00305191">
        <w:rPr>
          <w:rFonts w:ascii="Book Antiqua" w:hAnsi="Book Antiqua" w:cs="Arial"/>
        </w:rPr>
        <w:t xml:space="preserve"> September 2018 </w:t>
      </w:r>
      <w:r w:rsidR="00CF71CD" w:rsidRPr="005B2F04">
        <w:rPr>
          <w:rFonts w:ascii="Book Antiqua" w:hAnsi="Book Antiqua" w:cs="Arial"/>
        </w:rPr>
        <w:t xml:space="preserve">  </w:t>
      </w:r>
    </w:p>
    <w:p w:rsidR="00C321B5" w:rsidRPr="005B2F04" w:rsidRDefault="00C321B5" w:rsidP="000369F5">
      <w:pPr>
        <w:tabs>
          <w:tab w:val="left" w:pos="2520"/>
        </w:tabs>
        <w:jc w:val="both"/>
        <w:rPr>
          <w:rFonts w:ascii="Book Antiqua" w:hAnsi="Book Antiqua" w:cs="Arial"/>
        </w:rPr>
      </w:pPr>
    </w:p>
    <w:p w:rsidR="004F4238" w:rsidRDefault="004F4238" w:rsidP="000369F5">
      <w:pPr>
        <w:tabs>
          <w:tab w:val="left" w:pos="2520"/>
        </w:tabs>
        <w:jc w:val="both"/>
        <w:rPr>
          <w:rFonts w:ascii="Book Antiqua" w:hAnsi="Book Antiqua" w:cs="Arial"/>
        </w:rPr>
      </w:pPr>
    </w:p>
    <w:sectPr w:rsidR="004F4238"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A0C" w:rsidRDefault="00011A0C">
      <w:r>
        <w:separator/>
      </w:r>
    </w:p>
  </w:endnote>
  <w:endnote w:type="continuationSeparator" w:id="0">
    <w:p w:rsidR="00011A0C" w:rsidRDefault="0001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F00" w:rsidRPr="00F5664C" w:rsidRDefault="00407F0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E211B">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F00" w:rsidRPr="00F5664C" w:rsidRDefault="00407F0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A0C" w:rsidRDefault="00011A0C">
      <w:r>
        <w:separator/>
      </w:r>
    </w:p>
  </w:footnote>
  <w:footnote w:type="continuationSeparator" w:id="0">
    <w:p w:rsidR="00011A0C" w:rsidRDefault="0001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F00" w:rsidRPr="00F5664C" w:rsidRDefault="00407F0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A52F5">
      <w:rPr>
        <w:rFonts w:ascii="Book Antiqua" w:hAnsi="Book Antiqua" w:cs="Arial"/>
        <w:sz w:val="16"/>
        <w:szCs w:val="16"/>
      </w:rPr>
      <w:t>PA/11883/2017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F00" w:rsidRPr="00F5664C" w:rsidRDefault="00407F0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F5"/>
    <w:rsid w:val="00000621"/>
    <w:rsid w:val="000036C2"/>
    <w:rsid w:val="000040C9"/>
    <w:rsid w:val="00011A0C"/>
    <w:rsid w:val="00016A4C"/>
    <w:rsid w:val="00033D3D"/>
    <w:rsid w:val="000369F5"/>
    <w:rsid w:val="00071A7E"/>
    <w:rsid w:val="000746C0"/>
    <w:rsid w:val="00074D1D"/>
    <w:rsid w:val="00077227"/>
    <w:rsid w:val="00092580"/>
    <w:rsid w:val="000A5ADA"/>
    <w:rsid w:val="000D01C9"/>
    <w:rsid w:val="000D5D94"/>
    <w:rsid w:val="000D7AB4"/>
    <w:rsid w:val="000E0CD7"/>
    <w:rsid w:val="000F6745"/>
    <w:rsid w:val="00100035"/>
    <w:rsid w:val="00101B13"/>
    <w:rsid w:val="001038D6"/>
    <w:rsid w:val="00114F8B"/>
    <w:rsid w:val="001165A7"/>
    <w:rsid w:val="00135601"/>
    <w:rsid w:val="00147DF7"/>
    <w:rsid w:val="00151BB7"/>
    <w:rsid w:val="00167D3A"/>
    <w:rsid w:val="00172A08"/>
    <w:rsid w:val="001938F1"/>
    <w:rsid w:val="001A1B36"/>
    <w:rsid w:val="001A1E2C"/>
    <w:rsid w:val="001C07B9"/>
    <w:rsid w:val="001D3F9F"/>
    <w:rsid w:val="001E6D6D"/>
    <w:rsid w:val="001F2716"/>
    <w:rsid w:val="001F3AA7"/>
    <w:rsid w:val="0020133A"/>
    <w:rsid w:val="00202F1C"/>
    <w:rsid w:val="00205EB4"/>
    <w:rsid w:val="00207617"/>
    <w:rsid w:val="00210CF7"/>
    <w:rsid w:val="002148BF"/>
    <w:rsid w:val="00246E34"/>
    <w:rsid w:val="00252C46"/>
    <w:rsid w:val="00255071"/>
    <w:rsid w:val="002553E4"/>
    <w:rsid w:val="00283659"/>
    <w:rsid w:val="00287E07"/>
    <w:rsid w:val="002B1A36"/>
    <w:rsid w:val="002C4E73"/>
    <w:rsid w:val="002D5A7F"/>
    <w:rsid w:val="002D68BF"/>
    <w:rsid w:val="002E75DE"/>
    <w:rsid w:val="0030070F"/>
    <w:rsid w:val="00305191"/>
    <w:rsid w:val="003126F6"/>
    <w:rsid w:val="003127BA"/>
    <w:rsid w:val="00336CBF"/>
    <w:rsid w:val="00341CAA"/>
    <w:rsid w:val="003546C8"/>
    <w:rsid w:val="00357AA3"/>
    <w:rsid w:val="00376AFD"/>
    <w:rsid w:val="003A7CF2"/>
    <w:rsid w:val="003C5CE5"/>
    <w:rsid w:val="003D6467"/>
    <w:rsid w:val="003E267B"/>
    <w:rsid w:val="003E7CD1"/>
    <w:rsid w:val="00402B9E"/>
    <w:rsid w:val="004061C2"/>
    <w:rsid w:val="00407F00"/>
    <w:rsid w:val="0041360E"/>
    <w:rsid w:val="00415110"/>
    <w:rsid w:val="004152FC"/>
    <w:rsid w:val="00423932"/>
    <w:rsid w:val="004249CB"/>
    <w:rsid w:val="0044127D"/>
    <w:rsid w:val="004448DB"/>
    <w:rsid w:val="00446C9A"/>
    <w:rsid w:val="00463DBF"/>
    <w:rsid w:val="004717B9"/>
    <w:rsid w:val="00477193"/>
    <w:rsid w:val="00480FD7"/>
    <w:rsid w:val="004A1848"/>
    <w:rsid w:val="004C71F8"/>
    <w:rsid w:val="004F4238"/>
    <w:rsid w:val="00507FEC"/>
    <w:rsid w:val="00510F0E"/>
    <w:rsid w:val="00512C71"/>
    <w:rsid w:val="00530B04"/>
    <w:rsid w:val="00532E7D"/>
    <w:rsid w:val="00533157"/>
    <w:rsid w:val="00542DB1"/>
    <w:rsid w:val="005479E1"/>
    <w:rsid w:val="005550DB"/>
    <w:rsid w:val="005570FD"/>
    <w:rsid w:val="005575EA"/>
    <w:rsid w:val="0057790C"/>
    <w:rsid w:val="00593795"/>
    <w:rsid w:val="005A75FF"/>
    <w:rsid w:val="005B2F04"/>
    <w:rsid w:val="005B7789"/>
    <w:rsid w:val="005C5ACD"/>
    <w:rsid w:val="005F2B96"/>
    <w:rsid w:val="005F5BBC"/>
    <w:rsid w:val="00636A5F"/>
    <w:rsid w:val="0064079C"/>
    <w:rsid w:val="0065791C"/>
    <w:rsid w:val="006700EE"/>
    <w:rsid w:val="00680390"/>
    <w:rsid w:val="006803E1"/>
    <w:rsid w:val="0068095E"/>
    <w:rsid w:val="00690B8A"/>
    <w:rsid w:val="006A29C1"/>
    <w:rsid w:val="006D1DFA"/>
    <w:rsid w:val="006D506B"/>
    <w:rsid w:val="006E3C90"/>
    <w:rsid w:val="00704B61"/>
    <w:rsid w:val="00707DB1"/>
    <w:rsid w:val="00712894"/>
    <w:rsid w:val="007353BB"/>
    <w:rsid w:val="00742A8D"/>
    <w:rsid w:val="007552A9"/>
    <w:rsid w:val="00760A4C"/>
    <w:rsid w:val="00761858"/>
    <w:rsid w:val="00767D59"/>
    <w:rsid w:val="00776E97"/>
    <w:rsid w:val="00780FD7"/>
    <w:rsid w:val="007822D7"/>
    <w:rsid w:val="0078703A"/>
    <w:rsid w:val="007912AD"/>
    <w:rsid w:val="007A1F28"/>
    <w:rsid w:val="007A6B57"/>
    <w:rsid w:val="007B0824"/>
    <w:rsid w:val="007C21F2"/>
    <w:rsid w:val="007D43F8"/>
    <w:rsid w:val="008148BC"/>
    <w:rsid w:val="008220C0"/>
    <w:rsid w:val="008303B8"/>
    <w:rsid w:val="00831A9C"/>
    <w:rsid w:val="00833DCE"/>
    <w:rsid w:val="0083530A"/>
    <w:rsid w:val="00842418"/>
    <w:rsid w:val="008533CF"/>
    <w:rsid w:val="008634DB"/>
    <w:rsid w:val="00871D34"/>
    <w:rsid w:val="008916CD"/>
    <w:rsid w:val="008B270C"/>
    <w:rsid w:val="008C3D3D"/>
    <w:rsid w:val="008D4131"/>
    <w:rsid w:val="008F1932"/>
    <w:rsid w:val="008F294D"/>
    <w:rsid w:val="0090733A"/>
    <w:rsid w:val="00921062"/>
    <w:rsid w:val="0092618D"/>
    <w:rsid w:val="0093083E"/>
    <w:rsid w:val="00930897"/>
    <w:rsid w:val="0093333B"/>
    <w:rsid w:val="00966ECF"/>
    <w:rsid w:val="00967980"/>
    <w:rsid w:val="009727A3"/>
    <w:rsid w:val="00987774"/>
    <w:rsid w:val="009A11E8"/>
    <w:rsid w:val="009E0C91"/>
    <w:rsid w:val="009E4E62"/>
    <w:rsid w:val="009F4C8F"/>
    <w:rsid w:val="009F518E"/>
    <w:rsid w:val="009F5220"/>
    <w:rsid w:val="009F7C4D"/>
    <w:rsid w:val="00A15234"/>
    <w:rsid w:val="00A201AB"/>
    <w:rsid w:val="00A31C8B"/>
    <w:rsid w:val="00A3423B"/>
    <w:rsid w:val="00A4102B"/>
    <w:rsid w:val="00A5143F"/>
    <w:rsid w:val="00A53C31"/>
    <w:rsid w:val="00A56B08"/>
    <w:rsid w:val="00A75965"/>
    <w:rsid w:val="00A83388"/>
    <w:rsid w:val="00A845DC"/>
    <w:rsid w:val="00A97AEE"/>
    <w:rsid w:val="00AC5CF6"/>
    <w:rsid w:val="00AD3366"/>
    <w:rsid w:val="00B144FA"/>
    <w:rsid w:val="00B16452"/>
    <w:rsid w:val="00B16F58"/>
    <w:rsid w:val="00B30648"/>
    <w:rsid w:val="00B34ACD"/>
    <w:rsid w:val="00B3524D"/>
    <w:rsid w:val="00B35AF6"/>
    <w:rsid w:val="00B35CC3"/>
    <w:rsid w:val="00B40F69"/>
    <w:rsid w:val="00B46616"/>
    <w:rsid w:val="00B507E4"/>
    <w:rsid w:val="00B52A42"/>
    <w:rsid w:val="00B610E3"/>
    <w:rsid w:val="00B61205"/>
    <w:rsid w:val="00B617C4"/>
    <w:rsid w:val="00B626FA"/>
    <w:rsid w:val="00B6375A"/>
    <w:rsid w:val="00B7040A"/>
    <w:rsid w:val="00B964E2"/>
    <w:rsid w:val="00B96FA0"/>
    <w:rsid w:val="00BA52F5"/>
    <w:rsid w:val="00BB5838"/>
    <w:rsid w:val="00BC42D3"/>
    <w:rsid w:val="00BC5D1D"/>
    <w:rsid w:val="00BD4196"/>
    <w:rsid w:val="00BF22CA"/>
    <w:rsid w:val="00C26032"/>
    <w:rsid w:val="00C265B0"/>
    <w:rsid w:val="00C321B5"/>
    <w:rsid w:val="00C345E1"/>
    <w:rsid w:val="00C36A07"/>
    <w:rsid w:val="00C649F0"/>
    <w:rsid w:val="00C83237"/>
    <w:rsid w:val="00C977BA"/>
    <w:rsid w:val="00CB6E35"/>
    <w:rsid w:val="00CE1A46"/>
    <w:rsid w:val="00CE26B2"/>
    <w:rsid w:val="00CE44DD"/>
    <w:rsid w:val="00CE6AFA"/>
    <w:rsid w:val="00CF01A8"/>
    <w:rsid w:val="00CF253F"/>
    <w:rsid w:val="00CF2555"/>
    <w:rsid w:val="00CF56B4"/>
    <w:rsid w:val="00CF71CD"/>
    <w:rsid w:val="00D16746"/>
    <w:rsid w:val="00D20F09"/>
    <w:rsid w:val="00D22636"/>
    <w:rsid w:val="00D22FA8"/>
    <w:rsid w:val="00D24A9C"/>
    <w:rsid w:val="00D273D5"/>
    <w:rsid w:val="00D40FD9"/>
    <w:rsid w:val="00D53769"/>
    <w:rsid w:val="00D562ED"/>
    <w:rsid w:val="00D63446"/>
    <w:rsid w:val="00D647F9"/>
    <w:rsid w:val="00D65912"/>
    <w:rsid w:val="00D66D92"/>
    <w:rsid w:val="00D85C13"/>
    <w:rsid w:val="00D87A59"/>
    <w:rsid w:val="00D909F4"/>
    <w:rsid w:val="00D91BE3"/>
    <w:rsid w:val="00D94AFC"/>
    <w:rsid w:val="00DB70AE"/>
    <w:rsid w:val="00DB7231"/>
    <w:rsid w:val="00DD5071"/>
    <w:rsid w:val="00DD5C39"/>
    <w:rsid w:val="00DE211B"/>
    <w:rsid w:val="00DE26AF"/>
    <w:rsid w:val="00DE7DB7"/>
    <w:rsid w:val="00E00A0A"/>
    <w:rsid w:val="00E075E3"/>
    <w:rsid w:val="00E07F57"/>
    <w:rsid w:val="00E1040E"/>
    <w:rsid w:val="00E3452C"/>
    <w:rsid w:val="00E36BBD"/>
    <w:rsid w:val="00E50BCE"/>
    <w:rsid w:val="00E61292"/>
    <w:rsid w:val="00E76309"/>
    <w:rsid w:val="00E77C4D"/>
    <w:rsid w:val="00E81D01"/>
    <w:rsid w:val="00EA161D"/>
    <w:rsid w:val="00EA5856"/>
    <w:rsid w:val="00EE45D8"/>
    <w:rsid w:val="00F004CD"/>
    <w:rsid w:val="00F161C7"/>
    <w:rsid w:val="00F22A22"/>
    <w:rsid w:val="00F22EDA"/>
    <w:rsid w:val="00F307CD"/>
    <w:rsid w:val="00F3224D"/>
    <w:rsid w:val="00F33E0E"/>
    <w:rsid w:val="00F510A6"/>
    <w:rsid w:val="00F53574"/>
    <w:rsid w:val="00F541B5"/>
    <w:rsid w:val="00F54B32"/>
    <w:rsid w:val="00F5664C"/>
    <w:rsid w:val="00FA3068"/>
    <w:rsid w:val="00FB7E80"/>
    <w:rsid w:val="00FE336A"/>
    <w:rsid w:val="00FF2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4D45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3BE3-284E-4D93-8FC7-021AC460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1926</Words>
  <Characters>9535</Characters>
  <Application>Microsoft Office Word</Application>
  <DocSecurity>0</DocSecurity>
  <Lines>79</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2018-10-08T11:47:00Z</dcterms:created>
  <dcterms:modified xsi:type="dcterms:W3CDTF">2018-10-08T11:47:00Z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