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7703" w:rsidRPr="00584280" w:rsidRDefault="00925D00" w:rsidP="00F97703">
      <w:pPr>
        <w:jc w:val="center"/>
        <w:rPr>
          <w:rFonts w:ascii="Book Antiqua" w:hAnsi="Book Antiqua" w:cs="Arial"/>
          <w:color w:val="000000"/>
          <w:sz w:val="16"/>
          <w:szCs w:val="16"/>
        </w:rPr>
      </w:pPr>
      <w:r w:rsidRPr="00584280">
        <w:rPr>
          <w:noProof/>
          <w:sz w:val="16"/>
          <w:szCs w:val="16"/>
        </w:rPr>
        <w:drawing>
          <wp:inline distT="0" distB="0" distL="0" distR="0">
            <wp:extent cx="1501140" cy="113538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501140" cy="1135380"/>
                    </a:xfrm>
                    <a:prstGeom prst="rect">
                      <a:avLst/>
                    </a:prstGeom>
                    <a:noFill/>
                    <a:ln>
                      <a:noFill/>
                    </a:ln>
                  </pic:spPr>
                </pic:pic>
              </a:graphicData>
            </a:graphic>
          </wp:inline>
        </w:drawing>
      </w:r>
    </w:p>
    <w:p w:rsidR="00584280" w:rsidRPr="00584280" w:rsidRDefault="00584280" w:rsidP="00584280">
      <w:pPr>
        <w:rPr>
          <w:rFonts w:ascii="Book Antiqua" w:hAnsi="Book Antiqua" w:cs="Arial"/>
          <w:color w:val="000000"/>
          <w:sz w:val="16"/>
          <w:szCs w:val="16"/>
        </w:rPr>
      </w:pPr>
    </w:p>
    <w:p w:rsidR="00F97703" w:rsidRPr="00D32B8A" w:rsidRDefault="00611011" w:rsidP="00B467EA">
      <w:pPr>
        <w:tabs>
          <w:tab w:val="right" w:pos="9720"/>
        </w:tabs>
        <w:ind w:right="-82"/>
        <w:outlineLvl w:val="0"/>
        <w:rPr>
          <w:rFonts w:ascii="Book Antiqua" w:hAnsi="Book Antiqua" w:cs="Arial"/>
          <w:b/>
          <w:color w:val="000000"/>
        </w:rPr>
      </w:pPr>
      <w:r w:rsidRPr="00D32B8A">
        <w:rPr>
          <w:rFonts w:ascii="Book Antiqua" w:hAnsi="Book Antiqua" w:cs="Arial"/>
          <w:b/>
          <w:color w:val="000000"/>
        </w:rPr>
        <w:t>Upper</w:t>
      </w:r>
      <w:r w:rsidR="00F97703" w:rsidRPr="00D32B8A">
        <w:rPr>
          <w:rFonts w:ascii="Book Antiqua" w:hAnsi="Book Antiqua" w:cs="Arial"/>
          <w:b/>
          <w:color w:val="000000"/>
        </w:rPr>
        <w:t xml:space="preserve"> Tribunal </w:t>
      </w:r>
    </w:p>
    <w:p w:rsidR="003446EF" w:rsidRDefault="00F97703" w:rsidP="003446EF">
      <w:pPr>
        <w:tabs>
          <w:tab w:val="right" w:pos="9720"/>
        </w:tabs>
        <w:ind w:right="-82"/>
        <w:jc w:val="right"/>
        <w:rPr>
          <w:rFonts w:ascii="Book Antiqua" w:hAnsi="Book Antiqua" w:cs="Arial"/>
        </w:rPr>
      </w:pPr>
      <w:r w:rsidRPr="00D32B8A">
        <w:rPr>
          <w:rFonts w:ascii="Book Antiqua" w:hAnsi="Book Antiqua" w:cs="Arial"/>
          <w:b/>
          <w:color w:val="000000"/>
        </w:rPr>
        <w:t>(Immigration and Asylum Chamber)</w:t>
      </w:r>
      <w:r w:rsidR="00DB70AE" w:rsidRPr="00D32B8A">
        <w:rPr>
          <w:rFonts w:ascii="Book Antiqua" w:hAnsi="Book Antiqua" w:cs="Arial"/>
          <w:b/>
          <w:color w:val="000000"/>
        </w:rPr>
        <w:tab/>
      </w:r>
      <w:r w:rsidR="00B3524D" w:rsidRPr="00D32B8A">
        <w:rPr>
          <w:rFonts w:ascii="Book Antiqua" w:hAnsi="Book Antiqua" w:cs="Arial"/>
          <w:color w:val="000000"/>
        </w:rPr>
        <w:t>Appeal Number</w:t>
      </w:r>
      <w:r w:rsidR="00D53769" w:rsidRPr="00D32B8A">
        <w:rPr>
          <w:rFonts w:ascii="Book Antiqua" w:hAnsi="Book Antiqua" w:cs="Arial"/>
          <w:color w:val="000000"/>
        </w:rPr>
        <w:t>:</w:t>
      </w:r>
      <w:r w:rsidR="00B3524D" w:rsidRPr="00D32B8A">
        <w:rPr>
          <w:rFonts w:ascii="Book Antiqua" w:hAnsi="Book Antiqua" w:cs="Arial"/>
          <w:color w:val="000000"/>
        </w:rPr>
        <w:t xml:space="preserve"> </w:t>
      </w:r>
      <w:bookmarkStart w:id="0" w:name="_GoBack"/>
      <w:r w:rsidR="003E392C">
        <w:rPr>
          <w:rFonts w:ascii="Book Antiqua" w:hAnsi="Book Antiqua" w:cs="Arial"/>
        </w:rPr>
        <w:t>PA/11942/2016</w:t>
      </w:r>
      <w:bookmarkEnd w:id="0"/>
    </w:p>
    <w:p w:rsidR="00E533BA" w:rsidRPr="00D32B8A" w:rsidRDefault="00E533BA" w:rsidP="003446EF">
      <w:pPr>
        <w:tabs>
          <w:tab w:val="right" w:pos="9720"/>
        </w:tabs>
        <w:ind w:right="-82"/>
        <w:jc w:val="right"/>
        <w:rPr>
          <w:rFonts w:ascii="Book Antiqua" w:hAnsi="Book Antiqua" w:cs="Arial"/>
          <w:color w:val="000000"/>
        </w:rPr>
      </w:pPr>
    </w:p>
    <w:p w:rsidR="00584280" w:rsidRPr="00D32B8A" w:rsidRDefault="00584280" w:rsidP="00584280">
      <w:pPr>
        <w:jc w:val="center"/>
        <w:rPr>
          <w:rFonts w:ascii="Book Antiqua" w:hAnsi="Book Antiqua" w:cs="Arial"/>
          <w:color w:val="000000"/>
        </w:rPr>
      </w:pPr>
    </w:p>
    <w:p w:rsidR="00584280" w:rsidRPr="00D32B8A" w:rsidRDefault="00584280" w:rsidP="00584280">
      <w:pPr>
        <w:jc w:val="center"/>
        <w:outlineLvl w:val="0"/>
        <w:rPr>
          <w:rFonts w:ascii="Book Antiqua" w:hAnsi="Book Antiqua" w:cs="Arial"/>
          <w:b/>
          <w:color w:val="000000"/>
          <w:u w:val="single"/>
        </w:rPr>
      </w:pPr>
      <w:r w:rsidRPr="00D32B8A">
        <w:rPr>
          <w:rFonts w:ascii="Book Antiqua" w:hAnsi="Book Antiqua" w:cs="Arial"/>
          <w:b/>
          <w:color w:val="000000"/>
          <w:u w:val="single"/>
        </w:rPr>
        <w:t>THE IMMIGRATION ACTS</w:t>
      </w:r>
    </w:p>
    <w:p w:rsidR="00584280" w:rsidRPr="00D32B8A" w:rsidRDefault="00584280" w:rsidP="00584280">
      <w:pPr>
        <w:jc w:val="center"/>
        <w:rPr>
          <w:rFonts w:ascii="Book Antiqua" w:hAnsi="Book Antiqua" w:cs="Arial"/>
          <w:b/>
          <w:u w:val="single"/>
        </w:rPr>
      </w:pPr>
    </w:p>
    <w:p w:rsidR="00C345E1" w:rsidRDefault="00C345E1" w:rsidP="00C345E1">
      <w:pPr>
        <w:jc w:val="center"/>
        <w:rPr>
          <w:rFonts w:ascii="Book Antiqua" w:hAnsi="Book Antiqua" w:cs="Arial"/>
          <w:color w:val="000000"/>
        </w:rPr>
      </w:pPr>
    </w:p>
    <w:tbl>
      <w:tblPr>
        <w:tblW w:w="0" w:type="auto"/>
        <w:tblLook w:val="01E0" w:firstRow="1" w:lastRow="1" w:firstColumn="1" w:lastColumn="1" w:noHBand="0" w:noVBand="0"/>
      </w:tblPr>
      <w:tblGrid>
        <w:gridCol w:w="5917"/>
        <w:gridCol w:w="3721"/>
      </w:tblGrid>
      <w:tr w:rsidR="00E533BA" w:rsidRPr="003C5723" w:rsidTr="003C5723">
        <w:tc>
          <w:tcPr>
            <w:tcW w:w="6048" w:type="dxa"/>
            <w:shd w:val="clear" w:color="auto" w:fill="auto"/>
          </w:tcPr>
          <w:p w:rsidR="00E533BA" w:rsidRPr="003C5723" w:rsidRDefault="00E533BA" w:rsidP="003C5723">
            <w:pPr>
              <w:jc w:val="both"/>
              <w:rPr>
                <w:rFonts w:ascii="Book Antiqua" w:hAnsi="Book Antiqua" w:cs="Arial"/>
                <w:b/>
              </w:rPr>
            </w:pPr>
            <w:r w:rsidRPr="003C5723">
              <w:rPr>
                <w:rFonts w:ascii="Book Antiqua" w:hAnsi="Book Antiqua" w:cs="Arial"/>
                <w:b/>
              </w:rPr>
              <w:t xml:space="preserve">Heard at </w:t>
            </w:r>
            <w:r w:rsidR="003E392C">
              <w:rPr>
                <w:rFonts w:ascii="Book Antiqua" w:hAnsi="Book Antiqua" w:cs="Arial"/>
                <w:b/>
              </w:rPr>
              <w:t>Liverpool</w:t>
            </w:r>
          </w:p>
        </w:tc>
        <w:tc>
          <w:tcPr>
            <w:tcW w:w="3780" w:type="dxa"/>
            <w:shd w:val="clear" w:color="auto" w:fill="auto"/>
          </w:tcPr>
          <w:p w:rsidR="00E533BA" w:rsidRPr="003C5723" w:rsidRDefault="00E533BA" w:rsidP="003C5723">
            <w:pPr>
              <w:jc w:val="both"/>
              <w:rPr>
                <w:rFonts w:ascii="Book Antiqua" w:hAnsi="Book Antiqua" w:cs="Arial"/>
                <w:b/>
                <w:color w:val="000000"/>
              </w:rPr>
            </w:pPr>
            <w:r w:rsidRPr="003C5723">
              <w:rPr>
                <w:rFonts w:ascii="Book Antiqua" w:hAnsi="Book Antiqua" w:cs="Arial"/>
                <w:b/>
                <w:color w:val="000000"/>
              </w:rPr>
              <w:t>De</w:t>
            </w:r>
            <w:r w:rsidR="003E392C">
              <w:rPr>
                <w:rFonts w:ascii="Book Antiqua" w:hAnsi="Book Antiqua" w:cs="Arial"/>
                <w:b/>
                <w:color w:val="000000"/>
              </w:rPr>
              <w:t>cision p</w:t>
            </w:r>
            <w:r w:rsidRPr="003C5723">
              <w:rPr>
                <w:rFonts w:ascii="Book Antiqua" w:hAnsi="Book Antiqua" w:cs="Arial"/>
                <w:b/>
                <w:color w:val="000000"/>
              </w:rPr>
              <w:t>romulgated</w:t>
            </w:r>
          </w:p>
        </w:tc>
      </w:tr>
      <w:tr w:rsidR="00E533BA" w:rsidRPr="003C5723" w:rsidTr="003C5723">
        <w:tc>
          <w:tcPr>
            <w:tcW w:w="6048" w:type="dxa"/>
            <w:shd w:val="clear" w:color="auto" w:fill="auto"/>
          </w:tcPr>
          <w:p w:rsidR="00E533BA" w:rsidRPr="003C5723" w:rsidRDefault="00E533BA" w:rsidP="003C5723">
            <w:pPr>
              <w:jc w:val="both"/>
              <w:rPr>
                <w:rFonts w:ascii="Book Antiqua" w:hAnsi="Book Antiqua" w:cs="Arial"/>
                <w:b/>
              </w:rPr>
            </w:pPr>
            <w:r w:rsidRPr="003C5723">
              <w:rPr>
                <w:rFonts w:ascii="Book Antiqua" w:hAnsi="Book Antiqua" w:cs="Arial"/>
                <w:b/>
              </w:rPr>
              <w:t xml:space="preserve">on </w:t>
            </w:r>
            <w:r w:rsidR="003E392C">
              <w:rPr>
                <w:rFonts w:ascii="Book Antiqua" w:hAnsi="Book Antiqua" w:cs="Arial"/>
                <w:b/>
              </w:rPr>
              <w:t>13 March 2018</w:t>
            </w:r>
          </w:p>
        </w:tc>
        <w:tc>
          <w:tcPr>
            <w:tcW w:w="3780" w:type="dxa"/>
            <w:shd w:val="clear" w:color="auto" w:fill="auto"/>
          </w:tcPr>
          <w:p w:rsidR="00E533BA" w:rsidRPr="003C5723" w:rsidRDefault="003A6B06" w:rsidP="003C5723">
            <w:pPr>
              <w:jc w:val="both"/>
              <w:rPr>
                <w:rFonts w:ascii="Book Antiqua" w:hAnsi="Book Antiqua" w:cs="Arial"/>
                <w:b/>
              </w:rPr>
            </w:pPr>
            <w:r>
              <w:rPr>
                <w:rFonts w:ascii="Book Antiqua" w:hAnsi="Book Antiqua" w:cs="Arial"/>
                <w:b/>
              </w:rPr>
              <w:t>on 16 May 2018</w:t>
            </w:r>
          </w:p>
        </w:tc>
      </w:tr>
    </w:tbl>
    <w:p w:rsidR="00E533BA" w:rsidRPr="00D32B8A" w:rsidRDefault="00E533BA" w:rsidP="00C345E1">
      <w:pPr>
        <w:jc w:val="center"/>
        <w:rPr>
          <w:rFonts w:ascii="Book Antiqua" w:hAnsi="Book Antiqua" w:cs="Arial"/>
          <w:color w:val="000000"/>
        </w:rPr>
      </w:pPr>
    </w:p>
    <w:p w:rsidR="00A15234" w:rsidRPr="00D32B8A" w:rsidRDefault="00A15234" w:rsidP="00A15234">
      <w:pPr>
        <w:jc w:val="center"/>
        <w:rPr>
          <w:rFonts w:ascii="Book Antiqua" w:hAnsi="Book Antiqua" w:cs="Arial"/>
        </w:rPr>
      </w:pPr>
    </w:p>
    <w:p w:rsidR="00A15234" w:rsidRPr="00D32B8A" w:rsidRDefault="00207617" w:rsidP="00B467EA">
      <w:pPr>
        <w:jc w:val="center"/>
        <w:outlineLvl w:val="0"/>
        <w:rPr>
          <w:rFonts w:ascii="Book Antiqua" w:hAnsi="Book Antiqua" w:cs="Arial"/>
          <w:b/>
        </w:rPr>
      </w:pPr>
      <w:r w:rsidRPr="00D32B8A">
        <w:rPr>
          <w:rFonts w:ascii="Book Antiqua" w:hAnsi="Book Antiqua" w:cs="Arial"/>
          <w:b/>
        </w:rPr>
        <w:t>Befo</w:t>
      </w:r>
      <w:r w:rsidR="00A15234" w:rsidRPr="00D32B8A">
        <w:rPr>
          <w:rFonts w:ascii="Book Antiqua" w:hAnsi="Book Antiqua" w:cs="Arial"/>
          <w:b/>
        </w:rPr>
        <w:t>re</w:t>
      </w:r>
    </w:p>
    <w:p w:rsidR="00A15234" w:rsidRPr="00D32B8A" w:rsidRDefault="00A15234" w:rsidP="00A15234">
      <w:pPr>
        <w:jc w:val="center"/>
        <w:rPr>
          <w:rFonts w:ascii="Book Antiqua" w:hAnsi="Book Antiqua" w:cs="Arial"/>
          <w:b/>
        </w:rPr>
      </w:pPr>
    </w:p>
    <w:p w:rsidR="001B186A" w:rsidRPr="00D32B8A" w:rsidRDefault="0080410F" w:rsidP="003446EF">
      <w:pPr>
        <w:jc w:val="center"/>
        <w:outlineLvl w:val="0"/>
        <w:rPr>
          <w:rFonts w:ascii="Book Antiqua" w:hAnsi="Book Antiqua" w:cs="Arial"/>
          <w:b/>
          <w:color w:val="000000"/>
        </w:rPr>
      </w:pPr>
      <w:r>
        <w:rPr>
          <w:rFonts w:ascii="Book Antiqua" w:hAnsi="Book Antiqua" w:cs="Arial"/>
          <w:b/>
          <w:color w:val="000000"/>
        </w:rPr>
        <w:t xml:space="preserve">UPPER TRIBUNAL </w:t>
      </w:r>
      <w:r w:rsidR="001B2F75" w:rsidRPr="00D32B8A">
        <w:rPr>
          <w:rFonts w:ascii="Book Antiqua" w:hAnsi="Book Antiqua" w:cs="Arial"/>
          <w:b/>
          <w:color w:val="000000"/>
        </w:rPr>
        <w:t>JUDGE</w:t>
      </w:r>
      <w:r w:rsidR="003446EF">
        <w:rPr>
          <w:rFonts w:ascii="Book Antiqua" w:hAnsi="Book Antiqua" w:cs="Arial"/>
          <w:b/>
          <w:color w:val="000000"/>
        </w:rPr>
        <w:t xml:space="preserve"> HANSON</w:t>
      </w:r>
    </w:p>
    <w:p w:rsidR="001B186A" w:rsidRPr="00D32B8A" w:rsidRDefault="001B186A" w:rsidP="00A15234">
      <w:pPr>
        <w:jc w:val="center"/>
        <w:rPr>
          <w:rFonts w:ascii="Book Antiqua" w:hAnsi="Book Antiqua" w:cs="Arial"/>
          <w:b/>
          <w:color w:val="000000"/>
        </w:rPr>
      </w:pPr>
    </w:p>
    <w:p w:rsidR="00D20757" w:rsidRPr="00D32B8A" w:rsidRDefault="00D20757" w:rsidP="00A15234">
      <w:pPr>
        <w:jc w:val="center"/>
        <w:rPr>
          <w:rFonts w:ascii="Book Antiqua" w:hAnsi="Book Antiqua" w:cs="Arial"/>
          <w:b/>
        </w:rPr>
      </w:pPr>
    </w:p>
    <w:p w:rsidR="00A845DC" w:rsidRDefault="00A845DC" w:rsidP="00B467EA">
      <w:pPr>
        <w:jc w:val="center"/>
        <w:outlineLvl w:val="0"/>
        <w:rPr>
          <w:rFonts w:ascii="Book Antiqua" w:hAnsi="Book Antiqua" w:cs="Arial"/>
          <w:b/>
        </w:rPr>
      </w:pPr>
      <w:r w:rsidRPr="00D32B8A">
        <w:rPr>
          <w:rFonts w:ascii="Book Antiqua" w:hAnsi="Book Antiqua" w:cs="Arial"/>
          <w:b/>
        </w:rPr>
        <w:t>Between</w:t>
      </w:r>
    </w:p>
    <w:p w:rsidR="003E392C" w:rsidRPr="00D32B8A" w:rsidRDefault="003E392C" w:rsidP="00B467EA">
      <w:pPr>
        <w:jc w:val="center"/>
        <w:outlineLvl w:val="0"/>
        <w:rPr>
          <w:rFonts w:ascii="Book Antiqua" w:hAnsi="Book Antiqua" w:cs="Arial"/>
          <w:b/>
        </w:rPr>
      </w:pPr>
    </w:p>
    <w:p w:rsidR="00A845DC" w:rsidRDefault="003E392C" w:rsidP="00A15234">
      <w:pPr>
        <w:jc w:val="center"/>
        <w:rPr>
          <w:rFonts w:ascii="Book Antiqua" w:hAnsi="Book Antiqua" w:cs="Arial"/>
          <w:b/>
        </w:rPr>
      </w:pPr>
      <w:r>
        <w:rPr>
          <w:rFonts w:ascii="Book Antiqua" w:hAnsi="Book Antiqua" w:cs="Arial"/>
          <w:b/>
        </w:rPr>
        <w:t>SANGER NASERY</w:t>
      </w:r>
    </w:p>
    <w:p w:rsidR="003E392C" w:rsidRPr="003E392C" w:rsidRDefault="003E392C" w:rsidP="00A15234">
      <w:pPr>
        <w:jc w:val="center"/>
        <w:rPr>
          <w:rFonts w:ascii="Book Antiqua" w:hAnsi="Book Antiqua" w:cs="Arial"/>
          <w:b/>
        </w:rPr>
      </w:pPr>
      <w:r>
        <w:rPr>
          <w:rFonts w:ascii="Book Antiqua" w:hAnsi="Book Antiqua" w:cs="Arial"/>
          <w:b/>
        </w:rPr>
        <w:t>(anonymity direction not made)</w:t>
      </w:r>
    </w:p>
    <w:p w:rsidR="00704B61" w:rsidRPr="00D32B8A" w:rsidRDefault="00704B61" w:rsidP="00B467EA">
      <w:pPr>
        <w:jc w:val="right"/>
        <w:outlineLvl w:val="0"/>
        <w:rPr>
          <w:rFonts w:ascii="Book Antiqua" w:hAnsi="Book Antiqua" w:cs="Arial"/>
          <w:u w:val="single"/>
        </w:rPr>
      </w:pPr>
      <w:r w:rsidRPr="00D32B8A">
        <w:rPr>
          <w:rFonts w:ascii="Book Antiqua" w:hAnsi="Book Antiqua" w:cs="Arial"/>
          <w:u w:val="single"/>
        </w:rPr>
        <w:t>Appellant</w:t>
      </w:r>
    </w:p>
    <w:p w:rsidR="00704B61" w:rsidRPr="00D32B8A" w:rsidRDefault="00DD5071" w:rsidP="00704B61">
      <w:pPr>
        <w:jc w:val="center"/>
        <w:rPr>
          <w:rFonts w:ascii="Book Antiqua" w:hAnsi="Book Antiqua" w:cs="Arial"/>
          <w:b/>
        </w:rPr>
      </w:pPr>
      <w:r w:rsidRPr="00D32B8A">
        <w:rPr>
          <w:rFonts w:ascii="Book Antiqua" w:hAnsi="Book Antiqua" w:cs="Arial"/>
          <w:b/>
        </w:rPr>
        <w:t>and</w:t>
      </w:r>
    </w:p>
    <w:p w:rsidR="00DD5071" w:rsidRPr="00D32B8A" w:rsidRDefault="00DD5071" w:rsidP="00704B61">
      <w:pPr>
        <w:jc w:val="center"/>
        <w:rPr>
          <w:rFonts w:ascii="Book Antiqua" w:hAnsi="Book Antiqua" w:cs="Arial"/>
          <w:b/>
        </w:rPr>
      </w:pPr>
    </w:p>
    <w:p w:rsidR="00DD5071" w:rsidRPr="00D32B8A" w:rsidRDefault="00DD5071" w:rsidP="00B467EA">
      <w:pPr>
        <w:jc w:val="center"/>
        <w:outlineLvl w:val="0"/>
        <w:rPr>
          <w:rFonts w:ascii="Book Antiqua" w:hAnsi="Book Antiqua" w:cs="Arial"/>
          <w:b/>
        </w:rPr>
      </w:pPr>
      <w:r w:rsidRPr="00D32B8A">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D32B8A">
        <w:rPr>
          <w:rFonts w:ascii="Book Antiqua" w:hAnsi="Book Antiqua" w:cs="Arial"/>
          <w:b/>
        </w:rPr>
        <w:instrText xml:space="preserve"> FORMTEXT </w:instrText>
      </w:r>
      <w:r w:rsidRPr="00D32B8A">
        <w:rPr>
          <w:rFonts w:ascii="Book Antiqua" w:hAnsi="Book Antiqua" w:cs="Arial"/>
          <w:b/>
        </w:rPr>
      </w:r>
      <w:r w:rsidRPr="00D32B8A">
        <w:rPr>
          <w:rFonts w:ascii="Book Antiqua" w:hAnsi="Book Antiqua" w:cs="Arial"/>
          <w:b/>
        </w:rPr>
        <w:fldChar w:fldCharType="separate"/>
      </w:r>
      <w:r w:rsidRPr="00D32B8A">
        <w:rPr>
          <w:rFonts w:ascii="Book Antiqua" w:hAnsi="Book Antiqua" w:cs="Arial"/>
          <w:b/>
          <w:noProof/>
        </w:rPr>
        <w:t>THE SECRETARY OF STATE FOR THE HOME DEPARTMENT</w:t>
      </w:r>
      <w:r w:rsidRPr="00D32B8A">
        <w:rPr>
          <w:rFonts w:ascii="Book Antiqua" w:hAnsi="Book Antiqua" w:cs="Arial"/>
          <w:b/>
        </w:rPr>
        <w:fldChar w:fldCharType="end"/>
      </w:r>
      <w:bookmarkEnd w:id="1"/>
    </w:p>
    <w:p w:rsidR="00DD5071" w:rsidRPr="00D32B8A" w:rsidRDefault="00DD5071" w:rsidP="00B467EA">
      <w:pPr>
        <w:jc w:val="right"/>
        <w:outlineLvl w:val="0"/>
        <w:rPr>
          <w:rFonts w:ascii="Book Antiqua" w:hAnsi="Book Antiqua" w:cs="Arial"/>
          <w:u w:val="single"/>
        </w:rPr>
      </w:pPr>
      <w:r w:rsidRPr="00D32B8A">
        <w:rPr>
          <w:rFonts w:ascii="Book Antiqua" w:hAnsi="Book Antiqua" w:cs="Arial"/>
          <w:u w:val="single"/>
        </w:rPr>
        <w:t>Respondent</w:t>
      </w:r>
    </w:p>
    <w:p w:rsidR="00DD5071" w:rsidRDefault="00DD5071" w:rsidP="00DD5071">
      <w:pPr>
        <w:rPr>
          <w:rFonts w:ascii="Book Antiqua" w:hAnsi="Book Antiqua" w:cs="Arial"/>
          <w:u w:val="single"/>
        </w:rPr>
      </w:pPr>
    </w:p>
    <w:p w:rsidR="00584280" w:rsidRPr="00D32B8A" w:rsidRDefault="00584280" w:rsidP="00DD5071">
      <w:pPr>
        <w:rPr>
          <w:rFonts w:ascii="Book Antiqua" w:hAnsi="Book Antiqua" w:cs="Arial"/>
          <w:u w:val="single"/>
        </w:rPr>
      </w:pPr>
    </w:p>
    <w:p w:rsidR="00DD5071" w:rsidRPr="00D32B8A" w:rsidRDefault="00DE7DB7" w:rsidP="00B467EA">
      <w:pPr>
        <w:outlineLvl w:val="0"/>
        <w:rPr>
          <w:rFonts w:ascii="Book Antiqua" w:hAnsi="Book Antiqua" w:cs="Arial"/>
        </w:rPr>
      </w:pPr>
      <w:r w:rsidRPr="00D32B8A">
        <w:rPr>
          <w:rFonts w:ascii="Book Antiqua" w:hAnsi="Book Antiqua" w:cs="Arial"/>
          <w:b/>
          <w:u w:val="single"/>
        </w:rPr>
        <w:t>Representation</w:t>
      </w:r>
      <w:r w:rsidRPr="00D32B8A">
        <w:rPr>
          <w:rFonts w:ascii="Book Antiqua" w:hAnsi="Book Antiqua" w:cs="Arial"/>
          <w:b/>
        </w:rPr>
        <w:t>:</w:t>
      </w:r>
    </w:p>
    <w:p w:rsidR="00DE7DB7" w:rsidRPr="00D32B8A" w:rsidRDefault="00DE7DB7" w:rsidP="00584280">
      <w:pPr>
        <w:tabs>
          <w:tab w:val="left" w:pos="2552"/>
        </w:tabs>
        <w:outlineLvl w:val="0"/>
        <w:rPr>
          <w:rFonts w:ascii="Book Antiqua" w:hAnsi="Book Antiqua" w:cs="Arial"/>
        </w:rPr>
      </w:pPr>
      <w:r w:rsidRPr="00D32B8A">
        <w:rPr>
          <w:rFonts w:ascii="Book Antiqua" w:hAnsi="Book Antiqua" w:cs="Arial"/>
        </w:rPr>
        <w:t>For the Appellant:</w:t>
      </w:r>
      <w:r w:rsidR="00BE485D">
        <w:rPr>
          <w:rFonts w:ascii="Book Antiqua" w:hAnsi="Book Antiqua" w:cs="Arial"/>
        </w:rPr>
        <w:t xml:space="preserve"> </w:t>
      </w:r>
      <w:r w:rsidR="00584280">
        <w:rPr>
          <w:rFonts w:ascii="Book Antiqua" w:hAnsi="Book Antiqua" w:cs="Arial"/>
        </w:rPr>
        <w:tab/>
      </w:r>
      <w:r w:rsidR="003E392C">
        <w:rPr>
          <w:rFonts w:ascii="Book Antiqua" w:hAnsi="Book Antiqua" w:cs="Arial"/>
        </w:rPr>
        <w:t xml:space="preserve">Mr Holmes instructed by </w:t>
      </w:r>
      <w:proofErr w:type="spellStart"/>
      <w:r w:rsidR="00190C7A">
        <w:rPr>
          <w:rFonts w:ascii="Book Antiqua" w:hAnsi="Book Antiqua" w:cs="Arial"/>
        </w:rPr>
        <w:t>Broudie</w:t>
      </w:r>
      <w:proofErr w:type="spellEnd"/>
      <w:r w:rsidR="003E392C">
        <w:rPr>
          <w:rFonts w:ascii="Book Antiqua" w:hAnsi="Book Antiqua" w:cs="Arial"/>
        </w:rPr>
        <w:t xml:space="preserve"> Jackson and Canter, Solicitors</w:t>
      </w:r>
    </w:p>
    <w:p w:rsidR="00DE7DB7" w:rsidRPr="00D32B8A" w:rsidRDefault="00DE7DB7" w:rsidP="00584280">
      <w:pPr>
        <w:tabs>
          <w:tab w:val="left" w:pos="2552"/>
        </w:tabs>
        <w:rPr>
          <w:rFonts w:ascii="Book Antiqua" w:hAnsi="Book Antiqua" w:cs="Arial"/>
        </w:rPr>
      </w:pPr>
      <w:r w:rsidRPr="00D32B8A">
        <w:rPr>
          <w:rFonts w:ascii="Book Antiqua" w:hAnsi="Book Antiqua" w:cs="Arial"/>
        </w:rPr>
        <w:t>For the Respondent:</w:t>
      </w:r>
      <w:r w:rsidR="00BE485D">
        <w:rPr>
          <w:rFonts w:ascii="Book Antiqua" w:hAnsi="Book Antiqua" w:cs="Arial"/>
        </w:rPr>
        <w:t xml:space="preserve"> </w:t>
      </w:r>
      <w:r w:rsidR="00584280">
        <w:rPr>
          <w:rFonts w:ascii="Book Antiqua" w:hAnsi="Book Antiqua" w:cs="Arial"/>
        </w:rPr>
        <w:tab/>
      </w:r>
      <w:r w:rsidR="003E392C">
        <w:rPr>
          <w:rFonts w:ascii="Book Antiqua" w:hAnsi="Book Antiqua" w:cs="Arial"/>
        </w:rPr>
        <w:t>Mr Harrison - Senior Home Office Presenting Officer.</w:t>
      </w:r>
    </w:p>
    <w:p w:rsidR="00DE7DB7" w:rsidRPr="00D32B8A" w:rsidRDefault="00DE7DB7" w:rsidP="00402B9E">
      <w:pPr>
        <w:tabs>
          <w:tab w:val="left" w:pos="2520"/>
        </w:tabs>
        <w:jc w:val="center"/>
        <w:rPr>
          <w:rFonts w:ascii="Book Antiqua" w:hAnsi="Book Antiqua" w:cs="Arial"/>
        </w:rPr>
      </w:pPr>
    </w:p>
    <w:p w:rsidR="00DE7DB7" w:rsidRPr="00D32B8A" w:rsidRDefault="00DE7DB7" w:rsidP="00402B9E">
      <w:pPr>
        <w:tabs>
          <w:tab w:val="left" w:pos="2520"/>
        </w:tabs>
        <w:jc w:val="center"/>
        <w:rPr>
          <w:rFonts w:ascii="Book Antiqua" w:hAnsi="Book Antiqua" w:cs="Arial"/>
        </w:rPr>
      </w:pPr>
    </w:p>
    <w:p w:rsidR="00BE485D" w:rsidRDefault="003E392C" w:rsidP="00BE485D">
      <w:pPr>
        <w:jc w:val="center"/>
        <w:rPr>
          <w:rFonts w:ascii="Book Antiqua" w:hAnsi="Book Antiqua"/>
          <w:b/>
          <w:u w:val="single"/>
        </w:rPr>
      </w:pPr>
      <w:r>
        <w:rPr>
          <w:rFonts w:ascii="Book Antiqua" w:hAnsi="Book Antiqua"/>
          <w:b/>
          <w:u w:val="single"/>
        </w:rPr>
        <w:t xml:space="preserve">ERROR OF LAW FINIDNG AND </w:t>
      </w:r>
      <w:r w:rsidR="00BE485D">
        <w:rPr>
          <w:rFonts w:ascii="Book Antiqua" w:hAnsi="Book Antiqua"/>
          <w:b/>
          <w:u w:val="single"/>
        </w:rPr>
        <w:t>REASONS</w:t>
      </w:r>
    </w:p>
    <w:p w:rsidR="00BE485D" w:rsidRDefault="00BE485D" w:rsidP="00BE485D">
      <w:pPr>
        <w:tabs>
          <w:tab w:val="left" w:pos="2520"/>
        </w:tabs>
        <w:ind w:left="360"/>
        <w:jc w:val="both"/>
        <w:rPr>
          <w:rFonts w:ascii="Book Antiqua" w:hAnsi="Book Antiqua" w:cs="Arial"/>
        </w:rPr>
      </w:pPr>
    </w:p>
    <w:p w:rsidR="00BE485D" w:rsidRDefault="003E392C" w:rsidP="00C461B3">
      <w:pPr>
        <w:numPr>
          <w:ilvl w:val="0"/>
          <w:numId w:val="3"/>
        </w:numPr>
        <w:tabs>
          <w:tab w:val="left" w:pos="2520"/>
        </w:tabs>
        <w:jc w:val="both"/>
        <w:rPr>
          <w:rFonts w:ascii="Book Antiqua" w:hAnsi="Book Antiqua" w:cs="Arial"/>
        </w:rPr>
      </w:pPr>
      <w:r>
        <w:rPr>
          <w:rFonts w:ascii="Book Antiqua" w:hAnsi="Book Antiqua" w:cs="Arial"/>
        </w:rPr>
        <w:t xml:space="preserve">The appellant appeals with permission a decision of First-tier Tribunal Judge V </w:t>
      </w:r>
      <w:proofErr w:type="gramStart"/>
      <w:r>
        <w:rPr>
          <w:rFonts w:ascii="Book Antiqua" w:hAnsi="Book Antiqua" w:cs="Arial"/>
        </w:rPr>
        <w:t>A</w:t>
      </w:r>
      <w:proofErr w:type="gramEnd"/>
      <w:r>
        <w:rPr>
          <w:rFonts w:ascii="Book Antiqua" w:hAnsi="Book Antiqua" w:cs="Arial"/>
        </w:rPr>
        <w:t xml:space="preserve"> Cox</w:t>
      </w:r>
      <w:r w:rsidR="00EB7B30">
        <w:rPr>
          <w:rFonts w:ascii="Book Antiqua" w:hAnsi="Book Antiqua" w:cs="Arial"/>
        </w:rPr>
        <w:t xml:space="preserve"> (‘the Judge’)</w:t>
      </w:r>
      <w:r>
        <w:rPr>
          <w:rFonts w:ascii="Book Antiqua" w:hAnsi="Book Antiqua" w:cs="Arial"/>
        </w:rPr>
        <w:t>, promulgated on 31 August 2017, in which the Judge dismissed the appellant’s appeal on protection and human rights grounds.</w:t>
      </w:r>
    </w:p>
    <w:p w:rsidR="00402B9E" w:rsidRPr="00D32B8A" w:rsidRDefault="00402B9E" w:rsidP="00C461B3">
      <w:pPr>
        <w:tabs>
          <w:tab w:val="left" w:pos="2520"/>
        </w:tabs>
        <w:ind w:left="360" w:firstLine="60"/>
        <w:jc w:val="both"/>
        <w:rPr>
          <w:rFonts w:ascii="Book Antiqua" w:hAnsi="Book Antiqua" w:cs="Arial"/>
        </w:rPr>
      </w:pPr>
    </w:p>
    <w:p w:rsidR="00584280" w:rsidRDefault="00584280" w:rsidP="00C461B3">
      <w:pPr>
        <w:pStyle w:val="Heading5"/>
        <w:jc w:val="both"/>
        <w:rPr>
          <w:rFonts w:ascii="Book Antiqua" w:hAnsi="Book Antiqua" w:cs="Arial"/>
          <w:sz w:val="24"/>
        </w:rPr>
      </w:pPr>
    </w:p>
    <w:p w:rsidR="00D32B8A" w:rsidRDefault="00FD1BDB" w:rsidP="00C461B3">
      <w:pPr>
        <w:pStyle w:val="Heading5"/>
        <w:jc w:val="both"/>
        <w:rPr>
          <w:rFonts w:ascii="Book Antiqua" w:hAnsi="Book Antiqua" w:cs="Arial"/>
          <w:sz w:val="24"/>
        </w:rPr>
      </w:pPr>
      <w:r>
        <w:rPr>
          <w:rFonts w:ascii="Book Antiqua" w:hAnsi="Book Antiqua" w:cs="Arial"/>
          <w:sz w:val="24"/>
        </w:rPr>
        <w:t>Background</w:t>
      </w:r>
    </w:p>
    <w:p w:rsidR="00BE485D" w:rsidRPr="00BE485D" w:rsidRDefault="00BE485D" w:rsidP="00C461B3">
      <w:pPr>
        <w:jc w:val="both"/>
        <w:rPr>
          <w:lang w:eastAsia="en-US"/>
        </w:rPr>
      </w:pPr>
    </w:p>
    <w:p w:rsidR="00FD1BDB" w:rsidRDefault="003E392C" w:rsidP="00C461B3">
      <w:pPr>
        <w:numPr>
          <w:ilvl w:val="0"/>
          <w:numId w:val="3"/>
        </w:numPr>
        <w:jc w:val="both"/>
        <w:rPr>
          <w:rFonts w:ascii="Book Antiqua" w:hAnsi="Book Antiqua" w:cs="Arial"/>
        </w:rPr>
      </w:pPr>
      <w:r>
        <w:rPr>
          <w:rFonts w:ascii="Book Antiqua" w:hAnsi="Book Antiqua" w:cs="Arial"/>
        </w:rPr>
        <w:t>The appellant is a male citizen of Afghanistan born on 2 March 1994.</w:t>
      </w:r>
    </w:p>
    <w:p w:rsidR="003E392C" w:rsidRDefault="003E392C" w:rsidP="00C461B3">
      <w:pPr>
        <w:numPr>
          <w:ilvl w:val="0"/>
          <w:numId w:val="3"/>
        </w:numPr>
        <w:jc w:val="both"/>
        <w:rPr>
          <w:rFonts w:ascii="Book Antiqua" w:hAnsi="Book Antiqua" w:cs="Arial"/>
        </w:rPr>
      </w:pPr>
      <w:r>
        <w:rPr>
          <w:rFonts w:ascii="Book Antiqua" w:hAnsi="Book Antiqua" w:cs="Arial"/>
        </w:rPr>
        <w:t>At [18] of the decision under appeal the Judge notes it was accepted by the legal representatives that the issues subject to the appeal will limited it to the appellants claim to Humanitarian Protection and his appeal on human rights grounds. The appellant’s earlier asylum claim had been rejected and was not before the Judge.</w:t>
      </w:r>
    </w:p>
    <w:p w:rsidR="003E392C" w:rsidRDefault="003E392C" w:rsidP="00C461B3">
      <w:pPr>
        <w:numPr>
          <w:ilvl w:val="0"/>
          <w:numId w:val="3"/>
        </w:numPr>
        <w:jc w:val="both"/>
        <w:rPr>
          <w:rFonts w:ascii="Book Antiqua" w:hAnsi="Book Antiqua" w:cs="Arial"/>
        </w:rPr>
      </w:pPr>
      <w:r>
        <w:rPr>
          <w:rFonts w:ascii="Book Antiqua" w:hAnsi="Book Antiqua" w:cs="Arial"/>
        </w:rPr>
        <w:t xml:space="preserve">The appellant sought permission to appeal </w:t>
      </w:r>
      <w:r w:rsidR="009A2378">
        <w:rPr>
          <w:rFonts w:ascii="Book Antiqua" w:hAnsi="Book Antiqua" w:cs="Arial"/>
        </w:rPr>
        <w:t xml:space="preserve">the decision of the Judge to the Upper Tribunal </w:t>
      </w:r>
      <w:r>
        <w:rPr>
          <w:rFonts w:ascii="Book Antiqua" w:hAnsi="Book Antiqua" w:cs="Arial"/>
        </w:rPr>
        <w:t>which was initially refused by another judge of the First-tier Tribunal but granted on a renewed application by the Upper Tribunal on 8 January 2018, the operative part of the grant being in the following terms:</w:t>
      </w:r>
    </w:p>
    <w:p w:rsidR="003E392C" w:rsidRPr="00584280" w:rsidRDefault="00B23595" w:rsidP="00584280">
      <w:pPr>
        <w:spacing w:before="120" w:after="120"/>
        <w:ind w:left="1701" w:right="567"/>
        <w:jc w:val="both"/>
        <w:rPr>
          <w:rFonts w:ascii="Book Antiqua" w:hAnsi="Book Antiqua" w:cs="Arial"/>
          <w:sz w:val="22"/>
          <w:szCs w:val="22"/>
        </w:rPr>
      </w:pPr>
      <w:r w:rsidRPr="00584280">
        <w:rPr>
          <w:rFonts w:ascii="Book Antiqua" w:hAnsi="Book Antiqua" w:cs="Arial"/>
          <w:sz w:val="22"/>
          <w:szCs w:val="22"/>
        </w:rPr>
        <w:t>In</w:t>
      </w:r>
      <w:r w:rsidR="003E392C" w:rsidRPr="00584280">
        <w:rPr>
          <w:rFonts w:ascii="Book Antiqua" w:hAnsi="Book Antiqua" w:cs="Arial"/>
          <w:sz w:val="22"/>
          <w:szCs w:val="22"/>
        </w:rPr>
        <w:t xml:space="preserve"> </w:t>
      </w:r>
      <w:r w:rsidR="003E392C" w:rsidRPr="00584280">
        <w:rPr>
          <w:rFonts w:ascii="Book Antiqua" w:hAnsi="Book Antiqua" w:cs="Arial"/>
          <w:i/>
          <w:sz w:val="22"/>
          <w:szCs w:val="22"/>
        </w:rPr>
        <w:t xml:space="preserve">TN and MA (Afghanistan) </w:t>
      </w:r>
      <w:r w:rsidR="003E392C" w:rsidRPr="00584280">
        <w:rPr>
          <w:rFonts w:ascii="Book Antiqua" w:hAnsi="Book Antiqua" w:cs="Arial"/>
          <w:sz w:val="22"/>
          <w:szCs w:val="22"/>
        </w:rPr>
        <w:t>[2015] UKSC 40 the Supreme Court found that before the family of the child w</w:t>
      </w:r>
      <w:r w:rsidRPr="00584280">
        <w:rPr>
          <w:rFonts w:ascii="Book Antiqua" w:hAnsi="Book Antiqua" w:cs="Arial"/>
          <w:sz w:val="22"/>
          <w:szCs w:val="22"/>
        </w:rPr>
        <w:t>ere tr</w:t>
      </w:r>
      <w:r w:rsidR="003E392C" w:rsidRPr="00584280">
        <w:rPr>
          <w:rFonts w:ascii="Book Antiqua" w:hAnsi="Book Antiqua" w:cs="Arial"/>
          <w:sz w:val="22"/>
          <w:szCs w:val="22"/>
        </w:rPr>
        <w:t xml:space="preserve">aced a best </w:t>
      </w:r>
      <w:proofErr w:type="gramStart"/>
      <w:r w:rsidR="003E392C" w:rsidRPr="00584280">
        <w:rPr>
          <w:rFonts w:ascii="Book Antiqua" w:hAnsi="Book Antiqua" w:cs="Arial"/>
          <w:sz w:val="22"/>
          <w:szCs w:val="22"/>
        </w:rPr>
        <w:t>interests</w:t>
      </w:r>
      <w:proofErr w:type="gramEnd"/>
      <w:r w:rsidR="003E392C" w:rsidRPr="00584280">
        <w:rPr>
          <w:rFonts w:ascii="Book Antiqua" w:hAnsi="Book Antiqua" w:cs="Arial"/>
          <w:sz w:val="22"/>
          <w:szCs w:val="22"/>
        </w:rPr>
        <w:t xml:space="preserve"> assessment should be conducted. This did not occur in the Appellant’s case and, therefore, adverse credibility findings should not have been reached in the light of an inconsistent information he may have provided about his family. These findings then had an adverse effect on his application for asylum </w:t>
      </w:r>
      <w:r w:rsidRPr="00584280">
        <w:rPr>
          <w:rFonts w:ascii="Book Antiqua" w:hAnsi="Book Antiqua" w:cs="Arial"/>
          <w:sz w:val="22"/>
          <w:szCs w:val="22"/>
        </w:rPr>
        <w:t xml:space="preserve">and </w:t>
      </w:r>
      <w:r w:rsidR="003E392C" w:rsidRPr="00584280">
        <w:rPr>
          <w:rFonts w:ascii="Book Antiqua" w:hAnsi="Book Antiqua" w:cs="Arial"/>
          <w:sz w:val="22"/>
          <w:szCs w:val="22"/>
        </w:rPr>
        <w:t>Humanitarian Protection.</w:t>
      </w:r>
    </w:p>
    <w:p w:rsidR="003E392C" w:rsidRPr="00584280" w:rsidRDefault="00AC06FE" w:rsidP="00584280">
      <w:pPr>
        <w:spacing w:before="120" w:after="120"/>
        <w:ind w:left="1701" w:right="567"/>
        <w:jc w:val="both"/>
        <w:rPr>
          <w:rFonts w:ascii="Book Antiqua" w:hAnsi="Book Antiqua" w:cs="Arial"/>
          <w:sz w:val="22"/>
          <w:szCs w:val="22"/>
        </w:rPr>
      </w:pPr>
      <w:r w:rsidRPr="00584280">
        <w:rPr>
          <w:rFonts w:ascii="Book Antiqua" w:hAnsi="Book Antiqua" w:cs="Arial"/>
          <w:sz w:val="22"/>
          <w:szCs w:val="22"/>
        </w:rPr>
        <w:t>As a consequence, it is that First-tier Tribunal Judge Cox’s decision contained arguable errors of law and it is appropriate to grant permission to appeal.</w:t>
      </w:r>
    </w:p>
    <w:p w:rsidR="00D32B8A" w:rsidRPr="00D32B8A" w:rsidRDefault="00FD1BDB" w:rsidP="00C461B3">
      <w:pPr>
        <w:pStyle w:val="Heading5"/>
        <w:jc w:val="both"/>
        <w:rPr>
          <w:rFonts w:ascii="Book Antiqua" w:hAnsi="Book Antiqua" w:cs="Arial"/>
          <w:sz w:val="24"/>
        </w:rPr>
      </w:pPr>
      <w:r>
        <w:rPr>
          <w:rFonts w:ascii="Book Antiqua" w:hAnsi="Book Antiqua" w:cs="Arial"/>
          <w:sz w:val="24"/>
        </w:rPr>
        <w:t>Grounds and submissions</w:t>
      </w:r>
    </w:p>
    <w:p w:rsidR="00D32B8A" w:rsidRPr="00D32B8A" w:rsidRDefault="00D32B8A" w:rsidP="00C461B3">
      <w:pPr>
        <w:ind w:firstLine="120"/>
        <w:jc w:val="both"/>
        <w:rPr>
          <w:rFonts w:ascii="Book Antiqua" w:hAnsi="Book Antiqua" w:cs="Arial"/>
        </w:rPr>
      </w:pPr>
    </w:p>
    <w:p w:rsidR="00D32B8A" w:rsidRDefault="00AC06FE" w:rsidP="00C461B3">
      <w:pPr>
        <w:numPr>
          <w:ilvl w:val="0"/>
          <w:numId w:val="3"/>
        </w:numPr>
        <w:jc w:val="both"/>
        <w:rPr>
          <w:rFonts w:ascii="Book Antiqua" w:hAnsi="Book Antiqua" w:cs="Arial"/>
        </w:rPr>
      </w:pPr>
      <w:r>
        <w:rPr>
          <w:rFonts w:ascii="Book Antiqua" w:hAnsi="Book Antiqua" w:cs="Arial"/>
        </w:rPr>
        <w:t>Mr Holmes</w:t>
      </w:r>
      <w:r w:rsidR="00B23595">
        <w:rPr>
          <w:rFonts w:ascii="Book Antiqua" w:hAnsi="Book Antiqua" w:cs="Arial"/>
        </w:rPr>
        <w:t>,</w:t>
      </w:r>
      <w:r>
        <w:rPr>
          <w:rFonts w:ascii="Book Antiqua" w:hAnsi="Book Antiqua" w:cs="Arial"/>
        </w:rPr>
        <w:t xml:space="preserve"> on behalf of the appellant</w:t>
      </w:r>
      <w:r w:rsidR="00B23595">
        <w:rPr>
          <w:rFonts w:ascii="Book Antiqua" w:hAnsi="Book Antiqua" w:cs="Arial"/>
        </w:rPr>
        <w:t>,</w:t>
      </w:r>
      <w:r>
        <w:rPr>
          <w:rFonts w:ascii="Book Antiqua" w:hAnsi="Book Antiqua" w:cs="Arial"/>
        </w:rPr>
        <w:t xml:space="preserve"> submitted there were </w:t>
      </w:r>
      <w:r w:rsidR="00B23595">
        <w:rPr>
          <w:rFonts w:ascii="Book Antiqua" w:hAnsi="Book Antiqua" w:cs="Arial"/>
        </w:rPr>
        <w:t xml:space="preserve">two areas of </w:t>
      </w:r>
      <w:r>
        <w:rPr>
          <w:rFonts w:ascii="Book Antiqua" w:hAnsi="Book Antiqua" w:cs="Arial"/>
        </w:rPr>
        <w:t>error</w:t>
      </w:r>
      <w:r w:rsidR="00B23595">
        <w:rPr>
          <w:rFonts w:ascii="Book Antiqua" w:hAnsi="Book Antiqua" w:cs="Arial"/>
        </w:rPr>
        <w:t>;</w:t>
      </w:r>
      <w:r>
        <w:rPr>
          <w:rFonts w:ascii="Book Antiqua" w:hAnsi="Book Antiqua" w:cs="Arial"/>
        </w:rPr>
        <w:t xml:space="preserve"> relating to Article 15(c) and article 8</w:t>
      </w:r>
      <w:r w:rsidR="00B23595">
        <w:rPr>
          <w:rFonts w:ascii="Book Antiqua" w:hAnsi="Book Antiqua" w:cs="Arial"/>
        </w:rPr>
        <w:t xml:space="preserve"> E</w:t>
      </w:r>
      <w:r>
        <w:rPr>
          <w:rFonts w:ascii="Book Antiqua" w:hAnsi="Book Antiqua" w:cs="Arial"/>
        </w:rPr>
        <w:t>CHR.</w:t>
      </w:r>
    </w:p>
    <w:p w:rsidR="00AC06FE" w:rsidRDefault="00B23595" w:rsidP="00C461B3">
      <w:pPr>
        <w:numPr>
          <w:ilvl w:val="0"/>
          <w:numId w:val="3"/>
        </w:numPr>
        <w:jc w:val="both"/>
        <w:rPr>
          <w:rFonts w:ascii="Book Antiqua" w:hAnsi="Book Antiqua" w:cs="Arial"/>
        </w:rPr>
      </w:pPr>
      <w:r>
        <w:rPr>
          <w:rFonts w:ascii="Book Antiqua" w:hAnsi="Book Antiqua" w:cs="Arial"/>
        </w:rPr>
        <w:t>In r</w:t>
      </w:r>
      <w:r w:rsidR="00AC06FE">
        <w:rPr>
          <w:rFonts w:ascii="Book Antiqua" w:hAnsi="Book Antiqua" w:cs="Arial"/>
        </w:rPr>
        <w:t xml:space="preserve">espect of the first matter the appellant asserts </w:t>
      </w:r>
      <w:r>
        <w:rPr>
          <w:rFonts w:ascii="Book Antiqua" w:hAnsi="Book Antiqua" w:cs="Arial"/>
        </w:rPr>
        <w:t xml:space="preserve">three </w:t>
      </w:r>
      <w:r w:rsidR="00AC06FE">
        <w:rPr>
          <w:rFonts w:ascii="Book Antiqua" w:hAnsi="Book Antiqua" w:cs="Arial"/>
        </w:rPr>
        <w:t>errors have been made at [8] of the grounds seeking permission to appeal being (</w:t>
      </w:r>
      <w:proofErr w:type="spellStart"/>
      <w:r w:rsidR="00AC06FE">
        <w:rPr>
          <w:rFonts w:ascii="Book Antiqua" w:hAnsi="Book Antiqua" w:cs="Arial"/>
        </w:rPr>
        <w:t>i</w:t>
      </w:r>
      <w:proofErr w:type="spellEnd"/>
      <w:r w:rsidR="00AC06FE">
        <w:rPr>
          <w:rFonts w:ascii="Book Antiqua" w:hAnsi="Book Antiqua" w:cs="Arial"/>
        </w:rPr>
        <w:t xml:space="preserve">) failing to consider the country material in respect of the current country situation in respect of Afghanistan and particularly Kabul, (ii) failing to give any or proper reasons as to why the previous country guidance case of </w:t>
      </w:r>
      <w:r w:rsidR="00AC06FE" w:rsidRPr="00B23595">
        <w:rPr>
          <w:rFonts w:ascii="Book Antiqua" w:hAnsi="Book Antiqua" w:cs="Arial"/>
          <w:i/>
        </w:rPr>
        <w:t xml:space="preserve">AK </w:t>
      </w:r>
      <w:r w:rsidRPr="00B23595">
        <w:rPr>
          <w:rFonts w:ascii="Book Antiqua" w:hAnsi="Book Antiqua" w:cs="Arial"/>
          <w:i/>
        </w:rPr>
        <w:t>(</w:t>
      </w:r>
      <w:r w:rsidR="00AC06FE" w:rsidRPr="00B23595">
        <w:rPr>
          <w:rFonts w:ascii="Book Antiqua" w:hAnsi="Book Antiqua" w:cs="Arial"/>
          <w:i/>
        </w:rPr>
        <w:t>Afghanistan</w:t>
      </w:r>
      <w:r w:rsidRPr="00B23595">
        <w:rPr>
          <w:rFonts w:ascii="Book Antiqua" w:hAnsi="Book Antiqua" w:cs="Arial"/>
          <w:i/>
        </w:rPr>
        <w:t>)</w:t>
      </w:r>
      <w:r w:rsidR="00AC06FE">
        <w:rPr>
          <w:rFonts w:ascii="Book Antiqua" w:hAnsi="Book Antiqua" w:cs="Arial"/>
        </w:rPr>
        <w:t xml:space="preserve"> decided in 2012 was still good law in light of the country evidence before her and (iii) that the Judge failed to properly analyse the appellant’s case under article 15(c) principles</w:t>
      </w:r>
      <w:r>
        <w:rPr>
          <w:rFonts w:ascii="Book Antiqua" w:hAnsi="Book Antiqua" w:cs="Arial"/>
        </w:rPr>
        <w:t>,</w:t>
      </w:r>
      <w:r w:rsidR="00AC06FE">
        <w:rPr>
          <w:rFonts w:ascii="Book Antiqua" w:hAnsi="Book Antiqua" w:cs="Arial"/>
        </w:rPr>
        <w:t xml:space="preserve"> legally and factually</w:t>
      </w:r>
      <w:r>
        <w:rPr>
          <w:rFonts w:ascii="Book Antiqua" w:hAnsi="Book Antiqua" w:cs="Arial"/>
        </w:rPr>
        <w:t>,</w:t>
      </w:r>
      <w:r w:rsidR="00AC06FE">
        <w:rPr>
          <w:rFonts w:ascii="Book Antiqua" w:hAnsi="Book Antiqua" w:cs="Arial"/>
        </w:rPr>
        <w:t xml:space="preserve"> in the same vein as </w:t>
      </w:r>
      <w:r>
        <w:rPr>
          <w:rFonts w:ascii="Book Antiqua" w:hAnsi="Book Antiqua" w:cs="Arial"/>
        </w:rPr>
        <w:t xml:space="preserve">the </w:t>
      </w:r>
      <w:r w:rsidR="00AC06FE">
        <w:rPr>
          <w:rFonts w:ascii="Book Antiqua" w:hAnsi="Book Antiqua" w:cs="Arial"/>
        </w:rPr>
        <w:t xml:space="preserve">approach </w:t>
      </w:r>
      <w:r>
        <w:rPr>
          <w:rFonts w:ascii="Book Antiqua" w:hAnsi="Book Antiqua" w:cs="Arial"/>
        </w:rPr>
        <w:t xml:space="preserve">by </w:t>
      </w:r>
      <w:r w:rsidR="00AC06FE">
        <w:rPr>
          <w:rFonts w:ascii="Book Antiqua" w:hAnsi="Book Antiqua" w:cs="Arial"/>
        </w:rPr>
        <w:t xml:space="preserve">the Upper Tribunal in </w:t>
      </w:r>
      <w:r w:rsidR="0065695A">
        <w:rPr>
          <w:rFonts w:ascii="Book Antiqua" w:hAnsi="Book Antiqua" w:cs="Arial"/>
        </w:rPr>
        <w:t xml:space="preserve">the </w:t>
      </w:r>
      <w:r w:rsidR="00AC06FE">
        <w:rPr>
          <w:rFonts w:ascii="Book Antiqua" w:hAnsi="Book Antiqua" w:cs="Arial"/>
        </w:rPr>
        <w:t xml:space="preserve">recent country guidance case of </w:t>
      </w:r>
      <w:r w:rsidR="00AC06FE" w:rsidRPr="00B23595">
        <w:rPr>
          <w:rFonts w:ascii="Book Antiqua" w:hAnsi="Book Antiqua" w:cs="Arial"/>
          <w:i/>
        </w:rPr>
        <w:t>ZMM (Libya).</w:t>
      </w:r>
    </w:p>
    <w:p w:rsidR="00FD1BDB" w:rsidRDefault="006C0C76" w:rsidP="00C461B3">
      <w:pPr>
        <w:numPr>
          <w:ilvl w:val="0"/>
          <w:numId w:val="3"/>
        </w:numPr>
        <w:jc w:val="both"/>
        <w:rPr>
          <w:rFonts w:ascii="Book Antiqua" w:hAnsi="Book Antiqua" w:cs="Arial"/>
        </w:rPr>
      </w:pPr>
      <w:r>
        <w:rPr>
          <w:rFonts w:ascii="Book Antiqua" w:hAnsi="Book Antiqua" w:cs="Arial"/>
        </w:rPr>
        <w:t xml:space="preserve">The </w:t>
      </w:r>
      <w:r w:rsidR="00B23595">
        <w:rPr>
          <w:rFonts w:ascii="Book Antiqua" w:hAnsi="Book Antiqua" w:cs="Arial"/>
        </w:rPr>
        <w:t xml:space="preserve">second </w:t>
      </w:r>
      <w:r>
        <w:rPr>
          <w:rFonts w:ascii="Book Antiqua" w:hAnsi="Book Antiqua" w:cs="Arial"/>
        </w:rPr>
        <w:t>ground of challenge</w:t>
      </w:r>
      <w:r w:rsidR="00B23595">
        <w:rPr>
          <w:rFonts w:ascii="Book Antiqua" w:hAnsi="Book Antiqua" w:cs="Arial"/>
        </w:rPr>
        <w:t>,</w:t>
      </w:r>
      <w:r>
        <w:rPr>
          <w:rFonts w:ascii="Book Antiqua" w:hAnsi="Book Antiqua" w:cs="Arial"/>
        </w:rPr>
        <w:t xml:space="preserve"> relating to the article 8 claim</w:t>
      </w:r>
      <w:r w:rsidR="00B23595">
        <w:rPr>
          <w:rFonts w:ascii="Book Antiqua" w:hAnsi="Book Antiqua" w:cs="Arial"/>
        </w:rPr>
        <w:t xml:space="preserve">, asserts the decision </w:t>
      </w:r>
      <w:r>
        <w:rPr>
          <w:rFonts w:ascii="Book Antiqua" w:hAnsi="Book Antiqua" w:cs="Arial"/>
        </w:rPr>
        <w:t>is infected by arguable legal error. This is an appeal in which the appellant ha</w:t>
      </w:r>
      <w:r w:rsidR="00B23595">
        <w:rPr>
          <w:rFonts w:ascii="Book Antiqua" w:hAnsi="Book Antiqua" w:cs="Arial"/>
        </w:rPr>
        <w:t>s</w:t>
      </w:r>
      <w:r>
        <w:rPr>
          <w:rFonts w:ascii="Book Antiqua" w:hAnsi="Book Antiqua" w:cs="Arial"/>
        </w:rPr>
        <w:t xml:space="preserve"> been in the UK for more than 7 years </w:t>
      </w:r>
      <w:r w:rsidR="00B23595">
        <w:rPr>
          <w:rFonts w:ascii="Book Antiqua" w:hAnsi="Book Antiqua" w:cs="Arial"/>
        </w:rPr>
        <w:t xml:space="preserve">and </w:t>
      </w:r>
      <w:r>
        <w:rPr>
          <w:rFonts w:ascii="Book Antiqua" w:hAnsi="Book Antiqua" w:cs="Arial"/>
        </w:rPr>
        <w:t xml:space="preserve">in which it was found that the respondent had delayed in dealing with the appellant’s case for at least 6 years to </w:t>
      </w:r>
      <w:r w:rsidR="00B23595">
        <w:rPr>
          <w:rFonts w:ascii="Book Antiqua" w:hAnsi="Book Antiqua" w:cs="Arial"/>
        </w:rPr>
        <w:t xml:space="preserve">date, </w:t>
      </w:r>
      <w:r>
        <w:rPr>
          <w:rFonts w:ascii="Book Antiqua" w:hAnsi="Book Antiqua" w:cs="Arial"/>
        </w:rPr>
        <w:t>since 2011.</w:t>
      </w:r>
      <w:r w:rsidR="00824002">
        <w:rPr>
          <w:rFonts w:ascii="Book Antiqua" w:hAnsi="Book Antiqua" w:cs="Arial"/>
        </w:rPr>
        <w:t xml:space="preserve"> The grounds assert the Judge did not find that either delay or historic injustice were capable of amounting to factors t</w:t>
      </w:r>
      <w:r w:rsidR="00B23595">
        <w:rPr>
          <w:rFonts w:ascii="Book Antiqua" w:hAnsi="Book Antiqua" w:cs="Arial"/>
        </w:rPr>
        <w:t xml:space="preserve">hat </w:t>
      </w:r>
      <w:r w:rsidR="00824002">
        <w:rPr>
          <w:rFonts w:ascii="Book Antiqua" w:hAnsi="Book Antiqua" w:cs="Arial"/>
        </w:rPr>
        <w:t>entitle</w:t>
      </w:r>
      <w:r w:rsidR="00B23595">
        <w:rPr>
          <w:rFonts w:ascii="Book Antiqua" w:hAnsi="Book Antiqua" w:cs="Arial"/>
        </w:rPr>
        <w:t>d</w:t>
      </w:r>
      <w:r w:rsidR="00824002">
        <w:rPr>
          <w:rFonts w:ascii="Book Antiqua" w:hAnsi="Book Antiqua" w:cs="Arial"/>
        </w:rPr>
        <w:t xml:space="preserve"> the appellant to succeed which the appellant claims is not </w:t>
      </w:r>
      <w:r w:rsidR="00B23595">
        <w:rPr>
          <w:rFonts w:ascii="Book Antiqua" w:hAnsi="Book Antiqua" w:cs="Arial"/>
        </w:rPr>
        <w:t xml:space="preserve">a </w:t>
      </w:r>
      <w:r w:rsidR="00824002">
        <w:rPr>
          <w:rFonts w:ascii="Book Antiqua" w:hAnsi="Book Antiqua" w:cs="Arial"/>
        </w:rPr>
        <w:t xml:space="preserve">properly reasoned conclusion </w:t>
      </w:r>
      <w:r w:rsidR="00B23595">
        <w:rPr>
          <w:rFonts w:ascii="Book Antiqua" w:hAnsi="Book Antiqua" w:cs="Arial"/>
        </w:rPr>
        <w:t xml:space="preserve">and one </w:t>
      </w:r>
      <w:r w:rsidR="00824002">
        <w:rPr>
          <w:rFonts w:ascii="Book Antiqua" w:hAnsi="Book Antiqua" w:cs="Arial"/>
        </w:rPr>
        <w:t>made not having proper regard to case law or the respondent’s policy.</w:t>
      </w:r>
    </w:p>
    <w:p w:rsidR="00824002" w:rsidRDefault="00824002" w:rsidP="00C461B3">
      <w:pPr>
        <w:numPr>
          <w:ilvl w:val="0"/>
          <w:numId w:val="3"/>
        </w:numPr>
        <w:jc w:val="both"/>
        <w:rPr>
          <w:rFonts w:ascii="Book Antiqua" w:hAnsi="Book Antiqua" w:cs="Arial"/>
        </w:rPr>
      </w:pPr>
      <w:r>
        <w:rPr>
          <w:rFonts w:ascii="Book Antiqua" w:hAnsi="Book Antiqua" w:cs="Arial"/>
        </w:rPr>
        <w:t xml:space="preserve">The appellant asserts he was a minor on arrival </w:t>
      </w:r>
      <w:r w:rsidR="00B23595">
        <w:rPr>
          <w:rFonts w:ascii="Book Antiqua" w:hAnsi="Book Antiqua" w:cs="Arial"/>
        </w:rPr>
        <w:t xml:space="preserve">and </w:t>
      </w:r>
      <w:r>
        <w:rPr>
          <w:rFonts w:ascii="Book Antiqua" w:hAnsi="Book Antiqua" w:cs="Arial"/>
        </w:rPr>
        <w:t xml:space="preserve">should have been granted discretionary leave to remain until he was 18, in accordance with the respondent’s policy </w:t>
      </w:r>
      <w:r w:rsidR="00B23595">
        <w:rPr>
          <w:rFonts w:ascii="Book Antiqua" w:hAnsi="Book Antiqua" w:cs="Arial"/>
        </w:rPr>
        <w:t xml:space="preserve">at </w:t>
      </w:r>
      <w:r>
        <w:rPr>
          <w:rFonts w:ascii="Book Antiqua" w:hAnsi="Book Antiqua" w:cs="Arial"/>
        </w:rPr>
        <w:t xml:space="preserve">that time, which would have enabled him to apply to extend that leave for another </w:t>
      </w:r>
      <w:r w:rsidR="00B23595">
        <w:rPr>
          <w:rFonts w:ascii="Book Antiqua" w:hAnsi="Book Antiqua" w:cs="Arial"/>
        </w:rPr>
        <w:t xml:space="preserve">three </w:t>
      </w:r>
      <w:r>
        <w:rPr>
          <w:rFonts w:ascii="Book Antiqua" w:hAnsi="Book Antiqua" w:cs="Arial"/>
        </w:rPr>
        <w:t>years thereafter</w:t>
      </w:r>
      <w:r w:rsidR="00B23595">
        <w:rPr>
          <w:rFonts w:ascii="Book Antiqua" w:hAnsi="Book Antiqua" w:cs="Arial"/>
        </w:rPr>
        <w:t xml:space="preserve">, and </w:t>
      </w:r>
      <w:r>
        <w:rPr>
          <w:rFonts w:ascii="Book Antiqua" w:hAnsi="Book Antiqua" w:cs="Arial"/>
        </w:rPr>
        <w:t xml:space="preserve">to apply for indefinite leave to remain. The </w:t>
      </w:r>
      <w:r>
        <w:rPr>
          <w:rFonts w:ascii="Book Antiqua" w:hAnsi="Book Antiqua" w:cs="Arial"/>
        </w:rPr>
        <w:lastRenderedPageBreak/>
        <w:t>appellant asserts an historic injustice leading to him being denied that opportunity which he argues makes his article 8 case compelling and exceptional.</w:t>
      </w:r>
    </w:p>
    <w:p w:rsidR="00824002" w:rsidRDefault="00B23595" w:rsidP="00C461B3">
      <w:pPr>
        <w:numPr>
          <w:ilvl w:val="0"/>
          <w:numId w:val="3"/>
        </w:numPr>
        <w:jc w:val="both"/>
        <w:rPr>
          <w:rFonts w:ascii="Book Antiqua" w:hAnsi="Book Antiqua" w:cs="Arial"/>
        </w:rPr>
      </w:pPr>
      <w:r>
        <w:rPr>
          <w:rFonts w:ascii="Book Antiqua" w:hAnsi="Book Antiqua" w:cs="Arial"/>
        </w:rPr>
        <w:t>In r</w:t>
      </w:r>
      <w:r w:rsidR="00824002">
        <w:rPr>
          <w:rFonts w:ascii="Book Antiqua" w:hAnsi="Book Antiqua" w:cs="Arial"/>
        </w:rPr>
        <w:t>elation to delay</w:t>
      </w:r>
      <w:r>
        <w:rPr>
          <w:rFonts w:ascii="Book Antiqua" w:hAnsi="Book Antiqua" w:cs="Arial"/>
        </w:rPr>
        <w:t>;</w:t>
      </w:r>
      <w:r w:rsidR="00824002">
        <w:rPr>
          <w:rFonts w:ascii="Book Antiqua" w:hAnsi="Book Antiqua" w:cs="Arial"/>
        </w:rPr>
        <w:t xml:space="preserve"> the appellant claims his case is worse than that for the appellant in </w:t>
      </w:r>
      <w:r w:rsidR="00824002" w:rsidRPr="00B23595">
        <w:rPr>
          <w:rFonts w:ascii="Book Antiqua" w:hAnsi="Book Antiqua" w:cs="Arial"/>
          <w:i/>
        </w:rPr>
        <w:t>E</w:t>
      </w:r>
      <w:r w:rsidRPr="00B23595">
        <w:rPr>
          <w:rFonts w:ascii="Book Antiqua" w:hAnsi="Book Antiqua" w:cs="Arial"/>
          <w:i/>
        </w:rPr>
        <w:t>B</w:t>
      </w:r>
      <w:r w:rsidR="00824002" w:rsidRPr="00B23595">
        <w:rPr>
          <w:rFonts w:ascii="Book Antiqua" w:hAnsi="Book Antiqua" w:cs="Arial"/>
          <w:i/>
        </w:rPr>
        <w:t xml:space="preserve">(Kosovo) [2008] UKHL 41 </w:t>
      </w:r>
      <w:r>
        <w:rPr>
          <w:rFonts w:ascii="Book Antiqua" w:hAnsi="Book Antiqua" w:cs="Arial"/>
        </w:rPr>
        <w:t xml:space="preserve">and that the </w:t>
      </w:r>
      <w:r w:rsidR="00824002">
        <w:rPr>
          <w:rFonts w:ascii="Book Antiqua" w:hAnsi="Book Antiqua" w:cs="Arial"/>
        </w:rPr>
        <w:t xml:space="preserve">First-tier accepted </w:t>
      </w:r>
      <w:r>
        <w:rPr>
          <w:rFonts w:ascii="Book Antiqua" w:hAnsi="Book Antiqua" w:cs="Arial"/>
        </w:rPr>
        <w:t xml:space="preserve">there had been inordinate delay since </w:t>
      </w:r>
      <w:r w:rsidR="00824002">
        <w:rPr>
          <w:rFonts w:ascii="Book Antiqua" w:hAnsi="Book Antiqua" w:cs="Arial"/>
        </w:rPr>
        <w:t xml:space="preserve">2011 </w:t>
      </w:r>
      <w:r>
        <w:rPr>
          <w:rFonts w:ascii="Book Antiqua" w:hAnsi="Book Antiqua" w:cs="Arial"/>
        </w:rPr>
        <w:t xml:space="preserve">but </w:t>
      </w:r>
      <w:r w:rsidR="00824002">
        <w:rPr>
          <w:rFonts w:ascii="Book Antiqua" w:hAnsi="Book Antiqua" w:cs="Arial"/>
        </w:rPr>
        <w:t>fails to consider whether the delay reduces the weight to be accorded to the interests of immigration control.</w:t>
      </w:r>
    </w:p>
    <w:p w:rsidR="00824002" w:rsidRDefault="00824002" w:rsidP="00C461B3">
      <w:pPr>
        <w:numPr>
          <w:ilvl w:val="0"/>
          <w:numId w:val="3"/>
        </w:numPr>
        <w:jc w:val="both"/>
        <w:rPr>
          <w:rFonts w:ascii="Book Antiqua" w:hAnsi="Book Antiqua" w:cs="Arial"/>
        </w:rPr>
      </w:pPr>
      <w:r>
        <w:rPr>
          <w:rFonts w:ascii="Book Antiqua" w:hAnsi="Book Antiqua" w:cs="Arial"/>
        </w:rPr>
        <w:t xml:space="preserve">Mr Holmes referred to the chronology and the fact the case </w:t>
      </w:r>
      <w:r w:rsidR="00B23595">
        <w:rPr>
          <w:rFonts w:ascii="Book Antiqua" w:hAnsi="Book Antiqua" w:cs="Arial"/>
        </w:rPr>
        <w:t xml:space="preserve">has </w:t>
      </w:r>
      <w:r>
        <w:rPr>
          <w:rFonts w:ascii="Book Antiqua" w:hAnsi="Book Antiqua" w:cs="Arial"/>
        </w:rPr>
        <w:t xml:space="preserve">been in the appeal system </w:t>
      </w:r>
      <w:r w:rsidR="00B23595">
        <w:rPr>
          <w:rFonts w:ascii="Book Antiqua" w:hAnsi="Book Antiqua" w:cs="Arial"/>
        </w:rPr>
        <w:t xml:space="preserve">for </w:t>
      </w:r>
      <w:r>
        <w:rPr>
          <w:rFonts w:ascii="Book Antiqua" w:hAnsi="Book Antiqua" w:cs="Arial"/>
        </w:rPr>
        <w:t>a number of years. The Judge’s finding at [111] that although none of the delay ha</w:t>
      </w:r>
      <w:r w:rsidR="00B23595">
        <w:rPr>
          <w:rFonts w:ascii="Book Antiqua" w:hAnsi="Book Antiqua" w:cs="Arial"/>
        </w:rPr>
        <w:t>s</w:t>
      </w:r>
      <w:r>
        <w:rPr>
          <w:rFonts w:ascii="Book Antiqua" w:hAnsi="Book Antiqua" w:cs="Arial"/>
        </w:rPr>
        <w:t xml:space="preserve"> been attributable to the appellant </w:t>
      </w:r>
      <w:r w:rsidR="00B23595">
        <w:rPr>
          <w:rFonts w:ascii="Book Antiqua" w:hAnsi="Book Antiqua" w:cs="Arial"/>
        </w:rPr>
        <w:t xml:space="preserve">it </w:t>
      </w:r>
      <w:r>
        <w:rPr>
          <w:rFonts w:ascii="Book Antiqua" w:hAnsi="Book Antiqua" w:cs="Arial"/>
        </w:rPr>
        <w:t>was not f</w:t>
      </w:r>
      <w:r w:rsidR="00B23595">
        <w:rPr>
          <w:rFonts w:ascii="Book Antiqua" w:hAnsi="Book Antiqua" w:cs="Arial"/>
        </w:rPr>
        <w:t xml:space="preserve">ound </w:t>
      </w:r>
      <w:r>
        <w:rPr>
          <w:rFonts w:ascii="Book Antiqua" w:hAnsi="Book Antiqua" w:cs="Arial"/>
        </w:rPr>
        <w:t xml:space="preserve">either the historic injustice nor delay are capable of amounting to factors that entitled the appellant to succeed whether together or alone, it is submitted is not right as the respondent is responsible for </w:t>
      </w:r>
      <w:r w:rsidR="00190C7A">
        <w:rPr>
          <w:rFonts w:ascii="Book Antiqua" w:hAnsi="Book Antiqua" w:cs="Arial"/>
        </w:rPr>
        <w:t>all</w:t>
      </w:r>
      <w:r>
        <w:rPr>
          <w:rFonts w:ascii="Book Antiqua" w:hAnsi="Book Antiqua" w:cs="Arial"/>
        </w:rPr>
        <w:t xml:space="preserve"> the delay.</w:t>
      </w:r>
    </w:p>
    <w:p w:rsidR="00824002" w:rsidRDefault="00824002" w:rsidP="00C461B3">
      <w:pPr>
        <w:numPr>
          <w:ilvl w:val="0"/>
          <w:numId w:val="3"/>
        </w:numPr>
        <w:jc w:val="both"/>
        <w:rPr>
          <w:rFonts w:ascii="Book Antiqua" w:hAnsi="Book Antiqua" w:cs="Arial"/>
        </w:rPr>
      </w:pPr>
      <w:r>
        <w:rPr>
          <w:rFonts w:ascii="Book Antiqua" w:hAnsi="Book Antiqua" w:cs="Arial"/>
        </w:rPr>
        <w:t xml:space="preserve">When asked to confirm exactly what period the appellant is asserting the respondent is responsible </w:t>
      </w:r>
      <w:r w:rsidR="00B23595">
        <w:rPr>
          <w:rFonts w:ascii="Book Antiqua" w:hAnsi="Book Antiqua" w:cs="Arial"/>
        </w:rPr>
        <w:t xml:space="preserve">for </w:t>
      </w:r>
      <w:r>
        <w:rPr>
          <w:rFonts w:ascii="Book Antiqua" w:hAnsi="Book Antiqua" w:cs="Arial"/>
        </w:rPr>
        <w:t>Mr Holmes stated it was for the period 2009 – 2016.</w:t>
      </w:r>
    </w:p>
    <w:p w:rsidR="00824002" w:rsidRDefault="00824002" w:rsidP="00C461B3">
      <w:pPr>
        <w:numPr>
          <w:ilvl w:val="0"/>
          <w:numId w:val="3"/>
        </w:numPr>
        <w:jc w:val="both"/>
        <w:rPr>
          <w:rFonts w:ascii="Book Antiqua" w:hAnsi="Book Antiqua" w:cs="Arial"/>
        </w:rPr>
      </w:pPr>
      <w:r>
        <w:rPr>
          <w:rFonts w:ascii="Book Antiqua" w:hAnsi="Book Antiqua" w:cs="Arial"/>
        </w:rPr>
        <w:t xml:space="preserve">Mr Holmes submitted that if there </w:t>
      </w:r>
      <w:r w:rsidR="00B23595">
        <w:rPr>
          <w:rFonts w:ascii="Book Antiqua" w:hAnsi="Book Antiqua" w:cs="Arial"/>
        </w:rPr>
        <w:t xml:space="preserve">had been </w:t>
      </w:r>
      <w:r>
        <w:rPr>
          <w:rFonts w:ascii="Book Antiqua" w:hAnsi="Book Antiqua" w:cs="Arial"/>
        </w:rPr>
        <w:t>no error regarding the appellant’s age he would been able to extend his leave to the age of 18 and may have been able to obtain discretionary leave.</w:t>
      </w:r>
    </w:p>
    <w:p w:rsidR="00824002" w:rsidRDefault="00824002" w:rsidP="00C461B3">
      <w:pPr>
        <w:numPr>
          <w:ilvl w:val="0"/>
          <w:numId w:val="3"/>
        </w:numPr>
        <w:jc w:val="both"/>
        <w:rPr>
          <w:rFonts w:ascii="Book Antiqua" w:hAnsi="Book Antiqua" w:cs="Arial"/>
        </w:rPr>
      </w:pPr>
      <w:r>
        <w:rPr>
          <w:rFonts w:ascii="Book Antiqua" w:hAnsi="Book Antiqua" w:cs="Arial"/>
        </w:rPr>
        <w:t xml:space="preserve">Mr Holmes sought to rely on a </w:t>
      </w:r>
      <w:r w:rsidR="00B23595">
        <w:rPr>
          <w:rFonts w:ascii="Book Antiqua" w:hAnsi="Book Antiqua" w:cs="Arial"/>
        </w:rPr>
        <w:t xml:space="preserve">third </w:t>
      </w:r>
      <w:r>
        <w:rPr>
          <w:rFonts w:ascii="Book Antiqua" w:hAnsi="Book Antiqua" w:cs="Arial"/>
        </w:rPr>
        <w:t>ground</w:t>
      </w:r>
      <w:r w:rsidR="00B23595">
        <w:rPr>
          <w:rFonts w:ascii="Book Antiqua" w:hAnsi="Book Antiqua" w:cs="Arial"/>
        </w:rPr>
        <w:t>,</w:t>
      </w:r>
      <w:r>
        <w:rPr>
          <w:rFonts w:ascii="Book Antiqua" w:hAnsi="Book Antiqua" w:cs="Arial"/>
        </w:rPr>
        <w:t xml:space="preserve"> namely that relating to section 55 and the obligation to undertake </w:t>
      </w:r>
      <w:r w:rsidR="00B23595">
        <w:rPr>
          <w:rFonts w:ascii="Book Antiqua" w:hAnsi="Book Antiqua" w:cs="Arial"/>
        </w:rPr>
        <w:t xml:space="preserve">a ‘best interests’ assessment </w:t>
      </w:r>
      <w:r>
        <w:rPr>
          <w:rFonts w:ascii="Book Antiqua" w:hAnsi="Book Antiqua" w:cs="Arial"/>
        </w:rPr>
        <w:t xml:space="preserve">prior to undertaking tracing. </w:t>
      </w:r>
      <w:r w:rsidR="00B23595">
        <w:rPr>
          <w:rFonts w:ascii="Book Antiqua" w:hAnsi="Book Antiqua" w:cs="Arial"/>
        </w:rPr>
        <w:t>It w</w:t>
      </w:r>
      <w:r>
        <w:rPr>
          <w:rFonts w:ascii="Book Antiqua" w:hAnsi="Book Antiqua" w:cs="Arial"/>
        </w:rPr>
        <w:t xml:space="preserve">as submitted that no tracing </w:t>
      </w:r>
      <w:r w:rsidR="00B23595">
        <w:rPr>
          <w:rFonts w:ascii="Book Antiqua" w:hAnsi="Book Antiqua" w:cs="Arial"/>
        </w:rPr>
        <w:t xml:space="preserve">had been </w:t>
      </w:r>
      <w:r>
        <w:rPr>
          <w:rFonts w:ascii="Book Antiqua" w:hAnsi="Book Antiqua" w:cs="Arial"/>
        </w:rPr>
        <w:t xml:space="preserve">undertaken by the Secretary of State and so no </w:t>
      </w:r>
      <w:r w:rsidR="00B23595">
        <w:rPr>
          <w:rFonts w:ascii="Book Antiqua" w:hAnsi="Book Antiqua" w:cs="Arial"/>
        </w:rPr>
        <w:t>‘</w:t>
      </w:r>
      <w:r>
        <w:rPr>
          <w:rFonts w:ascii="Book Antiqua" w:hAnsi="Book Antiqua" w:cs="Arial"/>
        </w:rPr>
        <w:t>best interests</w:t>
      </w:r>
      <w:r w:rsidR="00B23595">
        <w:rPr>
          <w:rFonts w:ascii="Book Antiqua" w:hAnsi="Book Antiqua" w:cs="Arial"/>
        </w:rPr>
        <w:t>’</w:t>
      </w:r>
      <w:r>
        <w:rPr>
          <w:rFonts w:ascii="Book Antiqua" w:hAnsi="Book Antiqua" w:cs="Arial"/>
        </w:rPr>
        <w:t xml:space="preserve"> assessment </w:t>
      </w:r>
      <w:r w:rsidR="00B23595">
        <w:rPr>
          <w:rFonts w:ascii="Book Antiqua" w:hAnsi="Book Antiqua" w:cs="Arial"/>
        </w:rPr>
        <w:t xml:space="preserve">had </w:t>
      </w:r>
      <w:r>
        <w:rPr>
          <w:rFonts w:ascii="Book Antiqua" w:hAnsi="Book Antiqua" w:cs="Arial"/>
        </w:rPr>
        <w:t xml:space="preserve">been undertaken which </w:t>
      </w:r>
      <w:r w:rsidR="00B23595">
        <w:rPr>
          <w:rFonts w:ascii="Book Antiqua" w:hAnsi="Book Antiqua" w:cs="Arial"/>
        </w:rPr>
        <w:t xml:space="preserve">it </w:t>
      </w:r>
      <w:r>
        <w:rPr>
          <w:rFonts w:ascii="Book Antiqua" w:hAnsi="Book Antiqua" w:cs="Arial"/>
        </w:rPr>
        <w:t>was argued needs to have been properly undertaken by the respondent.</w:t>
      </w:r>
    </w:p>
    <w:p w:rsidR="00824002" w:rsidRDefault="00824002" w:rsidP="00C461B3">
      <w:pPr>
        <w:numPr>
          <w:ilvl w:val="0"/>
          <w:numId w:val="3"/>
        </w:numPr>
        <w:jc w:val="both"/>
        <w:rPr>
          <w:rFonts w:ascii="Book Antiqua" w:hAnsi="Book Antiqua" w:cs="Arial"/>
        </w:rPr>
      </w:pPr>
      <w:r>
        <w:rPr>
          <w:rFonts w:ascii="Book Antiqua" w:hAnsi="Book Antiqua" w:cs="Arial"/>
        </w:rPr>
        <w:t>Mr Holmes accepted that it would be a risk if tracing occurred later on</w:t>
      </w:r>
      <w:r w:rsidR="00B23595">
        <w:rPr>
          <w:rFonts w:ascii="Book Antiqua" w:hAnsi="Book Antiqua" w:cs="Arial"/>
        </w:rPr>
        <w:t xml:space="preserve">, but that the </w:t>
      </w:r>
      <w:r>
        <w:rPr>
          <w:rFonts w:ascii="Book Antiqua" w:hAnsi="Book Antiqua" w:cs="Arial"/>
        </w:rPr>
        <w:t xml:space="preserve">section 55 assessment should be undertaken to establish whether tracing was appropriate </w:t>
      </w:r>
      <w:r w:rsidR="00B23595">
        <w:rPr>
          <w:rFonts w:ascii="Book Antiqua" w:hAnsi="Book Antiqua" w:cs="Arial"/>
        </w:rPr>
        <w:t>which it was stat</w:t>
      </w:r>
      <w:r>
        <w:rPr>
          <w:rFonts w:ascii="Book Antiqua" w:hAnsi="Book Antiqua" w:cs="Arial"/>
        </w:rPr>
        <w:t xml:space="preserve">ed was relevant </w:t>
      </w:r>
      <w:r w:rsidR="00B23595">
        <w:rPr>
          <w:rFonts w:ascii="Book Antiqua" w:hAnsi="Book Antiqua" w:cs="Arial"/>
        </w:rPr>
        <w:t xml:space="preserve">to </w:t>
      </w:r>
      <w:r>
        <w:rPr>
          <w:rFonts w:ascii="Book Antiqua" w:hAnsi="Book Antiqua" w:cs="Arial"/>
        </w:rPr>
        <w:t xml:space="preserve">credibility. </w:t>
      </w:r>
      <w:r w:rsidR="00B23595">
        <w:rPr>
          <w:rFonts w:ascii="Book Antiqua" w:hAnsi="Book Antiqua" w:cs="Arial"/>
        </w:rPr>
        <w:t xml:space="preserve">It is argued </w:t>
      </w:r>
      <w:r>
        <w:rPr>
          <w:rFonts w:ascii="Book Antiqua" w:hAnsi="Book Antiqua" w:cs="Arial"/>
        </w:rPr>
        <w:t>this demonstrates a failure of the respondent to follow the proper process.</w:t>
      </w:r>
    </w:p>
    <w:p w:rsidR="00824002" w:rsidRDefault="00824002" w:rsidP="00C461B3">
      <w:pPr>
        <w:numPr>
          <w:ilvl w:val="0"/>
          <w:numId w:val="3"/>
        </w:numPr>
        <w:jc w:val="both"/>
        <w:rPr>
          <w:rFonts w:ascii="Book Antiqua" w:hAnsi="Book Antiqua" w:cs="Arial"/>
        </w:rPr>
      </w:pPr>
      <w:r>
        <w:rPr>
          <w:rFonts w:ascii="Book Antiqua" w:hAnsi="Book Antiqua" w:cs="Arial"/>
        </w:rPr>
        <w:t>Mr Harrison made submissions in relation to article 15(c) which need not be noted in light of further developments referred to below.</w:t>
      </w:r>
    </w:p>
    <w:p w:rsidR="00824002" w:rsidRDefault="00824002" w:rsidP="00C461B3">
      <w:pPr>
        <w:numPr>
          <w:ilvl w:val="0"/>
          <w:numId w:val="3"/>
        </w:numPr>
        <w:jc w:val="both"/>
        <w:rPr>
          <w:rFonts w:ascii="Book Antiqua" w:hAnsi="Book Antiqua" w:cs="Arial"/>
        </w:rPr>
      </w:pPr>
      <w:r>
        <w:rPr>
          <w:rFonts w:ascii="Book Antiqua" w:hAnsi="Book Antiqua" w:cs="Arial"/>
        </w:rPr>
        <w:t>Mr Harrison accepted that there was delay in the case and that the respondent had accepted the same earlier due to reasons that it was submitted w</w:t>
      </w:r>
      <w:r w:rsidR="00D2106A">
        <w:rPr>
          <w:rFonts w:ascii="Book Antiqua" w:hAnsi="Book Antiqua" w:cs="Arial"/>
        </w:rPr>
        <w:t xml:space="preserve">ere </w:t>
      </w:r>
      <w:r>
        <w:rPr>
          <w:rFonts w:ascii="Book Antiqua" w:hAnsi="Book Antiqua" w:cs="Arial"/>
        </w:rPr>
        <w:t xml:space="preserve">evident i.e. an age assessment issue and numerous appeals that were outside the control of the Secretary of State which meant that she was not responsible for all or an inordinate period of delay. Mr Harrison referred to the period 2013 to 2016 which in light of the history </w:t>
      </w:r>
      <w:r w:rsidR="00D2106A">
        <w:rPr>
          <w:rFonts w:ascii="Book Antiqua" w:hAnsi="Book Antiqua" w:cs="Arial"/>
        </w:rPr>
        <w:t xml:space="preserve">did </w:t>
      </w:r>
      <w:r>
        <w:rPr>
          <w:rFonts w:ascii="Book Antiqua" w:hAnsi="Book Antiqua" w:cs="Arial"/>
        </w:rPr>
        <w:t>not make the decision wrong.</w:t>
      </w:r>
    </w:p>
    <w:p w:rsidR="00824002" w:rsidRDefault="00D2106A" w:rsidP="00C461B3">
      <w:pPr>
        <w:numPr>
          <w:ilvl w:val="0"/>
          <w:numId w:val="3"/>
        </w:numPr>
        <w:jc w:val="both"/>
        <w:rPr>
          <w:rFonts w:ascii="Book Antiqua" w:hAnsi="Book Antiqua" w:cs="Arial"/>
        </w:rPr>
      </w:pPr>
      <w:r>
        <w:rPr>
          <w:rFonts w:ascii="Book Antiqua" w:hAnsi="Book Antiqua" w:cs="Arial"/>
        </w:rPr>
        <w:t>In r</w:t>
      </w:r>
      <w:r w:rsidR="00824002">
        <w:rPr>
          <w:rFonts w:ascii="Book Antiqua" w:hAnsi="Book Antiqua" w:cs="Arial"/>
        </w:rPr>
        <w:t xml:space="preserve">elation to the best interests/tracing argument, Mr Harrison submitted the </w:t>
      </w:r>
      <w:r>
        <w:rPr>
          <w:rFonts w:ascii="Book Antiqua" w:hAnsi="Book Antiqua" w:cs="Arial"/>
        </w:rPr>
        <w:t xml:space="preserve">Judge refers to </w:t>
      </w:r>
      <w:r w:rsidR="00824002">
        <w:rPr>
          <w:rFonts w:ascii="Book Antiqua" w:hAnsi="Book Antiqua" w:cs="Arial"/>
        </w:rPr>
        <w:t xml:space="preserve">difficulties due to the information </w:t>
      </w:r>
      <w:r>
        <w:rPr>
          <w:rFonts w:ascii="Book Antiqua" w:hAnsi="Book Antiqua" w:cs="Arial"/>
        </w:rPr>
        <w:t xml:space="preserve">and </w:t>
      </w:r>
      <w:r w:rsidR="00824002">
        <w:rPr>
          <w:rFonts w:ascii="Book Antiqua" w:hAnsi="Book Antiqua" w:cs="Arial"/>
        </w:rPr>
        <w:t>evidence provided</w:t>
      </w:r>
      <w:r w:rsidR="0065695A">
        <w:rPr>
          <w:rFonts w:ascii="Book Antiqua" w:hAnsi="Book Antiqua" w:cs="Arial"/>
        </w:rPr>
        <w:t xml:space="preserve"> by the appellant</w:t>
      </w:r>
      <w:r w:rsidR="00824002">
        <w:rPr>
          <w:rFonts w:ascii="Book Antiqua" w:hAnsi="Book Antiqua" w:cs="Arial"/>
        </w:rPr>
        <w:t xml:space="preserve">. </w:t>
      </w:r>
      <w:r>
        <w:rPr>
          <w:rFonts w:ascii="Book Antiqua" w:hAnsi="Book Antiqua" w:cs="Arial"/>
        </w:rPr>
        <w:t xml:space="preserve">The respondent </w:t>
      </w:r>
      <w:r w:rsidR="00824002">
        <w:rPr>
          <w:rFonts w:ascii="Book Antiqua" w:hAnsi="Book Antiqua" w:cs="Arial"/>
        </w:rPr>
        <w:t>accept</w:t>
      </w:r>
      <w:r>
        <w:rPr>
          <w:rFonts w:ascii="Book Antiqua" w:hAnsi="Book Antiqua" w:cs="Arial"/>
        </w:rPr>
        <w:t>s</w:t>
      </w:r>
      <w:r w:rsidR="00824002">
        <w:rPr>
          <w:rFonts w:ascii="Book Antiqua" w:hAnsi="Book Antiqua" w:cs="Arial"/>
        </w:rPr>
        <w:t xml:space="preserve"> that an appellant should be involved to ascertain whether they want tracing</w:t>
      </w:r>
      <w:r>
        <w:rPr>
          <w:rFonts w:ascii="Book Antiqua" w:hAnsi="Book Antiqua" w:cs="Arial"/>
        </w:rPr>
        <w:t>,</w:t>
      </w:r>
      <w:r w:rsidR="00824002">
        <w:rPr>
          <w:rFonts w:ascii="Book Antiqua" w:hAnsi="Book Antiqua" w:cs="Arial"/>
        </w:rPr>
        <w:t xml:space="preserve"> or anything else</w:t>
      </w:r>
      <w:r>
        <w:rPr>
          <w:rFonts w:ascii="Book Antiqua" w:hAnsi="Book Antiqua" w:cs="Arial"/>
        </w:rPr>
        <w:t>,</w:t>
      </w:r>
      <w:r w:rsidR="00824002">
        <w:rPr>
          <w:rFonts w:ascii="Book Antiqua" w:hAnsi="Book Antiqua" w:cs="Arial"/>
        </w:rPr>
        <w:t xml:space="preserve"> but in this case the appellant did not want to trace</w:t>
      </w:r>
      <w:r>
        <w:rPr>
          <w:rFonts w:ascii="Book Antiqua" w:hAnsi="Book Antiqua" w:cs="Arial"/>
        </w:rPr>
        <w:t xml:space="preserve"> hi</w:t>
      </w:r>
      <w:r w:rsidR="00824002">
        <w:rPr>
          <w:rFonts w:ascii="Book Antiqua" w:hAnsi="Book Antiqua" w:cs="Arial"/>
        </w:rPr>
        <w:t xml:space="preserve">s parents </w:t>
      </w:r>
      <w:r>
        <w:rPr>
          <w:rFonts w:ascii="Book Antiqua" w:hAnsi="Book Antiqua" w:cs="Arial"/>
        </w:rPr>
        <w:t xml:space="preserve">and </w:t>
      </w:r>
      <w:r w:rsidR="00824002">
        <w:rPr>
          <w:rFonts w:ascii="Book Antiqua" w:hAnsi="Book Antiqua" w:cs="Arial"/>
        </w:rPr>
        <w:t xml:space="preserve">asked the respondent </w:t>
      </w:r>
      <w:r>
        <w:rPr>
          <w:rFonts w:ascii="Book Antiqua" w:hAnsi="Book Antiqua" w:cs="Arial"/>
        </w:rPr>
        <w:t xml:space="preserve">not </w:t>
      </w:r>
      <w:r w:rsidR="00824002">
        <w:rPr>
          <w:rFonts w:ascii="Book Antiqua" w:hAnsi="Book Antiqua" w:cs="Arial"/>
        </w:rPr>
        <w:t>to do so.</w:t>
      </w:r>
    </w:p>
    <w:p w:rsidR="00824002" w:rsidRDefault="00D2106A" w:rsidP="00C461B3">
      <w:pPr>
        <w:numPr>
          <w:ilvl w:val="0"/>
          <w:numId w:val="3"/>
        </w:numPr>
        <w:jc w:val="both"/>
        <w:rPr>
          <w:rFonts w:ascii="Book Antiqua" w:hAnsi="Book Antiqua" w:cs="Arial"/>
        </w:rPr>
      </w:pPr>
      <w:r>
        <w:rPr>
          <w:rFonts w:ascii="Book Antiqua" w:hAnsi="Book Antiqua" w:cs="Arial"/>
        </w:rPr>
        <w:t xml:space="preserve">It was </w:t>
      </w:r>
      <w:r w:rsidR="00824002">
        <w:rPr>
          <w:rFonts w:ascii="Book Antiqua" w:hAnsi="Book Antiqua" w:cs="Arial"/>
        </w:rPr>
        <w:t xml:space="preserve">submitted the Judge considered this issue at the point of decision and provides </w:t>
      </w:r>
      <w:r>
        <w:rPr>
          <w:rFonts w:ascii="Book Antiqua" w:hAnsi="Book Antiqua" w:cs="Arial"/>
        </w:rPr>
        <w:t xml:space="preserve">a </w:t>
      </w:r>
      <w:r w:rsidR="00824002">
        <w:rPr>
          <w:rFonts w:ascii="Book Antiqua" w:hAnsi="Book Antiqua" w:cs="Arial"/>
        </w:rPr>
        <w:t xml:space="preserve">full account of all the evidence. </w:t>
      </w:r>
      <w:r>
        <w:rPr>
          <w:rFonts w:ascii="Book Antiqua" w:hAnsi="Book Antiqua" w:cs="Arial"/>
        </w:rPr>
        <w:t xml:space="preserve">It was </w:t>
      </w:r>
      <w:r w:rsidR="00824002">
        <w:rPr>
          <w:rFonts w:ascii="Book Antiqua" w:hAnsi="Book Antiqua" w:cs="Arial"/>
        </w:rPr>
        <w:t>submitted the decision may not be acceptable to the appellant but that is an issue of mere disagreement.</w:t>
      </w:r>
    </w:p>
    <w:p w:rsidR="00824002" w:rsidRDefault="00824002" w:rsidP="00C461B3">
      <w:pPr>
        <w:numPr>
          <w:ilvl w:val="0"/>
          <w:numId w:val="3"/>
        </w:numPr>
        <w:jc w:val="both"/>
        <w:rPr>
          <w:rFonts w:ascii="Book Antiqua" w:hAnsi="Book Antiqua" w:cs="Arial"/>
        </w:rPr>
      </w:pPr>
      <w:r>
        <w:rPr>
          <w:rFonts w:ascii="Book Antiqua" w:hAnsi="Book Antiqua" w:cs="Arial"/>
        </w:rPr>
        <w:t>In rely</w:t>
      </w:r>
      <w:r w:rsidR="0065695A">
        <w:rPr>
          <w:rFonts w:ascii="Book Antiqua" w:hAnsi="Book Antiqua" w:cs="Arial"/>
        </w:rPr>
        <w:t>,</w:t>
      </w:r>
      <w:r>
        <w:rPr>
          <w:rFonts w:ascii="Book Antiqua" w:hAnsi="Book Antiqua" w:cs="Arial"/>
        </w:rPr>
        <w:t xml:space="preserve"> Mr Holmes responded to </w:t>
      </w:r>
      <w:r w:rsidR="0065695A">
        <w:rPr>
          <w:rFonts w:ascii="Book Antiqua" w:hAnsi="Book Antiqua" w:cs="Arial"/>
        </w:rPr>
        <w:t xml:space="preserve">the </w:t>
      </w:r>
      <w:r>
        <w:rPr>
          <w:rFonts w:ascii="Book Antiqua" w:hAnsi="Book Antiqua" w:cs="Arial"/>
        </w:rPr>
        <w:t xml:space="preserve">article 15(c) point </w:t>
      </w:r>
      <w:r w:rsidR="0065695A">
        <w:rPr>
          <w:rFonts w:ascii="Book Antiqua" w:hAnsi="Book Antiqua" w:cs="Arial"/>
        </w:rPr>
        <w:t xml:space="preserve">by </w:t>
      </w:r>
      <w:r w:rsidR="00D71405">
        <w:rPr>
          <w:rFonts w:ascii="Book Antiqua" w:hAnsi="Book Antiqua" w:cs="Arial"/>
        </w:rPr>
        <w:t xml:space="preserve">submitting that the Judge had not given enough reasoning </w:t>
      </w:r>
      <w:r w:rsidR="0065695A">
        <w:rPr>
          <w:rFonts w:ascii="Book Antiqua" w:hAnsi="Book Antiqua" w:cs="Arial"/>
        </w:rPr>
        <w:t xml:space="preserve">and </w:t>
      </w:r>
      <w:r w:rsidR="00D71405">
        <w:rPr>
          <w:rFonts w:ascii="Book Antiqua" w:hAnsi="Book Antiqua" w:cs="Arial"/>
        </w:rPr>
        <w:t>should have done more in relation to his decision on this point.</w:t>
      </w:r>
    </w:p>
    <w:p w:rsidR="00FD1BDB" w:rsidRPr="00D32B8A" w:rsidRDefault="00FD1BDB" w:rsidP="00C461B3">
      <w:pPr>
        <w:ind w:left="360"/>
        <w:jc w:val="both"/>
        <w:rPr>
          <w:rFonts w:ascii="Book Antiqua" w:hAnsi="Book Antiqua" w:cs="Arial"/>
        </w:rPr>
      </w:pPr>
    </w:p>
    <w:p w:rsidR="00D32B8A" w:rsidRPr="00D32B8A" w:rsidRDefault="00FD1BDB" w:rsidP="00C461B3">
      <w:pPr>
        <w:pStyle w:val="Heading5"/>
        <w:jc w:val="both"/>
        <w:rPr>
          <w:rFonts w:ascii="Book Antiqua" w:hAnsi="Book Antiqua" w:cs="Arial"/>
          <w:sz w:val="24"/>
        </w:rPr>
      </w:pPr>
      <w:r>
        <w:rPr>
          <w:rFonts w:ascii="Book Antiqua" w:hAnsi="Book Antiqua" w:cs="Arial"/>
          <w:sz w:val="24"/>
        </w:rPr>
        <w:lastRenderedPageBreak/>
        <w:t>Discussion</w:t>
      </w:r>
    </w:p>
    <w:p w:rsidR="00D32B8A" w:rsidRPr="00D32B8A" w:rsidRDefault="00D32B8A" w:rsidP="00C461B3">
      <w:pPr>
        <w:ind w:firstLine="60"/>
        <w:jc w:val="both"/>
        <w:rPr>
          <w:rFonts w:ascii="Book Antiqua" w:hAnsi="Book Antiqua" w:cs="Arial"/>
        </w:rPr>
      </w:pPr>
    </w:p>
    <w:p w:rsidR="006C0C76" w:rsidRDefault="006C0C76" w:rsidP="00C461B3">
      <w:pPr>
        <w:numPr>
          <w:ilvl w:val="0"/>
          <w:numId w:val="3"/>
        </w:numPr>
        <w:jc w:val="both"/>
        <w:rPr>
          <w:rFonts w:ascii="Book Antiqua" w:hAnsi="Book Antiqua" w:cs="Arial"/>
        </w:rPr>
      </w:pPr>
      <w:r>
        <w:rPr>
          <w:rFonts w:ascii="Book Antiqua" w:hAnsi="Book Antiqua" w:cs="Arial"/>
        </w:rPr>
        <w:t xml:space="preserve">The challenge to the </w:t>
      </w:r>
      <w:r w:rsidR="0065695A">
        <w:rPr>
          <w:rFonts w:ascii="Book Antiqua" w:hAnsi="Book Antiqua" w:cs="Arial"/>
        </w:rPr>
        <w:t xml:space="preserve">findings </w:t>
      </w:r>
      <w:r>
        <w:rPr>
          <w:rFonts w:ascii="Book Antiqua" w:hAnsi="Book Antiqua" w:cs="Arial"/>
        </w:rPr>
        <w:t xml:space="preserve">under article 15(c) </w:t>
      </w:r>
      <w:r w:rsidR="0065695A">
        <w:rPr>
          <w:rFonts w:ascii="Book Antiqua" w:hAnsi="Book Antiqua" w:cs="Arial"/>
        </w:rPr>
        <w:t xml:space="preserve">of the Qualification Directive </w:t>
      </w:r>
      <w:r>
        <w:rPr>
          <w:rFonts w:ascii="Book Antiqua" w:hAnsi="Book Antiqua" w:cs="Arial"/>
        </w:rPr>
        <w:t xml:space="preserve">has not been shown to have arguable merit. The Upper Tribunal has published an updated country guidance case relating to Afghanistan, </w:t>
      </w:r>
      <w:r w:rsidRPr="0065695A">
        <w:rPr>
          <w:rFonts w:ascii="Book Antiqua" w:hAnsi="Book Antiqua" w:cs="Arial"/>
          <w:i/>
        </w:rPr>
        <w:t>AS (Safety of Kabul) Afghanistan CG [2018] UKUT 00118 (IAC),</w:t>
      </w:r>
      <w:r>
        <w:rPr>
          <w:rFonts w:ascii="Book Antiqua" w:hAnsi="Book Antiqua" w:cs="Arial"/>
        </w:rPr>
        <w:t xml:space="preserve"> the headnote of which reads:</w:t>
      </w:r>
    </w:p>
    <w:p w:rsidR="006C0C76" w:rsidRPr="00584280" w:rsidRDefault="00584280" w:rsidP="00584280">
      <w:pPr>
        <w:pStyle w:val="NormalWeb"/>
        <w:spacing w:before="120" w:beforeAutospacing="0" w:after="120" w:afterAutospacing="0"/>
        <w:ind w:left="1701" w:right="567"/>
        <w:jc w:val="both"/>
        <w:rPr>
          <w:rFonts w:ascii="Book Antiqua" w:hAnsi="Book Antiqua"/>
          <w:sz w:val="22"/>
          <w:szCs w:val="22"/>
          <w:lang w:val="en"/>
        </w:rPr>
      </w:pPr>
      <w:r>
        <w:rPr>
          <w:rStyle w:val="Emphasis"/>
          <w:rFonts w:ascii="Book Antiqua" w:hAnsi="Book Antiqua"/>
          <w:sz w:val="22"/>
          <w:szCs w:val="22"/>
          <w:lang w:val="en"/>
        </w:rPr>
        <w:t>“</w:t>
      </w:r>
      <w:r w:rsidR="006C0C76" w:rsidRPr="00584280">
        <w:rPr>
          <w:rStyle w:val="Emphasis"/>
          <w:rFonts w:ascii="Book Antiqua" w:hAnsi="Book Antiqua"/>
          <w:sz w:val="22"/>
          <w:szCs w:val="22"/>
          <w:lang w:val="en"/>
        </w:rPr>
        <w:t>Risk on return to Kabul from the Taliban</w:t>
      </w:r>
      <w:r w:rsidR="006C0C76" w:rsidRPr="00584280">
        <w:rPr>
          <w:rFonts w:ascii="Book Antiqua" w:hAnsi="Book Antiqua"/>
          <w:sz w:val="22"/>
          <w:szCs w:val="22"/>
          <w:lang w:val="en"/>
        </w:rPr>
        <w:t> </w:t>
      </w:r>
    </w:p>
    <w:p w:rsidR="006C0C76" w:rsidRPr="00584280" w:rsidRDefault="006C0C76" w:rsidP="00584280">
      <w:pPr>
        <w:numPr>
          <w:ilvl w:val="0"/>
          <w:numId w:val="4"/>
        </w:numPr>
        <w:spacing w:before="120" w:after="120"/>
        <w:ind w:left="2268" w:right="567" w:hanging="567"/>
        <w:jc w:val="both"/>
        <w:rPr>
          <w:rFonts w:ascii="Book Antiqua" w:hAnsi="Book Antiqua"/>
          <w:sz w:val="22"/>
          <w:szCs w:val="22"/>
          <w:lang w:val="en"/>
        </w:rPr>
      </w:pPr>
      <w:r w:rsidRPr="00584280">
        <w:rPr>
          <w:rStyle w:val="Emphasis"/>
          <w:rFonts w:ascii="Book Antiqua" w:hAnsi="Book Antiqua"/>
          <w:sz w:val="22"/>
          <w:szCs w:val="22"/>
          <w:lang w:val="en"/>
        </w:rPr>
        <w:t>A person who is of lower-level interest for the Taliban (i.e. not a senior government or security services official, or a spy) is not at real risk of persecution from the Taliban in Kabul.</w:t>
      </w:r>
      <w:r w:rsidRPr="00584280">
        <w:rPr>
          <w:rFonts w:ascii="Book Antiqua" w:hAnsi="Book Antiqua"/>
          <w:sz w:val="22"/>
          <w:szCs w:val="22"/>
          <w:lang w:val="en"/>
        </w:rPr>
        <w:t> </w:t>
      </w:r>
    </w:p>
    <w:p w:rsidR="006C0C76" w:rsidRPr="00584280" w:rsidRDefault="006C0C76" w:rsidP="00584280">
      <w:pPr>
        <w:pStyle w:val="NormalWeb"/>
        <w:spacing w:before="120" w:beforeAutospacing="0" w:after="120" w:afterAutospacing="0"/>
        <w:ind w:left="1701" w:right="567"/>
        <w:jc w:val="both"/>
        <w:rPr>
          <w:rFonts w:ascii="Book Antiqua" w:hAnsi="Book Antiqua"/>
          <w:sz w:val="22"/>
          <w:szCs w:val="22"/>
          <w:lang w:val="en"/>
        </w:rPr>
      </w:pPr>
      <w:r w:rsidRPr="00584280">
        <w:rPr>
          <w:rStyle w:val="Emphasis"/>
          <w:rFonts w:ascii="Book Antiqua" w:hAnsi="Book Antiqua"/>
          <w:sz w:val="22"/>
          <w:szCs w:val="22"/>
          <w:lang w:val="en"/>
        </w:rPr>
        <w:t>Internal relocation to Kabul</w:t>
      </w:r>
      <w:r w:rsidRPr="00584280">
        <w:rPr>
          <w:rFonts w:ascii="Book Antiqua" w:hAnsi="Book Antiqua"/>
          <w:sz w:val="22"/>
          <w:szCs w:val="22"/>
          <w:lang w:val="en"/>
        </w:rPr>
        <w:t> </w:t>
      </w:r>
    </w:p>
    <w:p w:rsidR="006C0C76" w:rsidRPr="00584280" w:rsidRDefault="006C0C76" w:rsidP="00584280">
      <w:pPr>
        <w:numPr>
          <w:ilvl w:val="0"/>
          <w:numId w:val="4"/>
        </w:numPr>
        <w:spacing w:before="120" w:after="120"/>
        <w:ind w:left="2268" w:right="567" w:hanging="567"/>
        <w:jc w:val="both"/>
        <w:rPr>
          <w:rFonts w:ascii="Book Antiqua" w:hAnsi="Book Antiqua"/>
          <w:sz w:val="22"/>
          <w:szCs w:val="22"/>
          <w:lang w:val="en"/>
        </w:rPr>
      </w:pPr>
      <w:r w:rsidRPr="00584280">
        <w:rPr>
          <w:rStyle w:val="Emphasis"/>
          <w:rFonts w:ascii="Book Antiqua" w:hAnsi="Book Antiqua"/>
          <w:sz w:val="22"/>
          <w:szCs w:val="22"/>
          <w:lang w:val="en"/>
        </w:rPr>
        <w:t>Having regard to the security and humanitarian situation in Kabul as well as the difficulties faced by the population living there (primarily the urban poor but also IDPs and other returnees, which are not dissimilar to the conditions faced throughout may other parts of Afghanistan); it will not, in general be unreasonable or unduly harsh for a single adult male in good health to relocate to Kabul even if he does not have any specific connections or support network in Kabul.</w:t>
      </w:r>
      <w:r w:rsidRPr="00584280">
        <w:rPr>
          <w:rFonts w:ascii="Book Antiqua" w:hAnsi="Book Antiqua"/>
          <w:sz w:val="22"/>
          <w:szCs w:val="22"/>
          <w:lang w:val="en"/>
        </w:rPr>
        <w:t> </w:t>
      </w:r>
    </w:p>
    <w:p w:rsidR="006C0C76" w:rsidRPr="00584280" w:rsidRDefault="006C0C76" w:rsidP="00584280">
      <w:pPr>
        <w:numPr>
          <w:ilvl w:val="0"/>
          <w:numId w:val="4"/>
        </w:numPr>
        <w:spacing w:before="120" w:after="120"/>
        <w:ind w:left="2268" w:right="567" w:hanging="567"/>
        <w:jc w:val="both"/>
        <w:rPr>
          <w:rFonts w:ascii="Book Antiqua" w:hAnsi="Book Antiqua"/>
          <w:sz w:val="22"/>
          <w:szCs w:val="22"/>
          <w:lang w:val="en"/>
        </w:rPr>
      </w:pPr>
      <w:r w:rsidRPr="00584280">
        <w:rPr>
          <w:rStyle w:val="Emphasis"/>
          <w:rFonts w:ascii="Book Antiqua" w:hAnsi="Book Antiqua"/>
          <w:sz w:val="22"/>
          <w:szCs w:val="22"/>
          <w:lang w:val="en"/>
        </w:rPr>
        <w:t xml:space="preserve">However, the </w:t>
      </w:r>
      <w:proofErr w:type="gramStart"/>
      <w:r w:rsidRPr="00584280">
        <w:rPr>
          <w:rStyle w:val="Emphasis"/>
          <w:rFonts w:ascii="Book Antiqua" w:hAnsi="Book Antiqua"/>
          <w:sz w:val="22"/>
          <w:szCs w:val="22"/>
          <w:lang w:val="en"/>
        </w:rPr>
        <w:t>particular circumstances</w:t>
      </w:r>
      <w:proofErr w:type="gramEnd"/>
      <w:r w:rsidRPr="00584280">
        <w:rPr>
          <w:rStyle w:val="Emphasis"/>
          <w:rFonts w:ascii="Book Antiqua" w:hAnsi="Book Antiqua"/>
          <w:sz w:val="22"/>
          <w:szCs w:val="22"/>
          <w:lang w:val="en"/>
        </w:rPr>
        <w:t xml:space="preserve"> of an individual applicant must be taken into account in the context of conditions in the place of relocation, including a person's age, nature and quality of support network/connections with Kabul/Afghanistan, their physical and mental health, and their language, education and vocational skills when determining whether a person falls within the general position set out above.</w:t>
      </w:r>
      <w:r w:rsidRPr="00584280">
        <w:rPr>
          <w:rFonts w:ascii="Book Antiqua" w:hAnsi="Book Antiqua"/>
          <w:sz w:val="22"/>
          <w:szCs w:val="22"/>
          <w:lang w:val="en"/>
        </w:rPr>
        <w:t> </w:t>
      </w:r>
    </w:p>
    <w:p w:rsidR="006C0C76" w:rsidRPr="00584280" w:rsidRDefault="006C0C76" w:rsidP="00584280">
      <w:pPr>
        <w:numPr>
          <w:ilvl w:val="0"/>
          <w:numId w:val="4"/>
        </w:numPr>
        <w:spacing w:before="120" w:after="120"/>
        <w:ind w:left="2268" w:right="567" w:hanging="567"/>
        <w:jc w:val="both"/>
        <w:rPr>
          <w:rFonts w:ascii="Book Antiqua" w:hAnsi="Book Antiqua"/>
          <w:sz w:val="22"/>
          <w:szCs w:val="22"/>
          <w:lang w:val="en"/>
        </w:rPr>
      </w:pPr>
      <w:r w:rsidRPr="00584280">
        <w:rPr>
          <w:rStyle w:val="Emphasis"/>
          <w:rFonts w:ascii="Book Antiqua" w:hAnsi="Book Antiqua"/>
          <w:sz w:val="22"/>
          <w:szCs w:val="22"/>
          <w:lang w:val="en"/>
        </w:rPr>
        <w:t xml:space="preserve">A person with a support network or specific connections in Kabul is likely to be in a more advantageous position on return, which may counter a </w:t>
      </w:r>
      <w:proofErr w:type="gramStart"/>
      <w:r w:rsidRPr="00584280">
        <w:rPr>
          <w:rStyle w:val="Emphasis"/>
          <w:rFonts w:ascii="Book Antiqua" w:hAnsi="Book Antiqua"/>
          <w:sz w:val="22"/>
          <w:szCs w:val="22"/>
          <w:lang w:val="en"/>
        </w:rPr>
        <w:t>particular vulnerability</w:t>
      </w:r>
      <w:proofErr w:type="gramEnd"/>
      <w:r w:rsidRPr="00584280">
        <w:rPr>
          <w:rStyle w:val="Emphasis"/>
          <w:rFonts w:ascii="Book Antiqua" w:hAnsi="Book Antiqua"/>
          <w:sz w:val="22"/>
          <w:szCs w:val="22"/>
          <w:lang w:val="en"/>
        </w:rPr>
        <w:t xml:space="preserve"> of an individual on return.</w:t>
      </w:r>
      <w:r w:rsidRPr="00584280">
        <w:rPr>
          <w:rFonts w:ascii="Book Antiqua" w:hAnsi="Book Antiqua"/>
          <w:sz w:val="22"/>
          <w:szCs w:val="22"/>
          <w:lang w:val="en"/>
        </w:rPr>
        <w:t> </w:t>
      </w:r>
    </w:p>
    <w:p w:rsidR="006C0C76" w:rsidRPr="00584280" w:rsidRDefault="006C0C76" w:rsidP="00584280">
      <w:pPr>
        <w:numPr>
          <w:ilvl w:val="0"/>
          <w:numId w:val="4"/>
        </w:numPr>
        <w:spacing w:before="120" w:after="120"/>
        <w:ind w:left="2268" w:right="567" w:hanging="567"/>
        <w:jc w:val="both"/>
        <w:rPr>
          <w:rFonts w:ascii="Book Antiqua" w:hAnsi="Book Antiqua"/>
          <w:sz w:val="22"/>
          <w:szCs w:val="22"/>
          <w:lang w:val="en"/>
        </w:rPr>
      </w:pPr>
      <w:r w:rsidRPr="00584280">
        <w:rPr>
          <w:rStyle w:val="Emphasis"/>
          <w:rFonts w:ascii="Book Antiqua" w:hAnsi="Book Antiqua"/>
          <w:sz w:val="22"/>
          <w:szCs w:val="22"/>
          <w:lang w:val="en"/>
        </w:rPr>
        <w:t>Although Kabul suffered the highest number of civilian casualties (in the latest UNAMA figures from 2017) and the number of security incidents is increasing, the proportion of the population directly affected by the security situation is tiny.  The current security situation in Kabul is not at such a level as to render internal relocation unreasonable or unduly harsh.</w:t>
      </w:r>
      <w:r w:rsidRPr="00584280">
        <w:rPr>
          <w:rFonts w:ascii="Book Antiqua" w:hAnsi="Book Antiqua"/>
          <w:sz w:val="22"/>
          <w:szCs w:val="22"/>
          <w:lang w:val="en"/>
        </w:rPr>
        <w:t> </w:t>
      </w:r>
    </w:p>
    <w:p w:rsidR="006C0C76" w:rsidRPr="00584280" w:rsidRDefault="006C0C76" w:rsidP="00584280">
      <w:pPr>
        <w:pStyle w:val="NormalWeb"/>
        <w:spacing w:before="120" w:beforeAutospacing="0" w:after="120" w:afterAutospacing="0"/>
        <w:ind w:left="1701" w:right="567"/>
        <w:jc w:val="both"/>
        <w:rPr>
          <w:rFonts w:ascii="Book Antiqua" w:hAnsi="Book Antiqua"/>
          <w:sz w:val="22"/>
          <w:szCs w:val="22"/>
          <w:lang w:val="en"/>
        </w:rPr>
      </w:pPr>
      <w:r w:rsidRPr="00584280">
        <w:rPr>
          <w:rStyle w:val="Emphasis"/>
          <w:rFonts w:ascii="Book Antiqua" w:hAnsi="Book Antiqua"/>
          <w:sz w:val="22"/>
          <w:szCs w:val="22"/>
          <w:lang w:val="en"/>
        </w:rPr>
        <w:t>Previous Country Guidance</w:t>
      </w:r>
      <w:r w:rsidRPr="00584280">
        <w:rPr>
          <w:rFonts w:ascii="Book Antiqua" w:hAnsi="Book Antiqua"/>
          <w:sz w:val="22"/>
          <w:szCs w:val="22"/>
          <w:lang w:val="en"/>
        </w:rPr>
        <w:t> </w:t>
      </w:r>
    </w:p>
    <w:p w:rsidR="006C0C76" w:rsidRPr="00584280" w:rsidRDefault="006C0C76" w:rsidP="00584280">
      <w:pPr>
        <w:numPr>
          <w:ilvl w:val="0"/>
          <w:numId w:val="4"/>
        </w:numPr>
        <w:spacing w:before="120" w:after="120"/>
        <w:ind w:left="2268" w:right="567" w:hanging="567"/>
        <w:jc w:val="both"/>
        <w:rPr>
          <w:rFonts w:ascii="Book Antiqua" w:hAnsi="Book Antiqua"/>
          <w:sz w:val="22"/>
          <w:szCs w:val="22"/>
          <w:lang w:val="en"/>
        </w:rPr>
      </w:pPr>
      <w:r w:rsidRPr="00584280">
        <w:rPr>
          <w:rStyle w:val="Emphasis"/>
          <w:rFonts w:ascii="Book Antiqua" w:hAnsi="Book Antiqua"/>
          <w:sz w:val="22"/>
          <w:szCs w:val="22"/>
          <w:lang w:val="en"/>
        </w:rPr>
        <w:t xml:space="preserve">The country guidance in </w:t>
      </w:r>
      <w:r w:rsidRPr="00584280">
        <w:rPr>
          <w:rStyle w:val="Emphasis"/>
          <w:rFonts w:ascii="Book Antiqua" w:hAnsi="Book Antiqua"/>
          <w:sz w:val="22"/>
          <w:szCs w:val="22"/>
          <w:u w:val="single"/>
          <w:lang w:val="en"/>
        </w:rPr>
        <w:t>AK (Article 15(c)) Afghanistan</w:t>
      </w:r>
      <w:r w:rsidRPr="00584280">
        <w:rPr>
          <w:rStyle w:val="Emphasis"/>
          <w:rFonts w:ascii="Book Antiqua" w:hAnsi="Book Antiqua"/>
          <w:sz w:val="22"/>
          <w:szCs w:val="22"/>
          <w:lang w:val="en"/>
        </w:rPr>
        <w:t xml:space="preserve"> CG [2012] UKUT 163 (IAC) in relation to Article 15(c) of the Qualification Directive remains unaffected by this decision.</w:t>
      </w:r>
      <w:r w:rsidRPr="00584280">
        <w:rPr>
          <w:rFonts w:ascii="Book Antiqua" w:hAnsi="Book Antiqua"/>
          <w:sz w:val="22"/>
          <w:szCs w:val="22"/>
          <w:lang w:val="en"/>
        </w:rPr>
        <w:t> </w:t>
      </w:r>
    </w:p>
    <w:p w:rsidR="006C0C76" w:rsidRPr="00584280" w:rsidRDefault="006C0C76" w:rsidP="00584280">
      <w:pPr>
        <w:numPr>
          <w:ilvl w:val="0"/>
          <w:numId w:val="4"/>
        </w:numPr>
        <w:spacing w:before="120" w:after="120"/>
        <w:ind w:left="2268" w:right="567" w:hanging="567"/>
        <w:jc w:val="both"/>
        <w:rPr>
          <w:rFonts w:ascii="Book Antiqua" w:hAnsi="Book Antiqua"/>
          <w:sz w:val="22"/>
          <w:szCs w:val="22"/>
          <w:lang w:val="en"/>
        </w:rPr>
      </w:pPr>
      <w:r w:rsidRPr="00584280">
        <w:rPr>
          <w:rStyle w:val="Emphasis"/>
          <w:rFonts w:ascii="Book Antiqua" w:hAnsi="Book Antiqua"/>
          <w:sz w:val="22"/>
          <w:szCs w:val="22"/>
          <w:lang w:val="en"/>
        </w:rPr>
        <w:t xml:space="preserve">The country guidance in </w:t>
      </w:r>
      <w:r w:rsidRPr="00584280">
        <w:rPr>
          <w:rStyle w:val="Emphasis"/>
          <w:rFonts w:ascii="Book Antiqua" w:hAnsi="Book Antiqua"/>
          <w:sz w:val="22"/>
          <w:szCs w:val="22"/>
          <w:u w:val="single"/>
          <w:lang w:val="en"/>
        </w:rPr>
        <w:t>AK (Article 15(c)) Afghanistan</w:t>
      </w:r>
      <w:r w:rsidRPr="00584280">
        <w:rPr>
          <w:rStyle w:val="Emphasis"/>
          <w:rFonts w:ascii="Book Antiqua" w:hAnsi="Book Antiqua"/>
          <w:sz w:val="22"/>
          <w:szCs w:val="22"/>
          <w:lang w:val="en"/>
        </w:rPr>
        <w:t xml:space="preserve"> CG [2012] UKUT 163 (IAC) in relation to the (un)reasonableness of internal relocation to Kabul (and other potential places of internal relocation) for certain categories of women remains unaffected by this decision.</w:t>
      </w:r>
      <w:r w:rsidRPr="00584280">
        <w:rPr>
          <w:rFonts w:ascii="Book Antiqua" w:hAnsi="Book Antiqua"/>
          <w:sz w:val="22"/>
          <w:szCs w:val="22"/>
          <w:lang w:val="en"/>
        </w:rPr>
        <w:t> </w:t>
      </w:r>
    </w:p>
    <w:p w:rsidR="006C0C76" w:rsidRPr="00584280" w:rsidRDefault="006C0C76" w:rsidP="00584280">
      <w:pPr>
        <w:numPr>
          <w:ilvl w:val="0"/>
          <w:numId w:val="4"/>
        </w:numPr>
        <w:spacing w:before="120" w:after="120"/>
        <w:ind w:left="2268" w:right="567" w:hanging="567"/>
        <w:jc w:val="both"/>
        <w:rPr>
          <w:rFonts w:ascii="Book Antiqua" w:hAnsi="Book Antiqua"/>
          <w:sz w:val="22"/>
          <w:szCs w:val="22"/>
          <w:lang w:val="en"/>
        </w:rPr>
      </w:pPr>
      <w:r w:rsidRPr="00584280">
        <w:rPr>
          <w:rStyle w:val="Emphasis"/>
          <w:rFonts w:ascii="Book Antiqua" w:hAnsi="Book Antiqua"/>
          <w:sz w:val="22"/>
          <w:szCs w:val="22"/>
          <w:lang w:val="en"/>
        </w:rPr>
        <w:t xml:space="preserve">The country guidance in </w:t>
      </w:r>
      <w:r w:rsidRPr="00584280">
        <w:rPr>
          <w:rStyle w:val="Emphasis"/>
          <w:rFonts w:ascii="Book Antiqua" w:hAnsi="Book Antiqua"/>
          <w:sz w:val="22"/>
          <w:szCs w:val="22"/>
          <w:u w:val="single"/>
          <w:lang w:val="en"/>
        </w:rPr>
        <w:t>AA (unattended children) Afghanistan</w:t>
      </w:r>
      <w:r w:rsidRPr="00584280">
        <w:rPr>
          <w:rStyle w:val="Emphasis"/>
          <w:rFonts w:ascii="Book Antiqua" w:hAnsi="Book Antiqua"/>
          <w:sz w:val="22"/>
          <w:szCs w:val="22"/>
          <w:lang w:val="en"/>
        </w:rPr>
        <w:t xml:space="preserve"> CG [2012] UKUT 00016 (IAC) also remains unaffected by this decision.</w:t>
      </w:r>
      <w:r w:rsidR="00584280">
        <w:rPr>
          <w:rStyle w:val="Emphasis"/>
          <w:rFonts w:ascii="Book Antiqua" w:hAnsi="Book Antiqua"/>
          <w:sz w:val="22"/>
          <w:szCs w:val="22"/>
          <w:lang w:val="en"/>
        </w:rPr>
        <w:t>”</w:t>
      </w:r>
    </w:p>
    <w:p w:rsidR="006C0C76" w:rsidRPr="00584280" w:rsidRDefault="006C0C76" w:rsidP="00584280">
      <w:pPr>
        <w:spacing w:before="120" w:after="120"/>
        <w:ind w:left="1701" w:right="567"/>
        <w:jc w:val="both"/>
        <w:rPr>
          <w:rFonts w:ascii="Book Antiqua" w:hAnsi="Book Antiqua" w:cs="Arial"/>
          <w:sz w:val="22"/>
          <w:szCs w:val="22"/>
        </w:rPr>
      </w:pPr>
    </w:p>
    <w:p w:rsidR="006C0C76" w:rsidRDefault="006C0C76" w:rsidP="00C461B3">
      <w:pPr>
        <w:numPr>
          <w:ilvl w:val="0"/>
          <w:numId w:val="3"/>
        </w:numPr>
        <w:jc w:val="both"/>
        <w:rPr>
          <w:rFonts w:ascii="Book Antiqua" w:hAnsi="Book Antiqua" w:cs="Arial"/>
        </w:rPr>
      </w:pPr>
      <w:r>
        <w:rPr>
          <w:rFonts w:ascii="Book Antiqua" w:hAnsi="Book Antiqua" w:cs="Arial"/>
        </w:rPr>
        <w:t xml:space="preserve">Although </w:t>
      </w:r>
      <w:r w:rsidR="0065695A">
        <w:rPr>
          <w:rFonts w:ascii="Book Antiqua" w:hAnsi="Book Antiqua" w:cs="Arial"/>
        </w:rPr>
        <w:t xml:space="preserve">this decision </w:t>
      </w:r>
      <w:r>
        <w:rPr>
          <w:rFonts w:ascii="Book Antiqua" w:hAnsi="Book Antiqua" w:cs="Arial"/>
        </w:rPr>
        <w:t xml:space="preserve">was handed down in April 2018 the material considered by the Upper Tribunal was similar to that considered by the Judge. The Judge </w:t>
      </w:r>
      <w:r>
        <w:rPr>
          <w:rFonts w:ascii="Book Antiqua" w:hAnsi="Book Antiqua" w:cs="Arial"/>
        </w:rPr>
        <w:lastRenderedPageBreak/>
        <w:t xml:space="preserve">relied upon the decision in </w:t>
      </w:r>
      <w:r w:rsidRPr="0065695A">
        <w:rPr>
          <w:rFonts w:ascii="Book Antiqua" w:hAnsi="Book Antiqua" w:cs="Arial"/>
          <w:i/>
        </w:rPr>
        <w:t>AK</w:t>
      </w:r>
      <w:r>
        <w:rPr>
          <w:rFonts w:ascii="Book Antiqua" w:hAnsi="Book Antiqua" w:cs="Arial"/>
        </w:rPr>
        <w:t xml:space="preserve"> and no arguable material legal error sufficient to warrant the Upper Tribunal interfering with the conclusions relating to article 15(c) have been made out. It was not establish</w:t>
      </w:r>
      <w:r w:rsidR="0065695A">
        <w:rPr>
          <w:rFonts w:ascii="Book Antiqua" w:hAnsi="Book Antiqua" w:cs="Arial"/>
        </w:rPr>
        <w:t>ed</w:t>
      </w:r>
      <w:r>
        <w:rPr>
          <w:rFonts w:ascii="Book Antiqua" w:hAnsi="Book Antiqua" w:cs="Arial"/>
        </w:rPr>
        <w:t xml:space="preserve"> that the applicant’s personal demeanour </w:t>
      </w:r>
      <w:r w:rsidR="0065695A">
        <w:rPr>
          <w:rFonts w:ascii="Book Antiqua" w:hAnsi="Book Antiqua" w:cs="Arial"/>
        </w:rPr>
        <w:t xml:space="preserve">or </w:t>
      </w:r>
      <w:r>
        <w:rPr>
          <w:rFonts w:ascii="Book Antiqua" w:hAnsi="Book Antiqua" w:cs="Arial"/>
        </w:rPr>
        <w:t>presentation was such to enable him to succeed on this basis.</w:t>
      </w:r>
    </w:p>
    <w:p w:rsidR="006C0C76" w:rsidRDefault="006C0C76" w:rsidP="00C461B3">
      <w:pPr>
        <w:numPr>
          <w:ilvl w:val="0"/>
          <w:numId w:val="3"/>
        </w:numPr>
        <w:jc w:val="both"/>
        <w:rPr>
          <w:rFonts w:ascii="Book Antiqua" w:hAnsi="Book Antiqua" w:cs="Arial"/>
        </w:rPr>
      </w:pPr>
      <w:r>
        <w:rPr>
          <w:rFonts w:ascii="Book Antiqua" w:hAnsi="Book Antiqua" w:cs="Arial"/>
        </w:rPr>
        <w:t xml:space="preserve">Whilst it was claimed by Mr Holmes the appellant has </w:t>
      </w:r>
      <w:r w:rsidR="0065695A">
        <w:rPr>
          <w:rFonts w:ascii="Book Antiqua" w:hAnsi="Book Antiqua" w:cs="Arial"/>
        </w:rPr>
        <w:t xml:space="preserve">a </w:t>
      </w:r>
      <w:r>
        <w:rPr>
          <w:rFonts w:ascii="Book Antiqua" w:hAnsi="Book Antiqua" w:cs="Arial"/>
        </w:rPr>
        <w:t>subjective fear</w:t>
      </w:r>
      <w:r w:rsidR="0065695A">
        <w:rPr>
          <w:rFonts w:ascii="Book Antiqua" w:hAnsi="Book Antiqua" w:cs="Arial"/>
        </w:rPr>
        <w:t>,</w:t>
      </w:r>
      <w:r>
        <w:rPr>
          <w:rFonts w:ascii="Book Antiqua" w:hAnsi="Book Antiqua" w:cs="Arial"/>
        </w:rPr>
        <w:t xml:space="preserve"> such fear is not objectively well-founded.</w:t>
      </w:r>
    </w:p>
    <w:p w:rsidR="006C0C76" w:rsidRDefault="00D71405" w:rsidP="00C461B3">
      <w:pPr>
        <w:numPr>
          <w:ilvl w:val="0"/>
          <w:numId w:val="3"/>
        </w:numPr>
        <w:jc w:val="both"/>
        <w:rPr>
          <w:rFonts w:ascii="Book Antiqua" w:hAnsi="Book Antiqua" w:cs="Arial"/>
        </w:rPr>
      </w:pPr>
      <w:r>
        <w:rPr>
          <w:rFonts w:ascii="Book Antiqua" w:hAnsi="Book Antiqua" w:cs="Arial"/>
        </w:rPr>
        <w:t>So far as the tracing issue is concerned, in</w:t>
      </w:r>
      <w:r w:rsidR="000F2D50">
        <w:rPr>
          <w:rFonts w:ascii="Book Antiqua" w:hAnsi="Book Antiqua" w:cs="Arial"/>
        </w:rPr>
        <w:t xml:space="preserve"> </w:t>
      </w:r>
      <w:r w:rsidR="000F2D50" w:rsidRPr="0065695A">
        <w:rPr>
          <w:rFonts w:ascii="Book Antiqua" w:hAnsi="Book Antiqua" w:cs="Arial"/>
          <w:i/>
        </w:rPr>
        <w:t xml:space="preserve">TN and MA (Afghanistan: AA (Afghanistan) [2015] UKSC 40 </w:t>
      </w:r>
      <w:r w:rsidR="00316598">
        <w:rPr>
          <w:rFonts w:ascii="Book Antiqua" w:hAnsi="Book Antiqua" w:cs="Arial"/>
        </w:rPr>
        <w:t>the Supreme Court found at [68 and 69] relied upon by Mr Holmes:</w:t>
      </w:r>
    </w:p>
    <w:p w:rsidR="00316598" w:rsidRPr="00584280" w:rsidRDefault="00584280" w:rsidP="00584280">
      <w:pPr>
        <w:spacing w:before="120" w:after="120"/>
        <w:ind w:left="2268" w:right="567" w:hanging="567"/>
        <w:jc w:val="both"/>
        <w:rPr>
          <w:rFonts w:ascii="Book Antiqua" w:hAnsi="Book Antiqua" w:cs="Arial"/>
          <w:sz w:val="22"/>
          <w:szCs w:val="22"/>
        </w:rPr>
      </w:pPr>
      <w:r w:rsidRPr="00584280">
        <w:rPr>
          <w:rFonts w:ascii="Book Antiqua" w:hAnsi="Book Antiqua" w:cs="Arial"/>
          <w:sz w:val="22"/>
          <w:szCs w:val="22"/>
        </w:rPr>
        <w:t>“</w:t>
      </w:r>
      <w:r w:rsidR="00316598" w:rsidRPr="00584280">
        <w:rPr>
          <w:rFonts w:ascii="Book Antiqua" w:hAnsi="Book Antiqua" w:cs="Arial"/>
          <w:sz w:val="22"/>
          <w:szCs w:val="22"/>
        </w:rPr>
        <w:t xml:space="preserve">68. </w:t>
      </w:r>
      <w:r w:rsidR="0065695A" w:rsidRPr="00584280">
        <w:rPr>
          <w:rFonts w:ascii="Book Antiqua" w:hAnsi="Book Antiqua" w:cs="Arial"/>
          <w:sz w:val="22"/>
          <w:szCs w:val="22"/>
        </w:rPr>
        <w:tab/>
      </w:r>
      <w:r w:rsidR="00316598" w:rsidRPr="00584280">
        <w:rPr>
          <w:rFonts w:ascii="Book Antiqua" w:hAnsi="Book Antiqua" w:cs="Arial"/>
          <w:sz w:val="22"/>
          <w:szCs w:val="22"/>
        </w:rPr>
        <w:t>I begin with section 55 of the 2009 Act and the statutory guidance issued in Every Child Matters. Officials who discharge the respondent’s functions in relation to immigration and asylum must take into account the best interests of a child as a primary consideration when making decisions which affect them. Protection of the child’s best interests provides the rationale for the respondent’s tracing obligation, as regulation 6(1) of the Asylum Seekers (Reception Conditions) Regulations 2005 explicitly recognises.</w:t>
      </w:r>
    </w:p>
    <w:p w:rsidR="00316598" w:rsidRPr="00584280" w:rsidRDefault="00316598" w:rsidP="00584280">
      <w:pPr>
        <w:spacing w:before="120" w:after="120"/>
        <w:ind w:left="2268" w:right="567" w:hanging="567"/>
        <w:jc w:val="both"/>
        <w:rPr>
          <w:rFonts w:ascii="Book Antiqua" w:hAnsi="Book Antiqua" w:cs="Arial"/>
          <w:sz w:val="22"/>
          <w:szCs w:val="22"/>
        </w:rPr>
      </w:pPr>
      <w:r w:rsidRPr="00584280">
        <w:rPr>
          <w:rFonts w:ascii="Book Antiqua" w:hAnsi="Book Antiqua" w:cs="Arial"/>
          <w:sz w:val="22"/>
          <w:szCs w:val="22"/>
        </w:rPr>
        <w:t xml:space="preserve">69. </w:t>
      </w:r>
      <w:r w:rsidR="0065695A" w:rsidRPr="00584280">
        <w:rPr>
          <w:rFonts w:ascii="Book Antiqua" w:hAnsi="Book Antiqua" w:cs="Arial"/>
          <w:sz w:val="22"/>
          <w:szCs w:val="22"/>
        </w:rPr>
        <w:tab/>
      </w:r>
      <w:r w:rsidRPr="00584280">
        <w:rPr>
          <w:rFonts w:ascii="Book Antiqua" w:hAnsi="Book Antiqua" w:cs="Arial"/>
          <w:sz w:val="22"/>
          <w:szCs w:val="22"/>
        </w:rPr>
        <w:t>The OCC rightly emphasised that before any tracing process is embarked upon the child must be properly consulted about his or her wishes. This is a necessary part of considering the child’s best interests. There may be all sorts of reasons why the child may not want any such process to be carried out, or may be concerned about the way in which it is carried out, because of potential consequences for the child, members of their family or others. Article 19.4 of the Reception Directive requires that those working with unaccompanied minors shall have had appropriate training.</w:t>
      </w:r>
      <w:r w:rsidR="00584280" w:rsidRPr="00584280">
        <w:rPr>
          <w:rFonts w:ascii="Book Antiqua" w:hAnsi="Book Antiqua" w:cs="Arial"/>
          <w:sz w:val="22"/>
          <w:szCs w:val="22"/>
        </w:rPr>
        <w:t>”</w:t>
      </w:r>
    </w:p>
    <w:p w:rsidR="00316598" w:rsidRDefault="00316598" w:rsidP="00C461B3">
      <w:pPr>
        <w:numPr>
          <w:ilvl w:val="0"/>
          <w:numId w:val="3"/>
        </w:numPr>
        <w:jc w:val="both"/>
        <w:rPr>
          <w:rFonts w:ascii="Book Antiqua" w:hAnsi="Book Antiqua" w:cs="Arial"/>
        </w:rPr>
      </w:pPr>
      <w:r>
        <w:rPr>
          <w:rFonts w:ascii="Book Antiqua" w:hAnsi="Book Antiqua" w:cs="Arial"/>
        </w:rPr>
        <w:t>There was, however, no best interest consideration exercise undertaken in relation to the question of tracing</w:t>
      </w:r>
      <w:r w:rsidR="00411676">
        <w:rPr>
          <w:rFonts w:ascii="Book Antiqua" w:hAnsi="Book Antiqua" w:cs="Arial"/>
        </w:rPr>
        <w:t xml:space="preserve"> as tracing is not possible by </w:t>
      </w:r>
      <w:r w:rsidR="00DA436E">
        <w:rPr>
          <w:rFonts w:ascii="Book Antiqua" w:hAnsi="Book Antiqua" w:cs="Arial"/>
        </w:rPr>
        <w:t xml:space="preserve">a </w:t>
      </w:r>
      <w:r w:rsidR="00411676">
        <w:rPr>
          <w:rFonts w:ascii="Book Antiqua" w:hAnsi="Book Antiqua" w:cs="Arial"/>
        </w:rPr>
        <w:t>representative of the respondent or similar organisations in Afghanistan as a result of the risk those undertaking tracing may face and hands of the Taliban or other insurgent groups. As indicated by Mr Harrison in his submissions</w:t>
      </w:r>
      <w:r w:rsidR="00DA436E">
        <w:rPr>
          <w:rFonts w:ascii="Book Antiqua" w:hAnsi="Book Antiqua" w:cs="Arial"/>
        </w:rPr>
        <w:t>,</w:t>
      </w:r>
      <w:r w:rsidR="00411676">
        <w:rPr>
          <w:rFonts w:ascii="Book Antiqua" w:hAnsi="Book Antiqua" w:cs="Arial"/>
        </w:rPr>
        <w:t xml:space="preserve"> it is not disputed that the appellant should be involved but the difficulties regarding information</w:t>
      </w:r>
      <w:r w:rsidR="00DA436E">
        <w:rPr>
          <w:rFonts w:ascii="Book Antiqua" w:hAnsi="Book Antiqua" w:cs="Arial"/>
        </w:rPr>
        <w:t xml:space="preserve"> and </w:t>
      </w:r>
      <w:r w:rsidR="00411676">
        <w:rPr>
          <w:rFonts w:ascii="Book Antiqua" w:hAnsi="Book Antiqua" w:cs="Arial"/>
        </w:rPr>
        <w:t xml:space="preserve">evidence provided </w:t>
      </w:r>
      <w:r w:rsidR="00DA436E">
        <w:rPr>
          <w:rFonts w:ascii="Book Antiqua" w:hAnsi="Book Antiqua" w:cs="Arial"/>
        </w:rPr>
        <w:t>and th</w:t>
      </w:r>
      <w:r w:rsidR="00411676">
        <w:rPr>
          <w:rFonts w:ascii="Book Antiqua" w:hAnsi="Book Antiqua" w:cs="Arial"/>
        </w:rPr>
        <w:t xml:space="preserve">e </w:t>
      </w:r>
      <w:r w:rsidR="00DA436E">
        <w:rPr>
          <w:rFonts w:ascii="Book Antiqua" w:hAnsi="Book Antiqua" w:cs="Arial"/>
        </w:rPr>
        <w:t xml:space="preserve">fact the </w:t>
      </w:r>
      <w:r w:rsidR="00411676">
        <w:rPr>
          <w:rFonts w:ascii="Book Antiqua" w:hAnsi="Book Antiqua" w:cs="Arial"/>
        </w:rPr>
        <w:t>appellant did not want to trace his parents and did not want respondent to do so</w:t>
      </w:r>
      <w:r w:rsidR="00DA436E">
        <w:rPr>
          <w:rFonts w:ascii="Book Antiqua" w:hAnsi="Book Antiqua" w:cs="Arial"/>
        </w:rPr>
        <w:t xml:space="preserve"> is very relevant</w:t>
      </w:r>
      <w:r w:rsidR="00411676">
        <w:rPr>
          <w:rFonts w:ascii="Book Antiqua" w:hAnsi="Book Antiqua" w:cs="Arial"/>
        </w:rPr>
        <w:t xml:space="preserve">. As there was no tracing undertaken </w:t>
      </w:r>
      <w:r w:rsidR="00DA436E">
        <w:rPr>
          <w:rFonts w:ascii="Book Antiqua" w:hAnsi="Book Antiqua" w:cs="Arial"/>
        </w:rPr>
        <w:t xml:space="preserve">it </w:t>
      </w:r>
      <w:r w:rsidR="00411676">
        <w:rPr>
          <w:rFonts w:ascii="Book Antiqua" w:hAnsi="Book Antiqua" w:cs="Arial"/>
        </w:rPr>
        <w:t>could not be suggested that the respondent’s actions impacted adversely upon the best interests of the appellant in this regard.</w:t>
      </w:r>
      <w:r w:rsidR="00DA436E">
        <w:rPr>
          <w:rFonts w:ascii="Book Antiqua" w:hAnsi="Book Antiqua" w:cs="Arial"/>
        </w:rPr>
        <w:t xml:space="preserve"> The section 55 assessment of this context is to ascertain whether it is in the child’s best interests before embarking upon the tracing process. There is therefore a direct causal relationship between the need to consider the best interests of a child and the act of tracing. In this appeal, where no tracing was to occur, it is arguable that no legal error occurs in the respondent not undertaking what would have been an academic exercise to ascertain whether tracing would or would not be in the child’s best interests. The submission by Mr Holmes that if the exercise had been undertaken it may have been relevant to the credibility assessment, such as to have lost the appellant an advantage if the section 55 exercise was not undertaken, has no arguable merit as the appellant was always able to advance all the material he was seeking to rely upon to prove his case, which would have included that </w:t>
      </w:r>
      <w:r w:rsidR="00DA436E">
        <w:rPr>
          <w:rFonts w:ascii="Book Antiqua" w:hAnsi="Book Antiqua" w:cs="Arial"/>
        </w:rPr>
        <w:lastRenderedPageBreak/>
        <w:t>relevant to any section 55 assessment. The burden of proof lay upon the appellant and not upon the Secretary of State.</w:t>
      </w:r>
    </w:p>
    <w:p w:rsidR="00411676" w:rsidRDefault="00411676" w:rsidP="00C461B3">
      <w:pPr>
        <w:numPr>
          <w:ilvl w:val="0"/>
          <w:numId w:val="3"/>
        </w:numPr>
        <w:jc w:val="both"/>
        <w:rPr>
          <w:rFonts w:ascii="Book Antiqua" w:hAnsi="Book Antiqua" w:cs="Arial"/>
        </w:rPr>
      </w:pPr>
      <w:r>
        <w:rPr>
          <w:rFonts w:ascii="Book Antiqua" w:hAnsi="Book Antiqua" w:cs="Arial"/>
        </w:rPr>
        <w:t xml:space="preserve">The appellant </w:t>
      </w:r>
      <w:r w:rsidR="00DA436E">
        <w:rPr>
          <w:rFonts w:ascii="Book Antiqua" w:hAnsi="Book Antiqua" w:cs="Arial"/>
        </w:rPr>
        <w:t xml:space="preserve">has </w:t>
      </w:r>
      <w:r>
        <w:rPr>
          <w:rFonts w:ascii="Book Antiqua" w:hAnsi="Book Antiqua" w:cs="Arial"/>
        </w:rPr>
        <w:t xml:space="preserve">not made out that </w:t>
      </w:r>
      <w:r w:rsidR="00DA436E">
        <w:rPr>
          <w:rFonts w:ascii="Book Antiqua" w:hAnsi="Book Antiqua" w:cs="Arial"/>
        </w:rPr>
        <w:t xml:space="preserve">the respondent’s </w:t>
      </w:r>
      <w:r w:rsidRPr="00411676">
        <w:rPr>
          <w:rFonts w:ascii="Book Antiqua" w:hAnsi="Book Antiqua" w:cs="Arial"/>
        </w:rPr>
        <w:t>failure to comply with her statutory duty to endeavour to trace the family of an unaccompanied minor</w:t>
      </w:r>
      <w:r w:rsidR="00DA436E">
        <w:rPr>
          <w:rFonts w:ascii="Book Antiqua" w:hAnsi="Book Antiqua" w:cs="Arial"/>
        </w:rPr>
        <w:t>,</w:t>
      </w:r>
      <w:r w:rsidRPr="00411676">
        <w:rPr>
          <w:rFonts w:ascii="Book Antiqua" w:hAnsi="Book Antiqua" w:cs="Arial"/>
        </w:rPr>
        <w:t xml:space="preserve"> when he claimed asylum upon his arrival in the UK from Afghanistan </w:t>
      </w:r>
      <w:r w:rsidR="00DA436E">
        <w:rPr>
          <w:rFonts w:ascii="Book Antiqua" w:hAnsi="Book Antiqua" w:cs="Arial"/>
        </w:rPr>
        <w:t xml:space="preserve">or at the later stage when the age assessment issue was resolved, </w:t>
      </w:r>
      <w:r w:rsidRPr="00411676">
        <w:rPr>
          <w:rFonts w:ascii="Book Antiqua" w:hAnsi="Book Antiqua" w:cs="Arial"/>
        </w:rPr>
        <w:t xml:space="preserve">had caused him such prejudice that it would be unfair now to remove him to </w:t>
      </w:r>
      <w:r>
        <w:rPr>
          <w:rFonts w:ascii="Book Antiqua" w:hAnsi="Book Antiqua" w:cs="Arial"/>
        </w:rPr>
        <w:t>Afghanistan, such as</w:t>
      </w:r>
      <w:r w:rsidR="00DA436E">
        <w:rPr>
          <w:rFonts w:ascii="Book Antiqua" w:hAnsi="Book Antiqua" w:cs="Arial"/>
        </w:rPr>
        <w:t xml:space="preserve"> to</w:t>
      </w:r>
      <w:r>
        <w:rPr>
          <w:rFonts w:ascii="Book Antiqua" w:hAnsi="Book Antiqua" w:cs="Arial"/>
        </w:rPr>
        <w:t xml:space="preserve"> justify </w:t>
      </w:r>
      <w:r w:rsidR="00DA436E">
        <w:rPr>
          <w:rFonts w:ascii="Book Antiqua" w:hAnsi="Book Antiqua" w:cs="Arial"/>
        </w:rPr>
        <w:t xml:space="preserve">a </w:t>
      </w:r>
      <w:r>
        <w:rPr>
          <w:rFonts w:ascii="Book Antiqua" w:hAnsi="Book Antiqua" w:cs="Arial"/>
        </w:rPr>
        <w:t>finding of arguable legal error on this basis.</w:t>
      </w:r>
    </w:p>
    <w:p w:rsidR="00411676" w:rsidRDefault="00411676" w:rsidP="00C461B3">
      <w:pPr>
        <w:numPr>
          <w:ilvl w:val="0"/>
          <w:numId w:val="3"/>
        </w:numPr>
        <w:jc w:val="both"/>
        <w:rPr>
          <w:rFonts w:ascii="Book Antiqua" w:hAnsi="Book Antiqua" w:cs="Arial"/>
        </w:rPr>
      </w:pPr>
      <w:r>
        <w:rPr>
          <w:rFonts w:ascii="Book Antiqua" w:hAnsi="Book Antiqua" w:cs="Arial"/>
        </w:rPr>
        <w:t>The Judge also finds at [87] that the appellant ha</w:t>
      </w:r>
      <w:r w:rsidR="00DA436E">
        <w:rPr>
          <w:rFonts w:ascii="Book Antiqua" w:hAnsi="Book Antiqua" w:cs="Arial"/>
        </w:rPr>
        <w:t>s</w:t>
      </w:r>
      <w:r>
        <w:rPr>
          <w:rFonts w:ascii="Book Antiqua" w:hAnsi="Book Antiqua" w:cs="Arial"/>
        </w:rPr>
        <w:t xml:space="preserve"> not lost contact with his family or could contact them if he chose to do so. At [115] the Judge finds there is evidence before him that the appellant has traced his family.</w:t>
      </w:r>
    </w:p>
    <w:p w:rsidR="00411676" w:rsidRDefault="00411676" w:rsidP="00C461B3">
      <w:pPr>
        <w:numPr>
          <w:ilvl w:val="0"/>
          <w:numId w:val="3"/>
        </w:numPr>
        <w:jc w:val="both"/>
        <w:rPr>
          <w:rFonts w:ascii="Book Antiqua" w:hAnsi="Book Antiqua" w:cs="Arial"/>
        </w:rPr>
      </w:pPr>
      <w:r>
        <w:rPr>
          <w:rFonts w:ascii="Book Antiqua" w:hAnsi="Book Antiqua" w:cs="Arial"/>
        </w:rPr>
        <w:t xml:space="preserve">In relation to the issue of delay, there is arguable merit in the claim by Mr Harrison that the respondent is not responsible for all </w:t>
      </w:r>
      <w:r w:rsidR="00DA436E">
        <w:rPr>
          <w:rFonts w:ascii="Book Antiqua" w:hAnsi="Book Antiqua" w:cs="Arial"/>
        </w:rPr>
        <w:t xml:space="preserve">the </w:t>
      </w:r>
      <w:r>
        <w:rPr>
          <w:rFonts w:ascii="Book Antiqua" w:hAnsi="Book Antiqua" w:cs="Arial"/>
        </w:rPr>
        <w:t xml:space="preserve">delay. There have been a number of previous applications, refusal of asylum decisions, and earlier appeals dismissed by the First-tier Tribunal on 13 May 2010 and 23 December 2011. </w:t>
      </w:r>
      <w:r w:rsidR="00DA436E">
        <w:rPr>
          <w:rFonts w:ascii="Book Antiqua" w:hAnsi="Book Antiqua" w:cs="Arial"/>
        </w:rPr>
        <w:t xml:space="preserve">Delays within the appeal process are not, arguably, the fault of the respondent. </w:t>
      </w:r>
      <w:r>
        <w:rPr>
          <w:rFonts w:ascii="Book Antiqua" w:hAnsi="Book Antiqua" w:cs="Arial"/>
        </w:rPr>
        <w:t xml:space="preserve">Although there has been </w:t>
      </w:r>
      <w:r w:rsidR="00DA436E">
        <w:rPr>
          <w:rFonts w:ascii="Book Antiqua" w:hAnsi="Book Antiqua" w:cs="Arial"/>
        </w:rPr>
        <w:t xml:space="preserve">some </w:t>
      </w:r>
      <w:r>
        <w:rPr>
          <w:rFonts w:ascii="Book Antiqua" w:hAnsi="Book Antiqua" w:cs="Arial"/>
        </w:rPr>
        <w:t>delayed the appellant fails to make out that any period of delay has been unlawful</w:t>
      </w:r>
      <w:r w:rsidR="00DA436E">
        <w:rPr>
          <w:rFonts w:ascii="Book Antiqua" w:hAnsi="Book Antiqua" w:cs="Arial"/>
        </w:rPr>
        <w:t xml:space="preserve"> or excessive such as to warrant a finding of arguable material error by the Judge. </w:t>
      </w:r>
      <w:r w:rsidR="00BB5F06">
        <w:rPr>
          <w:rFonts w:ascii="Book Antiqua" w:hAnsi="Book Antiqua" w:cs="Arial"/>
        </w:rPr>
        <w:t xml:space="preserve"> </w:t>
      </w:r>
      <w:r w:rsidR="00DA436E">
        <w:rPr>
          <w:rFonts w:ascii="Book Antiqua" w:hAnsi="Book Antiqua" w:cs="Arial"/>
        </w:rPr>
        <w:t>Mr Harrison refers to the period 2013 to 2016</w:t>
      </w:r>
      <w:r w:rsidR="00BB5F06">
        <w:rPr>
          <w:rFonts w:ascii="Book Antiqua" w:hAnsi="Book Antiqua" w:cs="Arial"/>
        </w:rPr>
        <w:t xml:space="preserve"> which is not, in the context of the vast number of claims handled by the Home Office, appear excessive</w:t>
      </w:r>
      <w:r>
        <w:rPr>
          <w:rFonts w:ascii="Book Antiqua" w:hAnsi="Book Antiqua" w:cs="Arial"/>
        </w:rPr>
        <w:t>.</w:t>
      </w:r>
    </w:p>
    <w:p w:rsidR="00411676" w:rsidRDefault="00BB5F06" w:rsidP="00C461B3">
      <w:pPr>
        <w:numPr>
          <w:ilvl w:val="0"/>
          <w:numId w:val="3"/>
        </w:numPr>
        <w:jc w:val="both"/>
        <w:rPr>
          <w:rFonts w:ascii="Book Antiqua" w:hAnsi="Book Antiqua" w:cs="Arial"/>
        </w:rPr>
      </w:pPr>
      <w:r>
        <w:rPr>
          <w:rFonts w:ascii="Book Antiqua" w:hAnsi="Book Antiqua" w:cs="Arial"/>
        </w:rPr>
        <w:t>In any event, d</w:t>
      </w:r>
      <w:r w:rsidR="00411676">
        <w:rPr>
          <w:rFonts w:ascii="Book Antiqua" w:hAnsi="Book Antiqua" w:cs="Arial"/>
        </w:rPr>
        <w:t xml:space="preserve">elay was an issue considered by the Judge who concluded that the delay in the process from the outset combined with </w:t>
      </w:r>
      <w:r>
        <w:rPr>
          <w:rFonts w:ascii="Book Antiqua" w:hAnsi="Book Antiqua" w:cs="Arial"/>
        </w:rPr>
        <w:t xml:space="preserve">the </w:t>
      </w:r>
      <w:r w:rsidR="00411676">
        <w:rPr>
          <w:rFonts w:ascii="Book Antiqua" w:hAnsi="Book Antiqua" w:cs="Arial"/>
        </w:rPr>
        <w:t xml:space="preserve">historic injustice argument </w:t>
      </w:r>
      <w:r>
        <w:rPr>
          <w:rFonts w:ascii="Book Antiqua" w:hAnsi="Book Antiqua" w:cs="Arial"/>
        </w:rPr>
        <w:t xml:space="preserve">were not </w:t>
      </w:r>
      <w:r w:rsidR="00411676">
        <w:rPr>
          <w:rFonts w:ascii="Book Antiqua" w:hAnsi="Book Antiqua" w:cs="Arial"/>
        </w:rPr>
        <w:t xml:space="preserve">capable of amounting </w:t>
      </w:r>
      <w:r>
        <w:rPr>
          <w:rFonts w:ascii="Book Antiqua" w:hAnsi="Book Antiqua" w:cs="Arial"/>
        </w:rPr>
        <w:t xml:space="preserve">to </w:t>
      </w:r>
      <w:r w:rsidR="00411676">
        <w:rPr>
          <w:rFonts w:ascii="Book Antiqua" w:hAnsi="Book Antiqua" w:cs="Arial"/>
        </w:rPr>
        <w:t>factors that entitled the appellant to succeed</w:t>
      </w:r>
      <w:r>
        <w:rPr>
          <w:rFonts w:ascii="Book Antiqua" w:hAnsi="Book Antiqua" w:cs="Arial"/>
        </w:rPr>
        <w:t>,</w:t>
      </w:r>
      <w:r w:rsidR="00411676">
        <w:rPr>
          <w:rFonts w:ascii="Book Antiqua" w:hAnsi="Book Antiqua" w:cs="Arial"/>
        </w:rPr>
        <w:t xml:space="preserve"> whether alone or together. The appellant’s challenge</w:t>
      </w:r>
      <w:r>
        <w:rPr>
          <w:rFonts w:ascii="Book Antiqua" w:hAnsi="Book Antiqua" w:cs="Arial"/>
        </w:rPr>
        <w:t xml:space="preserve"> i</w:t>
      </w:r>
      <w:r w:rsidR="00411676">
        <w:rPr>
          <w:rFonts w:ascii="Book Antiqua" w:hAnsi="Book Antiqua" w:cs="Arial"/>
        </w:rPr>
        <w:t>s effectively</w:t>
      </w:r>
      <w:r>
        <w:rPr>
          <w:rFonts w:ascii="Book Antiqua" w:hAnsi="Book Antiqua" w:cs="Arial"/>
        </w:rPr>
        <w:t xml:space="preserve"> a</w:t>
      </w:r>
      <w:r w:rsidR="00411676">
        <w:rPr>
          <w:rFonts w:ascii="Book Antiqua" w:hAnsi="Book Antiqua" w:cs="Arial"/>
        </w:rPr>
        <w:t xml:space="preserve"> disagreement with this </w:t>
      </w:r>
      <w:r>
        <w:rPr>
          <w:rFonts w:ascii="Book Antiqua" w:hAnsi="Book Antiqua" w:cs="Arial"/>
        </w:rPr>
        <w:t>finding.</w:t>
      </w:r>
    </w:p>
    <w:p w:rsidR="00411676" w:rsidRDefault="00D47C72" w:rsidP="00C461B3">
      <w:pPr>
        <w:numPr>
          <w:ilvl w:val="0"/>
          <w:numId w:val="3"/>
        </w:numPr>
        <w:jc w:val="both"/>
        <w:rPr>
          <w:rFonts w:ascii="Book Antiqua" w:hAnsi="Book Antiqua" w:cs="Arial"/>
        </w:rPr>
      </w:pPr>
      <w:r>
        <w:rPr>
          <w:rFonts w:ascii="Book Antiqua" w:hAnsi="Book Antiqua" w:cs="Arial"/>
        </w:rPr>
        <w:t xml:space="preserve">In </w:t>
      </w:r>
      <w:r w:rsidRPr="00BB5F06">
        <w:rPr>
          <w:rFonts w:ascii="Book Antiqua" w:hAnsi="Book Antiqua" w:cs="Arial"/>
          <w:i/>
        </w:rPr>
        <w:t>KA v S</w:t>
      </w:r>
      <w:r w:rsidR="00BB5F06" w:rsidRPr="00BB5F06">
        <w:rPr>
          <w:rFonts w:ascii="Book Antiqua" w:hAnsi="Book Antiqua" w:cs="Arial"/>
          <w:i/>
        </w:rPr>
        <w:t xml:space="preserve">ecretary of </w:t>
      </w:r>
      <w:r w:rsidRPr="00BB5F06">
        <w:rPr>
          <w:rFonts w:ascii="Book Antiqua" w:hAnsi="Book Antiqua" w:cs="Arial"/>
          <w:i/>
        </w:rPr>
        <w:t>S</w:t>
      </w:r>
      <w:r w:rsidR="00BB5F06" w:rsidRPr="00BB5F06">
        <w:rPr>
          <w:rFonts w:ascii="Book Antiqua" w:hAnsi="Book Antiqua" w:cs="Arial"/>
          <w:i/>
        </w:rPr>
        <w:t xml:space="preserve">tate for the </w:t>
      </w:r>
      <w:r w:rsidRPr="00BB5F06">
        <w:rPr>
          <w:rFonts w:ascii="Book Antiqua" w:hAnsi="Book Antiqua" w:cs="Arial"/>
          <w:i/>
        </w:rPr>
        <w:t>H</w:t>
      </w:r>
      <w:r w:rsidR="00BB5F06" w:rsidRPr="00BB5F06">
        <w:rPr>
          <w:rFonts w:ascii="Book Antiqua" w:hAnsi="Book Antiqua" w:cs="Arial"/>
          <w:i/>
        </w:rPr>
        <w:t xml:space="preserve">ome </w:t>
      </w:r>
      <w:r w:rsidRPr="00BB5F06">
        <w:rPr>
          <w:rFonts w:ascii="Book Antiqua" w:hAnsi="Book Antiqua" w:cs="Arial"/>
          <w:i/>
        </w:rPr>
        <w:t>D</w:t>
      </w:r>
      <w:r w:rsidR="00BB5F06" w:rsidRPr="00BB5F06">
        <w:rPr>
          <w:rFonts w:ascii="Book Antiqua" w:hAnsi="Book Antiqua" w:cs="Arial"/>
          <w:i/>
        </w:rPr>
        <w:t>epartment</w:t>
      </w:r>
      <w:r w:rsidRPr="00BB5F06">
        <w:rPr>
          <w:rFonts w:ascii="Book Antiqua" w:hAnsi="Book Antiqua" w:cs="Arial"/>
          <w:i/>
        </w:rPr>
        <w:t xml:space="preserve"> [2012] EWCA </w:t>
      </w:r>
      <w:proofErr w:type="spellStart"/>
      <w:r w:rsidRPr="00BB5F06">
        <w:rPr>
          <w:rFonts w:ascii="Book Antiqua" w:hAnsi="Book Antiqua" w:cs="Arial"/>
          <w:i/>
        </w:rPr>
        <w:t>Civ</w:t>
      </w:r>
      <w:proofErr w:type="spellEnd"/>
      <w:r w:rsidRPr="00BB5F06">
        <w:rPr>
          <w:rFonts w:ascii="Book Antiqua" w:hAnsi="Book Antiqua" w:cs="Arial"/>
          <w:i/>
        </w:rPr>
        <w:t xml:space="preserve"> 1014</w:t>
      </w:r>
      <w:r w:rsidRPr="00D47C72">
        <w:rPr>
          <w:rFonts w:ascii="Book Antiqua" w:hAnsi="Book Antiqua" w:cs="Arial"/>
        </w:rPr>
        <w:t xml:space="preserve"> </w:t>
      </w:r>
      <w:r>
        <w:rPr>
          <w:rFonts w:ascii="Book Antiqua" w:hAnsi="Book Antiqua" w:cs="Arial"/>
        </w:rPr>
        <w:t>the Court of Appeal found that w</w:t>
      </w:r>
      <w:r w:rsidRPr="00D47C72">
        <w:rPr>
          <w:rFonts w:ascii="Book Antiqua" w:hAnsi="Book Antiqua" w:cs="Arial"/>
        </w:rPr>
        <w:t>hether one is considering asylum, humanitarian protection or corrective relief, there is a burden of proof on an applicant not just to establish the failure to discharge the duty to endeavour to trace but also that he is entitled to what he is seeking. A past lack of cooperation on the part of the application may not always defeat his claim – it did not in DS or HK – but it may lead to the drawing of an adverse inference.</w:t>
      </w:r>
      <w:r>
        <w:rPr>
          <w:rFonts w:ascii="Book Antiqua" w:hAnsi="Book Antiqua" w:cs="Arial"/>
        </w:rPr>
        <w:t xml:space="preserve"> </w:t>
      </w:r>
    </w:p>
    <w:p w:rsidR="00D47C72" w:rsidRDefault="00D47C72" w:rsidP="00C461B3">
      <w:pPr>
        <w:numPr>
          <w:ilvl w:val="0"/>
          <w:numId w:val="3"/>
        </w:numPr>
        <w:jc w:val="both"/>
        <w:rPr>
          <w:rFonts w:ascii="Book Antiqua" w:hAnsi="Book Antiqua" w:cs="Arial"/>
        </w:rPr>
      </w:pPr>
      <w:r>
        <w:rPr>
          <w:rFonts w:ascii="Book Antiqua" w:hAnsi="Book Antiqua" w:cs="Arial"/>
        </w:rPr>
        <w:t>In this appeal the Judge did not find the appellant had discharged the burden</w:t>
      </w:r>
      <w:r w:rsidR="00BB5F06">
        <w:rPr>
          <w:rFonts w:ascii="Book Antiqua" w:hAnsi="Book Antiqua" w:cs="Arial"/>
        </w:rPr>
        <w:t xml:space="preserve"> upon him</w:t>
      </w:r>
      <w:r>
        <w:rPr>
          <w:rFonts w:ascii="Book Antiqua" w:hAnsi="Book Antiqua" w:cs="Arial"/>
        </w:rPr>
        <w:t xml:space="preserve">. On the basis of the available evidence, content of </w:t>
      </w:r>
      <w:r w:rsidR="00BB5F06">
        <w:rPr>
          <w:rFonts w:ascii="Book Antiqua" w:hAnsi="Book Antiqua" w:cs="Arial"/>
        </w:rPr>
        <w:t xml:space="preserve">the impugned </w:t>
      </w:r>
      <w:r>
        <w:rPr>
          <w:rFonts w:ascii="Book Antiqua" w:hAnsi="Book Antiqua" w:cs="Arial"/>
        </w:rPr>
        <w:t xml:space="preserve">decision, application for permission to appeal, grant of permission and arguments put today, I do not find the appellant has discharged the burden of proof upon him to the required standard to establish arguable </w:t>
      </w:r>
      <w:r w:rsidR="00BB5F06">
        <w:rPr>
          <w:rFonts w:ascii="Book Antiqua" w:hAnsi="Book Antiqua" w:cs="Arial"/>
        </w:rPr>
        <w:t xml:space="preserve">material </w:t>
      </w:r>
      <w:r>
        <w:rPr>
          <w:rFonts w:ascii="Book Antiqua" w:hAnsi="Book Antiqua" w:cs="Arial"/>
        </w:rPr>
        <w:t xml:space="preserve">legal error sufficient to warrant the Upper Tribunal interfering in the conclusions relating to the article 8 </w:t>
      </w:r>
      <w:r w:rsidR="00BB5F06">
        <w:rPr>
          <w:rFonts w:ascii="Book Antiqua" w:hAnsi="Book Antiqua" w:cs="Arial"/>
        </w:rPr>
        <w:t>E</w:t>
      </w:r>
      <w:r>
        <w:rPr>
          <w:rFonts w:ascii="Book Antiqua" w:hAnsi="Book Antiqua" w:cs="Arial"/>
        </w:rPr>
        <w:t>CHR aspect of this appeal</w:t>
      </w:r>
      <w:r w:rsidR="00BB5F06">
        <w:rPr>
          <w:rFonts w:ascii="Book Antiqua" w:hAnsi="Book Antiqua" w:cs="Arial"/>
        </w:rPr>
        <w:t xml:space="preserve"> either</w:t>
      </w:r>
      <w:r>
        <w:rPr>
          <w:rFonts w:ascii="Book Antiqua" w:hAnsi="Book Antiqua" w:cs="Arial"/>
        </w:rPr>
        <w:t xml:space="preserve"> - </w:t>
      </w:r>
      <w:r w:rsidRPr="00BB5F06">
        <w:rPr>
          <w:rFonts w:ascii="Book Antiqua" w:hAnsi="Book Antiqua" w:cs="Arial"/>
          <w:i/>
        </w:rPr>
        <w:t xml:space="preserve">EB (Kosovo) [2008] UK HL 41 </w:t>
      </w:r>
      <w:r>
        <w:rPr>
          <w:rFonts w:ascii="Book Antiqua" w:hAnsi="Book Antiqua" w:cs="Arial"/>
        </w:rPr>
        <w:t>considered.</w:t>
      </w:r>
    </w:p>
    <w:p w:rsidR="00D47C72" w:rsidRDefault="00D47C72" w:rsidP="00C461B3">
      <w:pPr>
        <w:numPr>
          <w:ilvl w:val="0"/>
          <w:numId w:val="3"/>
        </w:numPr>
        <w:jc w:val="both"/>
        <w:rPr>
          <w:rFonts w:ascii="Book Antiqua" w:hAnsi="Book Antiqua" w:cs="Arial"/>
        </w:rPr>
      </w:pPr>
      <w:r>
        <w:rPr>
          <w:rFonts w:ascii="Book Antiqua" w:hAnsi="Book Antiqua" w:cs="Arial"/>
        </w:rPr>
        <w:t>No arguable legal error material to the decision is made out. The determination shall stand.</w:t>
      </w:r>
    </w:p>
    <w:p w:rsidR="00316598" w:rsidRPr="00C044F6" w:rsidRDefault="00316598" w:rsidP="00C461B3">
      <w:pPr>
        <w:ind w:left="1080"/>
        <w:jc w:val="both"/>
        <w:rPr>
          <w:rFonts w:ascii="Book Antiqua" w:hAnsi="Book Antiqua" w:cs="Arial"/>
        </w:rPr>
      </w:pPr>
    </w:p>
    <w:p w:rsidR="00584280" w:rsidRDefault="00584280" w:rsidP="00C461B3">
      <w:pPr>
        <w:pStyle w:val="BodyTextIndent"/>
        <w:ind w:left="0"/>
        <w:jc w:val="both"/>
        <w:rPr>
          <w:rFonts w:ascii="Book Antiqua" w:hAnsi="Book Antiqua" w:cs="Arial"/>
          <w:b/>
          <w:bCs/>
          <w:sz w:val="24"/>
          <w:u w:val="single"/>
        </w:rPr>
      </w:pPr>
    </w:p>
    <w:p w:rsidR="00584280" w:rsidRDefault="00584280" w:rsidP="00C461B3">
      <w:pPr>
        <w:pStyle w:val="BodyTextIndent"/>
        <w:ind w:left="0"/>
        <w:jc w:val="both"/>
        <w:rPr>
          <w:rFonts w:ascii="Book Antiqua" w:hAnsi="Book Antiqua" w:cs="Arial"/>
          <w:b/>
          <w:bCs/>
          <w:sz w:val="24"/>
          <w:u w:val="single"/>
        </w:rPr>
      </w:pPr>
    </w:p>
    <w:p w:rsidR="00584280" w:rsidRDefault="00584280" w:rsidP="00C461B3">
      <w:pPr>
        <w:pStyle w:val="BodyTextIndent"/>
        <w:ind w:left="0"/>
        <w:jc w:val="both"/>
        <w:rPr>
          <w:rFonts w:ascii="Book Antiqua" w:hAnsi="Book Antiqua" w:cs="Arial"/>
          <w:b/>
          <w:bCs/>
          <w:sz w:val="24"/>
          <w:u w:val="single"/>
        </w:rPr>
      </w:pPr>
    </w:p>
    <w:p w:rsidR="00D32B8A" w:rsidRDefault="00D32B8A" w:rsidP="00C461B3">
      <w:pPr>
        <w:pStyle w:val="BodyTextIndent"/>
        <w:ind w:left="0"/>
        <w:jc w:val="both"/>
        <w:rPr>
          <w:rFonts w:ascii="Book Antiqua" w:hAnsi="Book Antiqua" w:cs="Arial"/>
          <w:b/>
          <w:bCs/>
          <w:sz w:val="24"/>
          <w:u w:val="single"/>
        </w:rPr>
      </w:pPr>
      <w:r w:rsidRPr="00D32B8A">
        <w:rPr>
          <w:rFonts w:ascii="Book Antiqua" w:hAnsi="Book Antiqua" w:cs="Arial"/>
          <w:b/>
          <w:bCs/>
          <w:sz w:val="24"/>
          <w:u w:val="single"/>
        </w:rPr>
        <w:lastRenderedPageBreak/>
        <w:t>Decision</w:t>
      </w:r>
    </w:p>
    <w:p w:rsidR="00C044F6" w:rsidRPr="00D32B8A" w:rsidRDefault="00C044F6" w:rsidP="00C461B3">
      <w:pPr>
        <w:pStyle w:val="BodyTextIndent"/>
        <w:ind w:left="0"/>
        <w:jc w:val="both"/>
        <w:rPr>
          <w:rFonts w:ascii="Book Antiqua" w:hAnsi="Book Antiqua" w:cs="Arial"/>
          <w:b/>
          <w:bCs/>
          <w:sz w:val="24"/>
          <w:u w:val="single"/>
        </w:rPr>
      </w:pPr>
    </w:p>
    <w:p w:rsidR="00813355" w:rsidRDefault="00D32B8A" w:rsidP="00C461B3">
      <w:pPr>
        <w:pStyle w:val="BodyTextIndent"/>
        <w:numPr>
          <w:ilvl w:val="0"/>
          <w:numId w:val="3"/>
        </w:numPr>
        <w:jc w:val="both"/>
        <w:rPr>
          <w:rFonts w:ascii="Book Antiqua" w:hAnsi="Book Antiqua" w:cs="Arial"/>
          <w:b/>
          <w:sz w:val="24"/>
        </w:rPr>
      </w:pPr>
      <w:r w:rsidRPr="00D32B8A">
        <w:rPr>
          <w:rFonts w:ascii="Book Antiqua" w:hAnsi="Book Antiqua" w:cs="Arial"/>
          <w:b/>
          <w:sz w:val="24"/>
        </w:rPr>
        <w:t xml:space="preserve">There is no material error of law in the Immigration Judge’s decision. The determination shall stand. </w:t>
      </w:r>
    </w:p>
    <w:p w:rsidR="00813355" w:rsidRDefault="00813355" w:rsidP="00C461B3">
      <w:pPr>
        <w:pStyle w:val="BodyTextIndent"/>
        <w:jc w:val="both"/>
        <w:rPr>
          <w:rFonts w:ascii="Book Antiqua" w:hAnsi="Book Antiqua" w:cs="Arial"/>
          <w:b/>
          <w:sz w:val="24"/>
        </w:rPr>
      </w:pPr>
    </w:p>
    <w:p w:rsidR="00584280" w:rsidRDefault="00584280" w:rsidP="00C461B3">
      <w:pPr>
        <w:pStyle w:val="BodyTextIndent"/>
        <w:ind w:left="360"/>
        <w:jc w:val="both"/>
        <w:rPr>
          <w:rFonts w:ascii="Book Antiqua" w:eastAsia="Book Antiqua,Arial" w:hAnsi="Book Antiqua" w:cs="Book Antiqua,Arial"/>
          <w:sz w:val="24"/>
        </w:rPr>
      </w:pPr>
    </w:p>
    <w:p w:rsidR="00813355" w:rsidRPr="00DB5024" w:rsidRDefault="00813355" w:rsidP="00C461B3">
      <w:pPr>
        <w:pStyle w:val="BodyTextIndent"/>
        <w:ind w:left="360"/>
        <w:jc w:val="both"/>
        <w:rPr>
          <w:rFonts w:ascii="Book Antiqua" w:eastAsia="Book Antiqua,Arial" w:hAnsi="Book Antiqua" w:cs="Book Antiqua,Arial"/>
          <w:sz w:val="24"/>
        </w:rPr>
      </w:pPr>
      <w:r w:rsidRPr="00DB5024">
        <w:rPr>
          <w:rFonts w:ascii="Book Antiqua" w:eastAsia="Book Antiqua,Arial" w:hAnsi="Book Antiqua" w:cs="Book Antiqua,Arial"/>
          <w:sz w:val="24"/>
        </w:rPr>
        <w:t>Anonymity.</w:t>
      </w:r>
    </w:p>
    <w:p w:rsidR="00813355" w:rsidRPr="00DB5024" w:rsidRDefault="00813355" w:rsidP="00C461B3">
      <w:pPr>
        <w:pStyle w:val="BodyTextIndent"/>
        <w:ind w:left="360"/>
        <w:jc w:val="both"/>
        <w:rPr>
          <w:rFonts w:ascii="Book Antiqua" w:hAnsi="Book Antiqua" w:cs="Arial"/>
          <w:sz w:val="24"/>
        </w:rPr>
      </w:pPr>
    </w:p>
    <w:p w:rsidR="00813355" w:rsidRPr="00DB5024" w:rsidRDefault="00813355" w:rsidP="00C461B3">
      <w:pPr>
        <w:pStyle w:val="BodyTextIndent"/>
        <w:numPr>
          <w:ilvl w:val="0"/>
          <w:numId w:val="3"/>
        </w:numPr>
        <w:jc w:val="both"/>
        <w:rPr>
          <w:rFonts w:ascii="Book Antiqua" w:eastAsia="Book Antiqua,Arial" w:hAnsi="Book Antiqua" w:cs="Book Antiqua,Arial"/>
          <w:sz w:val="24"/>
        </w:rPr>
      </w:pPr>
      <w:r w:rsidRPr="00DB5024">
        <w:rPr>
          <w:rFonts w:ascii="Book Antiqua" w:eastAsia="Book Antiqua,Arial" w:hAnsi="Book Antiqua" w:cs="Book Antiqua,Arial"/>
          <w:sz w:val="24"/>
        </w:rPr>
        <w:t xml:space="preserve">The First-tier Tribunal </w:t>
      </w:r>
      <w:r>
        <w:rPr>
          <w:rFonts w:ascii="Book Antiqua" w:eastAsia="Book Antiqua,Arial" w:hAnsi="Book Antiqua" w:cs="Book Antiqua,Arial"/>
          <w:sz w:val="24"/>
        </w:rPr>
        <w:t>d</w:t>
      </w:r>
      <w:r w:rsidRPr="00DB5024">
        <w:rPr>
          <w:rFonts w:ascii="Book Antiqua" w:eastAsia="Book Antiqua,Arial" w:hAnsi="Book Antiqua" w:cs="Book Antiqua,Arial"/>
          <w:sz w:val="24"/>
        </w:rPr>
        <w:t>id not make an order pursuant to rule 45(4)(</w:t>
      </w:r>
      <w:proofErr w:type="spellStart"/>
      <w:r w:rsidRPr="00DB5024">
        <w:rPr>
          <w:rFonts w:ascii="Book Antiqua" w:eastAsia="Book Antiqua,Arial" w:hAnsi="Book Antiqua" w:cs="Book Antiqua,Arial"/>
          <w:sz w:val="24"/>
        </w:rPr>
        <w:t>i</w:t>
      </w:r>
      <w:proofErr w:type="spellEnd"/>
      <w:r w:rsidRPr="00DB5024">
        <w:rPr>
          <w:rFonts w:ascii="Book Antiqua" w:eastAsia="Book Antiqua,Arial" w:hAnsi="Book Antiqua" w:cs="Book Antiqua,Arial"/>
          <w:sz w:val="24"/>
        </w:rPr>
        <w:t>) of the Asylum and Immigration Tribunal (Procedure) Rules 2005.</w:t>
      </w:r>
    </w:p>
    <w:p w:rsidR="00813355" w:rsidRPr="00DB5024" w:rsidRDefault="00813355" w:rsidP="00C461B3">
      <w:pPr>
        <w:pStyle w:val="BodyTextIndent"/>
        <w:ind w:left="360"/>
        <w:jc w:val="both"/>
        <w:rPr>
          <w:rFonts w:ascii="Book Antiqua" w:hAnsi="Book Antiqua" w:cs="Arial"/>
          <w:sz w:val="24"/>
        </w:rPr>
      </w:pPr>
    </w:p>
    <w:p w:rsidR="00813355" w:rsidRPr="008E55FE" w:rsidRDefault="00813355" w:rsidP="00C461B3">
      <w:pPr>
        <w:pStyle w:val="BodyTextIndent"/>
        <w:jc w:val="both"/>
        <w:rPr>
          <w:rFonts w:ascii="Book Antiqua" w:hAnsi="Book Antiqua" w:cs="Arial"/>
          <w:sz w:val="24"/>
          <w:u w:val="single"/>
        </w:rPr>
      </w:pPr>
      <w:r>
        <w:rPr>
          <w:rFonts w:ascii="Book Antiqua" w:hAnsi="Book Antiqua" w:cs="Arial"/>
          <w:sz w:val="24"/>
        </w:rPr>
        <w:t xml:space="preserve">I make no such </w:t>
      </w:r>
      <w:r w:rsidRPr="00DB5024">
        <w:rPr>
          <w:rFonts w:ascii="Book Antiqua" w:eastAsia="Book Antiqua,Arial" w:hAnsi="Book Antiqua" w:cs="Book Antiqua,Arial"/>
          <w:sz w:val="24"/>
        </w:rPr>
        <w:t xml:space="preserve">order pursuant to rule 14 of the Tribunal Procedure </w:t>
      </w:r>
      <w:r>
        <w:rPr>
          <w:rFonts w:ascii="Book Antiqua" w:eastAsia="Book Antiqua,Arial" w:hAnsi="Book Antiqua" w:cs="Book Antiqua,Arial"/>
          <w:sz w:val="24"/>
        </w:rPr>
        <w:t>(Upper Tribunal) Rules 2008</w:t>
      </w:r>
      <w:r w:rsidR="00C044F6">
        <w:rPr>
          <w:rFonts w:ascii="Book Antiqua" w:eastAsia="Book Antiqua,Arial" w:hAnsi="Book Antiqua" w:cs="Book Antiqua,Arial"/>
          <w:sz w:val="24"/>
        </w:rPr>
        <w:t>.</w:t>
      </w:r>
    </w:p>
    <w:p w:rsidR="008E55FE" w:rsidRDefault="008E55FE" w:rsidP="008E55FE">
      <w:pPr>
        <w:pStyle w:val="BodyTextIndent"/>
        <w:ind w:left="360"/>
        <w:rPr>
          <w:rFonts w:ascii="Book Antiqua" w:hAnsi="Book Antiqua" w:cs="Arial"/>
          <w:sz w:val="24"/>
          <w:u w:val="single"/>
        </w:rPr>
      </w:pPr>
    </w:p>
    <w:p w:rsidR="00C044F6" w:rsidRPr="00D32B8A" w:rsidRDefault="00C044F6" w:rsidP="008E55FE">
      <w:pPr>
        <w:pStyle w:val="BodyTextIndent"/>
        <w:ind w:left="360"/>
        <w:rPr>
          <w:rFonts w:ascii="Book Antiqua" w:hAnsi="Book Antiqua" w:cs="Arial"/>
          <w:sz w:val="24"/>
          <w:u w:val="single"/>
        </w:rPr>
      </w:pPr>
    </w:p>
    <w:p w:rsidR="00D32B8A" w:rsidRPr="00D32B8A" w:rsidRDefault="00D32B8A" w:rsidP="00D32B8A">
      <w:pPr>
        <w:pStyle w:val="BodyTextIndent"/>
        <w:ind w:left="0"/>
        <w:rPr>
          <w:rFonts w:ascii="Book Antiqua" w:hAnsi="Book Antiqua" w:cs="Arial"/>
          <w:sz w:val="24"/>
        </w:rPr>
      </w:pPr>
      <w:r w:rsidRPr="00D32B8A">
        <w:rPr>
          <w:rFonts w:ascii="Book Antiqua" w:hAnsi="Book Antiqua" w:cs="Arial"/>
          <w:sz w:val="24"/>
        </w:rPr>
        <w:t>Signed……………………………………………….</w:t>
      </w:r>
    </w:p>
    <w:p w:rsidR="00D32B8A" w:rsidRPr="00D32B8A" w:rsidRDefault="00D32B8A" w:rsidP="00D32B8A">
      <w:pPr>
        <w:pStyle w:val="BodyTextIndent"/>
        <w:ind w:left="0"/>
        <w:rPr>
          <w:rFonts w:ascii="Book Antiqua" w:hAnsi="Book Antiqua" w:cs="Arial"/>
          <w:sz w:val="24"/>
        </w:rPr>
      </w:pPr>
      <w:r w:rsidRPr="00D32B8A">
        <w:rPr>
          <w:rFonts w:ascii="Book Antiqua" w:hAnsi="Book Antiqua" w:cs="Arial"/>
          <w:color w:val="000000"/>
          <w:sz w:val="24"/>
        </w:rPr>
        <w:t>Upper Tribunal</w:t>
      </w:r>
      <w:r w:rsidR="00E54934">
        <w:rPr>
          <w:rFonts w:ascii="Book Antiqua" w:hAnsi="Book Antiqua" w:cs="Arial"/>
          <w:color w:val="000000"/>
          <w:sz w:val="24"/>
        </w:rPr>
        <w:t xml:space="preserve"> </w:t>
      </w:r>
      <w:r w:rsidR="00C044F6">
        <w:rPr>
          <w:rFonts w:ascii="Book Antiqua" w:hAnsi="Book Antiqua" w:cs="Arial"/>
          <w:color w:val="000000"/>
          <w:sz w:val="24"/>
        </w:rPr>
        <w:t xml:space="preserve">Judge </w:t>
      </w:r>
      <w:r w:rsidR="00E54934">
        <w:rPr>
          <w:rFonts w:ascii="Book Antiqua" w:hAnsi="Book Antiqua" w:cs="Arial"/>
          <w:color w:val="000000"/>
          <w:sz w:val="24"/>
        </w:rPr>
        <w:t>Hanson</w:t>
      </w:r>
    </w:p>
    <w:p w:rsidR="00D32B8A" w:rsidRPr="00D32B8A" w:rsidRDefault="00D32B8A" w:rsidP="00D32B8A">
      <w:pPr>
        <w:pStyle w:val="BodyTextIndent"/>
        <w:ind w:left="0"/>
        <w:rPr>
          <w:rFonts w:ascii="Book Antiqua" w:hAnsi="Book Antiqua" w:cs="Arial"/>
          <w:sz w:val="24"/>
        </w:rPr>
      </w:pPr>
      <w:r w:rsidRPr="00D32B8A">
        <w:rPr>
          <w:rFonts w:ascii="Book Antiqua" w:hAnsi="Book Antiqua" w:cs="Arial"/>
          <w:sz w:val="24"/>
        </w:rPr>
        <w:t xml:space="preserve">  </w:t>
      </w:r>
    </w:p>
    <w:p w:rsidR="00D32B8A" w:rsidRPr="00D32B8A" w:rsidRDefault="00D32B8A" w:rsidP="00D32B8A">
      <w:pPr>
        <w:pStyle w:val="BodyTextIndent"/>
        <w:ind w:left="0"/>
        <w:rPr>
          <w:rFonts w:ascii="Book Antiqua" w:hAnsi="Book Antiqua" w:cs="Arial"/>
          <w:sz w:val="24"/>
        </w:rPr>
      </w:pPr>
      <w:r w:rsidRPr="00D32B8A">
        <w:rPr>
          <w:rFonts w:ascii="Book Antiqua" w:hAnsi="Book Antiqua" w:cs="Arial"/>
          <w:sz w:val="24"/>
        </w:rPr>
        <w:t xml:space="preserve">Dated the </w:t>
      </w:r>
      <w:r w:rsidR="00C044F6">
        <w:rPr>
          <w:rFonts w:ascii="Book Antiqua" w:hAnsi="Book Antiqua" w:cs="Arial"/>
          <w:sz w:val="24"/>
        </w:rPr>
        <w:t>10 May 2018</w:t>
      </w:r>
    </w:p>
    <w:p w:rsidR="00BF23BB" w:rsidRPr="00D32B8A" w:rsidRDefault="00BF23BB" w:rsidP="00BF23BB">
      <w:pPr>
        <w:tabs>
          <w:tab w:val="left" w:pos="567"/>
        </w:tabs>
        <w:ind w:left="567" w:hanging="567"/>
        <w:jc w:val="both"/>
        <w:rPr>
          <w:rFonts w:ascii="Book Antiqua" w:hAnsi="Book Antiqua" w:cs="Arial"/>
        </w:rPr>
      </w:pPr>
    </w:p>
    <w:p w:rsidR="001F2716" w:rsidRPr="00D32B8A" w:rsidRDefault="001F2716" w:rsidP="00780F86">
      <w:pPr>
        <w:ind w:left="540" w:hanging="540"/>
        <w:jc w:val="both"/>
        <w:rPr>
          <w:rFonts w:ascii="Book Antiqua" w:hAnsi="Book Antiqua" w:cs="Arial"/>
        </w:rPr>
      </w:pPr>
    </w:p>
    <w:p w:rsidR="009F5220" w:rsidRPr="00D32B8A" w:rsidRDefault="009F5220" w:rsidP="00780F86">
      <w:pPr>
        <w:ind w:left="540" w:hanging="540"/>
        <w:jc w:val="both"/>
        <w:rPr>
          <w:rFonts w:ascii="Book Antiqua" w:hAnsi="Book Antiqua" w:cs="Arial"/>
        </w:rPr>
      </w:pPr>
    </w:p>
    <w:p w:rsidR="009F5220" w:rsidRPr="00D32B8A" w:rsidRDefault="009F5220" w:rsidP="00780F86">
      <w:pPr>
        <w:ind w:left="540" w:hanging="540"/>
        <w:jc w:val="both"/>
        <w:rPr>
          <w:rFonts w:ascii="Book Antiqua" w:hAnsi="Book Antiqua" w:cs="Arial"/>
        </w:rPr>
      </w:pPr>
    </w:p>
    <w:p w:rsidR="009F5220" w:rsidRPr="00D32B8A" w:rsidRDefault="009F5220" w:rsidP="00780F86">
      <w:pPr>
        <w:ind w:left="540" w:hanging="540"/>
        <w:jc w:val="both"/>
        <w:rPr>
          <w:rFonts w:ascii="Book Antiqua" w:hAnsi="Book Antiqua" w:cs="Arial"/>
        </w:rPr>
      </w:pPr>
    </w:p>
    <w:p w:rsidR="001F2716" w:rsidRPr="00D32B8A" w:rsidRDefault="001F2716" w:rsidP="00780F86">
      <w:pPr>
        <w:ind w:left="540" w:hanging="540"/>
        <w:jc w:val="both"/>
        <w:rPr>
          <w:rFonts w:ascii="Book Antiqua" w:hAnsi="Book Antiqua" w:cs="Arial"/>
        </w:rPr>
      </w:pPr>
    </w:p>
    <w:p w:rsidR="001F2716" w:rsidRPr="00F97703" w:rsidRDefault="001F2716" w:rsidP="00593821">
      <w:pPr>
        <w:tabs>
          <w:tab w:val="left" w:pos="2520"/>
        </w:tabs>
        <w:ind w:left="4508" w:hanging="539"/>
        <w:rPr>
          <w:rFonts w:ascii="Book Antiqua" w:hAnsi="Book Antiqua" w:cs="Arial"/>
        </w:rPr>
      </w:pPr>
    </w:p>
    <w:p w:rsidR="001F2716" w:rsidRPr="00F97703" w:rsidRDefault="001F2716" w:rsidP="00593821">
      <w:pPr>
        <w:tabs>
          <w:tab w:val="left" w:pos="2520"/>
        </w:tabs>
        <w:ind w:left="4508" w:hanging="539"/>
        <w:rPr>
          <w:rFonts w:ascii="Book Antiqua" w:hAnsi="Book Antiqua" w:cs="Arial"/>
        </w:rPr>
      </w:pPr>
    </w:p>
    <w:p w:rsidR="00B95326" w:rsidRPr="00F97703" w:rsidRDefault="00D9111A" w:rsidP="00593821">
      <w:pPr>
        <w:tabs>
          <w:tab w:val="left" w:pos="2520"/>
        </w:tabs>
        <w:ind w:left="4508" w:hanging="539"/>
        <w:rPr>
          <w:rFonts w:ascii="Book Antiqua" w:hAnsi="Book Antiqua" w:cs="Arial"/>
          <w:color w:val="000000"/>
        </w:rPr>
      </w:pPr>
      <w:r w:rsidRPr="00F97703">
        <w:rPr>
          <w:rFonts w:ascii="Book Antiqua" w:hAnsi="Book Antiqua" w:cs="Arial"/>
          <w:color w:val="000000"/>
        </w:rPr>
        <w:t xml:space="preserve"> </w:t>
      </w:r>
    </w:p>
    <w:sectPr w:rsidR="00B95326" w:rsidRPr="00F97703" w:rsidSect="00776E97">
      <w:headerReference w:type="default" r:id="rId8"/>
      <w:footerReference w:type="default" r:id="rId9"/>
      <w:footerReference w:type="first" r:id="rId10"/>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06FB" w:rsidRDefault="00BF06FB">
      <w:r>
        <w:separator/>
      </w:r>
    </w:p>
  </w:endnote>
  <w:endnote w:type="continuationSeparator" w:id="0">
    <w:p w:rsidR="00BF06FB" w:rsidRDefault="00BF06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badi MT Condensed Light">
    <w:altName w:val="Gill Sans MT Condensed"/>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Book Antiqua,Arial">
    <w:altName w:val="MV Bol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1BDB" w:rsidRPr="00593795" w:rsidRDefault="00FD1BDB" w:rsidP="00593795">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A3591B">
      <w:rPr>
        <w:rStyle w:val="PageNumber"/>
        <w:rFonts w:ascii="Arial" w:hAnsi="Arial" w:cs="Arial"/>
        <w:noProof/>
        <w:sz w:val="16"/>
        <w:szCs w:val="16"/>
      </w:rPr>
      <w:t>2</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1BDB" w:rsidRPr="00090CF9" w:rsidRDefault="00FD1BDB" w:rsidP="00090CF9">
    <w:pPr>
      <w:jc w:val="center"/>
      <w:rPr>
        <w:rFonts w:ascii="Arial" w:hAnsi="Arial" w:cs="Arial"/>
        <w:b/>
      </w:rPr>
    </w:pPr>
    <w:r w:rsidRPr="00090CF9">
      <w:rPr>
        <w:rFonts w:ascii="Arial" w:hAnsi="Arial" w:cs="Arial"/>
        <w:b/>
        <w:spacing w:val="-6"/>
      </w:rPr>
      <w:t>©</w:t>
    </w:r>
    <w:r w:rsidR="00FB3BB0">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06FB" w:rsidRDefault="00BF06FB">
      <w:r>
        <w:separator/>
      </w:r>
    </w:p>
  </w:footnote>
  <w:footnote w:type="continuationSeparator" w:id="0">
    <w:p w:rsidR="00BF06FB" w:rsidRDefault="00BF06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1BDB" w:rsidRPr="003C5CE5" w:rsidRDefault="00FD1BDB" w:rsidP="00593795">
    <w:pPr>
      <w:pStyle w:val="Header"/>
      <w:jc w:val="right"/>
      <w:rPr>
        <w:rFonts w:ascii="Arial" w:hAnsi="Arial" w:cs="Arial"/>
        <w:sz w:val="16"/>
        <w:szCs w:val="16"/>
      </w:rPr>
    </w:pPr>
    <w:r>
      <w:rPr>
        <w:rFonts w:ascii="Arial" w:hAnsi="Arial" w:cs="Arial"/>
        <w:sz w:val="16"/>
        <w:szCs w:val="16"/>
      </w:rPr>
      <w:t xml:space="preserve">Appeal Number: </w:t>
    </w:r>
    <w:r w:rsidR="003E392C">
      <w:rPr>
        <w:rFonts w:ascii="Arial" w:hAnsi="Arial" w:cs="Arial"/>
        <w:sz w:val="16"/>
        <w:szCs w:val="16"/>
      </w:rPr>
      <w:t>PA/11942/2016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97161"/>
    <w:multiLevelType w:val="multilevel"/>
    <w:tmpl w:val="B7FE3F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320D55"/>
    <w:multiLevelType w:val="multilevel"/>
    <w:tmpl w:val="4DB2F5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1416FB"/>
    <w:multiLevelType w:val="hybridMultilevel"/>
    <w:tmpl w:val="801424F2"/>
    <w:lvl w:ilvl="0" w:tplc="070E1C52">
      <w:start w:val="1"/>
      <w:numFmt w:val="decimal"/>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1A457186"/>
    <w:multiLevelType w:val="multilevel"/>
    <w:tmpl w:val="C324BC2A"/>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4" w15:restartNumberingAfterBreak="0">
    <w:nsid w:val="1E084B58"/>
    <w:multiLevelType w:val="hybridMultilevel"/>
    <w:tmpl w:val="6288531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2B6A3418"/>
    <w:multiLevelType w:val="multilevel"/>
    <w:tmpl w:val="96C8E0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DA5BC2"/>
    <w:multiLevelType w:val="hybridMultilevel"/>
    <w:tmpl w:val="2B28F818"/>
    <w:lvl w:ilvl="0" w:tplc="070E1C52">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DCCADF90">
      <w:start w:val="1"/>
      <w:numFmt w:val="lowerRoman"/>
      <w:lvlText w:val="(%5)"/>
      <w:lvlJc w:val="left"/>
      <w:pPr>
        <w:tabs>
          <w:tab w:val="num" w:pos="4320"/>
        </w:tabs>
        <w:ind w:left="4320" w:hanging="108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68E6D2E"/>
    <w:multiLevelType w:val="multilevel"/>
    <w:tmpl w:val="7DDE34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080649"/>
    <w:multiLevelType w:val="multilevel"/>
    <w:tmpl w:val="C1E2B1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3471A9"/>
    <w:multiLevelType w:val="multilevel"/>
    <w:tmpl w:val="81226A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6DB7837"/>
    <w:multiLevelType w:val="multilevel"/>
    <w:tmpl w:val="5F721E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2"/>
  </w:num>
  <w:num w:numId="4">
    <w:abstractNumId w:val="3"/>
  </w:num>
  <w:num w:numId="5">
    <w:abstractNumId w:val="0"/>
    <w:lvlOverride w:ilvl="0">
      <w:startOverride w:val="2"/>
    </w:lvlOverride>
  </w:num>
  <w:num w:numId="6">
    <w:abstractNumId w:val="9"/>
    <w:lvlOverride w:ilvl="0">
      <w:startOverride w:val="3"/>
    </w:lvlOverride>
  </w:num>
  <w:num w:numId="7">
    <w:abstractNumId w:val="8"/>
    <w:lvlOverride w:ilvl="0">
      <w:startOverride w:val="4"/>
    </w:lvlOverride>
  </w:num>
  <w:num w:numId="8">
    <w:abstractNumId w:val="10"/>
    <w:lvlOverride w:ilvl="0">
      <w:startOverride w:val="5"/>
    </w:lvlOverride>
  </w:num>
  <w:num w:numId="9">
    <w:abstractNumId w:val="1"/>
    <w:lvlOverride w:ilvl="0">
      <w:startOverride w:val="6"/>
    </w:lvlOverride>
  </w:num>
  <w:num w:numId="10">
    <w:abstractNumId w:val="5"/>
    <w:lvlOverride w:ilvl="0">
      <w:startOverride w:val="7"/>
    </w:lvlOverride>
  </w:num>
  <w:num w:numId="11">
    <w:abstractNumId w:val="7"/>
    <w:lvlOverride w:ilvl="0">
      <w:startOverride w:val="8"/>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6AF662A1-5285-4CCB-878E-5A51422FFC75}"/>
    <w:docVar w:name="dgnword-eventsink" w:val="709663512"/>
  </w:docVars>
  <w:rsids>
    <w:rsidRoot w:val="00C26032"/>
    <w:rsid w:val="00000621"/>
    <w:rsid w:val="0000285C"/>
    <w:rsid w:val="000036C2"/>
    <w:rsid w:val="00033D3D"/>
    <w:rsid w:val="00057601"/>
    <w:rsid w:val="00062F02"/>
    <w:rsid w:val="00071A7E"/>
    <w:rsid w:val="000746C0"/>
    <w:rsid w:val="00074D1D"/>
    <w:rsid w:val="00090CF9"/>
    <w:rsid w:val="00092580"/>
    <w:rsid w:val="00093D4D"/>
    <w:rsid w:val="000D5D94"/>
    <w:rsid w:val="000F1A0E"/>
    <w:rsid w:val="000F2D50"/>
    <w:rsid w:val="001165A7"/>
    <w:rsid w:val="00167D3A"/>
    <w:rsid w:val="00190C7A"/>
    <w:rsid w:val="001A3082"/>
    <w:rsid w:val="001B186A"/>
    <w:rsid w:val="001B2F75"/>
    <w:rsid w:val="001F2716"/>
    <w:rsid w:val="00207617"/>
    <w:rsid w:val="0023134B"/>
    <w:rsid w:val="00235BA0"/>
    <w:rsid w:val="00237CDE"/>
    <w:rsid w:val="00243EB4"/>
    <w:rsid w:val="0026015E"/>
    <w:rsid w:val="002667BE"/>
    <w:rsid w:val="00270E13"/>
    <w:rsid w:val="00283659"/>
    <w:rsid w:val="002B5149"/>
    <w:rsid w:val="002C6BD4"/>
    <w:rsid w:val="002D68BF"/>
    <w:rsid w:val="002F6B98"/>
    <w:rsid w:val="00316598"/>
    <w:rsid w:val="00324B30"/>
    <w:rsid w:val="00336CBF"/>
    <w:rsid w:val="00343FE3"/>
    <w:rsid w:val="003446EF"/>
    <w:rsid w:val="003546C8"/>
    <w:rsid w:val="003A6B06"/>
    <w:rsid w:val="003A7CF2"/>
    <w:rsid w:val="003C5723"/>
    <w:rsid w:val="003C5CE5"/>
    <w:rsid w:val="003E267B"/>
    <w:rsid w:val="003E392C"/>
    <w:rsid w:val="003E5773"/>
    <w:rsid w:val="003E7CD1"/>
    <w:rsid w:val="00402B9E"/>
    <w:rsid w:val="00411676"/>
    <w:rsid w:val="00412714"/>
    <w:rsid w:val="00420643"/>
    <w:rsid w:val="00422BF2"/>
    <w:rsid w:val="004249CB"/>
    <w:rsid w:val="0044127D"/>
    <w:rsid w:val="004448DB"/>
    <w:rsid w:val="00446C9A"/>
    <w:rsid w:val="00452F2B"/>
    <w:rsid w:val="00477193"/>
    <w:rsid w:val="004A1848"/>
    <w:rsid w:val="004A6F4A"/>
    <w:rsid w:val="004E4717"/>
    <w:rsid w:val="005035E7"/>
    <w:rsid w:val="00507FEC"/>
    <w:rsid w:val="00510F0E"/>
    <w:rsid w:val="00520CF2"/>
    <w:rsid w:val="00542C29"/>
    <w:rsid w:val="005479E1"/>
    <w:rsid w:val="00553E0A"/>
    <w:rsid w:val="005570FD"/>
    <w:rsid w:val="005575EA"/>
    <w:rsid w:val="0057790C"/>
    <w:rsid w:val="00584280"/>
    <w:rsid w:val="00593795"/>
    <w:rsid w:val="00593821"/>
    <w:rsid w:val="005A549B"/>
    <w:rsid w:val="005A75FF"/>
    <w:rsid w:val="005D10AB"/>
    <w:rsid w:val="005F1F19"/>
    <w:rsid w:val="00601D8F"/>
    <w:rsid w:val="00611011"/>
    <w:rsid w:val="00611B31"/>
    <w:rsid w:val="00653E97"/>
    <w:rsid w:val="0065695A"/>
    <w:rsid w:val="00676204"/>
    <w:rsid w:val="00684A74"/>
    <w:rsid w:val="00690B8A"/>
    <w:rsid w:val="006C0C76"/>
    <w:rsid w:val="006F2CF1"/>
    <w:rsid w:val="007038ED"/>
    <w:rsid w:val="00703BC3"/>
    <w:rsid w:val="00704B61"/>
    <w:rsid w:val="007334B3"/>
    <w:rsid w:val="007552A9"/>
    <w:rsid w:val="00761858"/>
    <w:rsid w:val="00767D59"/>
    <w:rsid w:val="00776E97"/>
    <w:rsid w:val="00780F86"/>
    <w:rsid w:val="00790418"/>
    <w:rsid w:val="007912AD"/>
    <w:rsid w:val="007A37E8"/>
    <w:rsid w:val="007B0824"/>
    <w:rsid w:val="007B5D3C"/>
    <w:rsid w:val="0080410F"/>
    <w:rsid w:val="00813355"/>
    <w:rsid w:val="00821B72"/>
    <w:rsid w:val="00823EF2"/>
    <w:rsid w:val="00824002"/>
    <w:rsid w:val="00825708"/>
    <w:rsid w:val="00827E1E"/>
    <w:rsid w:val="008303B8"/>
    <w:rsid w:val="00833DCE"/>
    <w:rsid w:val="00870C49"/>
    <w:rsid w:val="00871D34"/>
    <w:rsid w:val="008B270C"/>
    <w:rsid w:val="008B382D"/>
    <w:rsid w:val="008B5078"/>
    <w:rsid w:val="008C3D3D"/>
    <w:rsid w:val="008D4131"/>
    <w:rsid w:val="008D5A70"/>
    <w:rsid w:val="008E55FE"/>
    <w:rsid w:val="008F1932"/>
    <w:rsid w:val="008F2F5B"/>
    <w:rsid w:val="00907F6B"/>
    <w:rsid w:val="00921062"/>
    <w:rsid w:val="00925AB2"/>
    <w:rsid w:val="00925D00"/>
    <w:rsid w:val="00930718"/>
    <w:rsid w:val="009722BC"/>
    <w:rsid w:val="009727A3"/>
    <w:rsid w:val="00987774"/>
    <w:rsid w:val="009A11E8"/>
    <w:rsid w:val="009A2378"/>
    <w:rsid w:val="009D595D"/>
    <w:rsid w:val="009F5220"/>
    <w:rsid w:val="00A15234"/>
    <w:rsid w:val="00A201AB"/>
    <w:rsid w:val="00A240AA"/>
    <w:rsid w:val="00A253BF"/>
    <w:rsid w:val="00A31C8B"/>
    <w:rsid w:val="00A3591B"/>
    <w:rsid w:val="00A509FA"/>
    <w:rsid w:val="00A845DC"/>
    <w:rsid w:val="00AC06FE"/>
    <w:rsid w:val="00AE582E"/>
    <w:rsid w:val="00B23595"/>
    <w:rsid w:val="00B26AA2"/>
    <w:rsid w:val="00B3524D"/>
    <w:rsid w:val="00B40F69"/>
    <w:rsid w:val="00B414F3"/>
    <w:rsid w:val="00B46616"/>
    <w:rsid w:val="00B467EA"/>
    <w:rsid w:val="00B67274"/>
    <w:rsid w:val="00B7040A"/>
    <w:rsid w:val="00B83391"/>
    <w:rsid w:val="00B95326"/>
    <w:rsid w:val="00BB5F06"/>
    <w:rsid w:val="00BD4196"/>
    <w:rsid w:val="00BE485D"/>
    <w:rsid w:val="00BF06FB"/>
    <w:rsid w:val="00BF22CA"/>
    <w:rsid w:val="00BF23BB"/>
    <w:rsid w:val="00C044F6"/>
    <w:rsid w:val="00C12F97"/>
    <w:rsid w:val="00C26032"/>
    <w:rsid w:val="00C345E1"/>
    <w:rsid w:val="00C43BFD"/>
    <w:rsid w:val="00C461B3"/>
    <w:rsid w:val="00C51218"/>
    <w:rsid w:val="00CB6E35"/>
    <w:rsid w:val="00CE1A46"/>
    <w:rsid w:val="00D20757"/>
    <w:rsid w:val="00D2106A"/>
    <w:rsid w:val="00D22636"/>
    <w:rsid w:val="00D32B8A"/>
    <w:rsid w:val="00D40FD9"/>
    <w:rsid w:val="00D47C72"/>
    <w:rsid w:val="00D53769"/>
    <w:rsid w:val="00D63887"/>
    <w:rsid w:val="00D71405"/>
    <w:rsid w:val="00D85C13"/>
    <w:rsid w:val="00D9111A"/>
    <w:rsid w:val="00D91BE3"/>
    <w:rsid w:val="00D94AFC"/>
    <w:rsid w:val="00DA436E"/>
    <w:rsid w:val="00DB70AE"/>
    <w:rsid w:val="00DD5071"/>
    <w:rsid w:val="00DD5C39"/>
    <w:rsid w:val="00DE7DB7"/>
    <w:rsid w:val="00E00A0A"/>
    <w:rsid w:val="00E066DE"/>
    <w:rsid w:val="00E07F57"/>
    <w:rsid w:val="00E303E0"/>
    <w:rsid w:val="00E30683"/>
    <w:rsid w:val="00E453D8"/>
    <w:rsid w:val="00E50BCE"/>
    <w:rsid w:val="00E533BA"/>
    <w:rsid w:val="00E54934"/>
    <w:rsid w:val="00E574BF"/>
    <w:rsid w:val="00E61292"/>
    <w:rsid w:val="00E77C4D"/>
    <w:rsid w:val="00E80AD9"/>
    <w:rsid w:val="00E81D01"/>
    <w:rsid w:val="00EB7B30"/>
    <w:rsid w:val="00EE43F3"/>
    <w:rsid w:val="00EE45D8"/>
    <w:rsid w:val="00F22EDA"/>
    <w:rsid w:val="00F97703"/>
    <w:rsid w:val="00FB3BB0"/>
    <w:rsid w:val="00FD1BDB"/>
    <w:rsid w:val="00FD5F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1"/>
    </o:shapelayout>
  </w:shapeDefaults>
  <w:decimalSymbol w:val="."/>
  <w:listSeparator w:val=","/>
  <w14:docId w14:val="267B955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5">
    <w:name w:val="heading 5"/>
    <w:basedOn w:val="Normal"/>
    <w:next w:val="Normal"/>
    <w:qFormat/>
    <w:rsid w:val="00D32B8A"/>
    <w:pPr>
      <w:keepNext/>
      <w:outlineLvl w:val="4"/>
    </w:pPr>
    <w:rPr>
      <w:rFonts w:ascii="Abadi MT Condensed Light" w:hAnsi="Abadi MT Condensed Light"/>
      <w:b/>
      <w:bCs/>
      <w:sz w:val="28"/>
      <w:u w:val="single"/>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DocumentMap">
    <w:name w:val="Document Map"/>
    <w:basedOn w:val="Normal"/>
    <w:semiHidden/>
    <w:rsid w:val="00B467EA"/>
    <w:pPr>
      <w:shd w:val="clear" w:color="auto" w:fill="000080"/>
    </w:pPr>
    <w:rPr>
      <w:rFonts w:ascii="Tahoma" w:hAnsi="Tahoma" w:cs="Tahoma"/>
      <w:sz w:val="20"/>
      <w:szCs w:val="20"/>
    </w:rPr>
  </w:style>
  <w:style w:type="paragraph" w:styleId="BodyTextIndent">
    <w:name w:val="Body Text Indent"/>
    <w:basedOn w:val="Normal"/>
    <w:rsid w:val="00D32B8A"/>
    <w:pPr>
      <w:ind w:left="1080"/>
    </w:pPr>
    <w:rPr>
      <w:rFonts w:ascii="Abadi MT Condensed Light" w:hAnsi="Abadi MT Condensed Light"/>
      <w:sz w:val="28"/>
      <w:lang w:eastAsia="en-US"/>
    </w:rPr>
  </w:style>
  <w:style w:type="paragraph" w:styleId="NormalWeb">
    <w:name w:val="Normal (Web)"/>
    <w:basedOn w:val="Normal"/>
    <w:uiPriority w:val="99"/>
    <w:unhideWhenUsed/>
    <w:rsid w:val="006C0C76"/>
    <w:pPr>
      <w:spacing w:before="100" w:beforeAutospacing="1" w:after="100" w:afterAutospacing="1"/>
    </w:pPr>
  </w:style>
  <w:style w:type="character" w:styleId="Emphasis">
    <w:name w:val="Emphasis"/>
    <w:uiPriority w:val="20"/>
    <w:qFormat/>
    <w:rsid w:val="006C0C7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1820779">
      <w:bodyDiv w:val="1"/>
      <w:marLeft w:val="0"/>
      <w:marRight w:val="0"/>
      <w:marTop w:val="0"/>
      <w:marBottom w:val="0"/>
      <w:divBdr>
        <w:top w:val="none" w:sz="0" w:space="0" w:color="auto"/>
        <w:left w:val="none" w:sz="0" w:space="0" w:color="auto"/>
        <w:bottom w:val="none" w:sz="0" w:space="0" w:color="auto"/>
        <w:right w:val="none" w:sz="0" w:space="0" w:color="auto"/>
      </w:divBdr>
      <w:divsChild>
        <w:div w:id="575018215">
          <w:marLeft w:val="0"/>
          <w:marRight w:val="0"/>
          <w:marTop w:val="0"/>
          <w:marBottom w:val="0"/>
          <w:divBdr>
            <w:top w:val="none" w:sz="0" w:space="0" w:color="auto"/>
            <w:left w:val="none" w:sz="0" w:space="0" w:color="auto"/>
            <w:bottom w:val="none" w:sz="0" w:space="0" w:color="auto"/>
            <w:right w:val="none" w:sz="0" w:space="0" w:color="auto"/>
          </w:divBdr>
          <w:divsChild>
            <w:div w:id="650257314">
              <w:marLeft w:val="0"/>
              <w:marRight w:val="0"/>
              <w:marTop w:val="0"/>
              <w:marBottom w:val="0"/>
              <w:divBdr>
                <w:top w:val="none" w:sz="0" w:space="0" w:color="auto"/>
                <w:left w:val="none" w:sz="0" w:space="0" w:color="auto"/>
                <w:bottom w:val="none" w:sz="0" w:space="0" w:color="auto"/>
                <w:right w:val="none" w:sz="0" w:space="0" w:color="auto"/>
              </w:divBdr>
              <w:divsChild>
                <w:div w:id="1896775670">
                  <w:marLeft w:val="0"/>
                  <w:marRight w:val="0"/>
                  <w:marTop w:val="0"/>
                  <w:marBottom w:val="0"/>
                  <w:divBdr>
                    <w:top w:val="none" w:sz="0" w:space="0" w:color="auto"/>
                    <w:left w:val="none" w:sz="0" w:space="0" w:color="auto"/>
                    <w:bottom w:val="none" w:sz="0" w:space="0" w:color="auto"/>
                    <w:right w:val="none" w:sz="0" w:space="0" w:color="auto"/>
                  </w:divBdr>
                  <w:divsChild>
                    <w:div w:id="169370797">
                      <w:marLeft w:val="0"/>
                      <w:marRight w:val="0"/>
                      <w:marTop w:val="0"/>
                      <w:marBottom w:val="0"/>
                      <w:divBdr>
                        <w:top w:val="none" w:sz="0" w:space="0" w:color="auto"/>
                        <w:left w:val="none" w:sz="0" w:space="0" w:color="auto"/>
                        <w:bottom w:val="none" w:sz="0" w:space="0" w:color="auto"/>
                        <w:right w:val="none" w:sz="0" w:space="0" w:color="auto"/>
                      </w:divBdr>
                      <w:divsChild>
                        <w:div w:id="192972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2871</Words>
  <Characters>14161</Characters>
  <Application>Microsoft Office Word</Application>
  <DocSecurity>0</DocSecurity>
  <Lines>118</Lines>
  <Paragraphs>33</Paragraphs>
  <ScaleCrop>false</ScaleCrop>
  <Company/>
  <LinksUpToDate>false</LinksUpToDate>
  <CharactersWithSpaces>16999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2018-06-07T14:39:00Z</dcterms:created>
  <dcterms:modified xsi:type="dcterms:W3CDTF">2018-06-07T14:39:00Z</dcterms:modified>
</cp:coreProperties>
</file>