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763" w:rsidRPr="00141D60" w:rsidRDefault="00063272" w:rsidP="009A4763">
      <w:pPr>
        <w:jc w:val="center"/>
        <w:rPr>
          <w:rFonts w:ascii="Book Antiqua" w:hAnsi="Book Antiqua" w:cs="Arial"/>
          <w:color w:val="000000"/>
          <w:sz w:val="16"/>
          <w:szCs w:val="16"/>
        </w:rPr>
      </w:pPr>
      <w:r w:rsidRPr="00141D60">
        <w:rPr>
          <w:rFonts w:ascii="Book Antiqua" w:hAnsi="Book Antiqua"/>
          <w:noProof/>
          <w:sz w:val="16"/>
          <w:szCs w:val="16"/>
          <w:lang w:val="en-US" w:eastAsia="en-US"/>
        </w:rPr>
        <w:drawing>
          <wp:inline distT="0" distB="0" distL="0" distR="0">
            <wp:extent cx="1501140" cy="112776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27760"/>
                    </a:xfrm>
                    <a:prstGeom prst="rect">
                      <a:avLst/>
                    </a:prstGeom>
                    <a:noFill/>
                    <a:ln>
                      <a:noFill/>
                    </a:ln>
                  </pic:spPr>
                </pic:pic>
              </a:graphicData>
            </a:graphic>
          </wp:inline>
        </w:drawing>
      </w:r>
    </w:p>
    <w:p w:rsidR="00141D60" w:rsidRPr="00141D60" w:rsidRDefault="00141D60" w:rsidP="00141D60">
      <w:pPr>
        <w:rPr>
          <w:rFonts w:ascii="Book Antiqua" w:hAnsi="Book Antiqua" w:cs="Arial"/>
          <w:color w:val="000000"/>
          <w:sz w:val="16"/>
          <w:szCs w:val="16"/>
        </w:rPr>
      </w:pPr>
    </w:p>
    <w:p w:rsidR="009A4763" w:rsidRPr="00B67284" w:rsidRDefault="009A4763" w:rsidP="009A4763">
      <w:pPr>
        <w:tabs>
          <w:tab w:val="right" w:pos="9720"/>
        </w:tabs>
        <w:ind w:right="-82"/>
        <w:outlineLvl w:val="0"/>
        <w:rPr>
          <w:rFonts w:ascii="Book Antiqua" w:hAnsi="Book Antiqua" w:cs="Arial"/>
          <w:b/>
          <w:color w:val="000000"/>
        </w:rPr>
      </w:pPr>
      <w:r>
        <w:rPr>
          <w:rFonts w:ascii="Book Antiqua" w:hAnsi="Book Antiqua" w:cs="Arial"/>
          <w:b/>
          <w:color w:val="000000"/>
        </w:rPr>
        <w:t xml:space="preserve">Upper </w:t>
      </w:r>
      <w:r w:rsidRPr="00B67284">
        <w:rPr>
          <w:rFonts w:ascii="Book Antiqua" w:hAnsi="Book Antiqua" w:cs="Arial"/>
          <w:b/>
          <w:color w:val="000000"/>
        </w:rPr>
        <w:t xml:space="preserve">Tribunal </w:t>
      </w:r>
    </w:p>
    <w:p w:rsidR="009A4763" w:rsidRPr="00B67284" w:rsidRDefault="009A4763" w:rsidP="009A4763">
      <w:pPr>
        <w:tabs>
          <w:tab w:val="right" w:pos="9720"/>
        </w:tabs>
        <w:ind w:right="-82"/>
        <w:rPr>
          <w:rFonts w:ascii="Book Antiqua" w:hAnsi="Book Antiqua" w:cs="Arial"/>
          <w:color w:val="000000"/>
        </w:rPr>
      </w:pPr>
      <w:r w:rsidRPr="00B67284">
        <w:rPr>
          <w:rFonts w:ascii="Book Antiqua" w:hAnsi="Book Antiqua" w:cs="Arial"/>
          <w:b/>
          <w:color w:val="000000"/>
        </w:rPr>
        <w:t>(Immigration and Asylum Chamber)</w:t>
      </w:r>
      <w:r w:rsidRPr="00B67284">
        <w:rPr>
          <w:rFonts w:ascii="Book Antiqua" w:hAnsi="Book Antiqua" w:cs="Arial"/>
          <w:b/>
          <w:color w:val="000000"/>
        </w:rPr>
        <w:tab/>
      </w:r>
      <w:r w:rsidRPr="00B67284">
        <w:rPr>
          <w:rFonts w:ascii="Book Antiqua" w:hAnsi="Book Antiqua" w:cs="Arial"/>
          <w:color w:val="000000"/>
        </w:rPr>
        <w:t xml:space="preserve">Appeal Number: </w:t>
      </w:r>
      <w:bookmarkStart w:id="0" w:name="_GoBack"/>
      <w:r w:rsidR="00D418D2">
        <w:rPr>
          <w:rFonts w:ascii="Book Antiqua" w:hAnsi="Book Antiqua" w:cs="Arial"/>
          <w:caps/>
          <w:color w:val="000000"/>
        </w:rPr>
        <w:t>P</w:t>
      </w:r>
      <w:r w:rsidR="002132D8">
        <w:rPr>
          <w:rFonts w:ascii="Book Antiqua" w:hAnsi="Book Antiqua" w:cs="Arial"/>
          <w:caps/>
          <w:color w:val="000000"/>
        </w:rPr>
        <w:t>A/</w:t>
      </w:r>
      <w:r w:rsidR="00977617">
        <w:rPr>
          <w:rFonts w:ascii="Book Antiqua" w:hAnsi="Book Antiqua" w:cs="Arial"/>
          <w:caps/>
          <w:color w:val="000000"/>
        </w:rPr>
        <w:t>11982</w:t>
      </w:r>
      <w:r>
        <w:rPr>
          <w:rFonts w:ascii="Book Antiqua" w:hAnsi="Book Antiqua" w:cs="Arial"/>
          <w:caps/>
          <w:color w:val="000000"/>
        </w:rPr>
        <w:t>/201</w:t>
      </w:r>
      <w:r w:rsidR="00977617">
        <w:rPr>
          <w:rFonts w:ascii="Book Antiqua" w:hAnsi="Book Antiqua" w:cs="Arial"/>
          <w:caps/>
          <w:color w:val="000000"/>
        </w:rPr>
        <w:t>6</w:t>
      </w:r>
      <w:bookmarkEnd w:id="0"/>
    </w:p>
    <w:p w:rsidR="009A4763" w:rsidRPr="00B67284" w:rsidRDefault="009A4763" w:rsidP="009A4763">
      <w:pPr>
        <w:jc w:val="center"/>
        <w:rPr>
          <w:rFonts w:ascii="Book Antiqua" w:hAnsi="Book Antiqua" w:cs="Arial"/>
          <w:color w:val="000000"/>
        </w:rPr>
      </w:pPr>
    </w:p>
    <w:p w:rsidR="009A4763" w:rsidRPr="00B67284" w:rsidRDefault="009A4763" w:rsidP="009A4763">
      <w:pPr>
        <w:jc w:val="center"/>
        <w:rPr>
          <w:rFonts w:ascii="Book Antiqua" w:hAnsi="Book Antiqua" w:cs="Arial"/>
          <w:color w:val="000000"/>
        </w:rPr>
      </w:pPr>
    </w:p>
    <w:p w:rsidR="009A4763" w:rsidRPr="00B67284" w:rsidRDefault="009A4763" w:rsidP="009A4763">
      <w:pPr>
        <w:jc w:val="center"/>
        <w:outlineLvl w:val="0"/>
        <w:rPr>
          <w:rFonts w:ascii="Book Antiqua" w:hAnsi="Book Antiqua" w:cs="Arial"/>
          <w:b/>
          <w:color w:val="000000"/>
          <w:u w:val="single"/>
        </w:rPr>
      </w:pPr>
      <w:r w:rsidRPr="00B67284">
        <w:rPr>
          <w:rFonts w:ascii="Book Antiqua" w:hAnsi="Book Antiqua" w:cs="Arial"/>
          <w:b/>
          <w:color w:val="000000"/>
          <w:u w:val="single"/>
        </w:rPr>
        <w:t>THE IMMIGRATION ACTS</w:t>
      </w:r>
    </w:p>
    <w:p w:rsidR="009A4763" w:rsidRPr="00B67284" w:rsidRDefault="009A4763" w:rsidP="009A4763">
      <w:pPr>
        <w:jc w:val="center"/>
        <w:rPr>
          <w:rFonts w:ascii="Book Antiqua" w:hAnsi="Book Antiqua" w:cs="Arial"/>
          <w:b/>
          <w:u w:val="single"/>
        </w:rPr>
      </w:pPr>
    </w:p>
    <w:p w:rsidR="009A4763" w:rsidRPr="00B67284" w:rsidRDefault="009A4763" w:rsidP="009A4763">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A4763" w:rsidRPr="00431C7D" w:rsidTr="00141D60">
        <w:tc>
          <w:tcPr>
            <w:tcW w:w="2500" w:type="pct"/>
          </w:tcPr>
          <w:p w:rsidR="009A4763" w:rsidRPr="00431C7D" w:rsidRDefault="009A4763" w:rsidP="00D418D2">
            <w:pPr>
              <w:jc w:val="both"/>
              <w:rPr>
                <w:rFonts w:ascii="Book Antiqua" w:hAnsi="Book Antiqua" w:cs="Arial"/>
                <w:b/>
              </w:rPr>
            </w:pPr>
            <w:r w:rsidRPr="00431C7D">
              <w:rPr>
                <w:rFonts w:ascii="Book Antiqua" w:hAnsi="Book Antiqua" w:cs="Arial"/>
                <w:b/>
              </w:rPr>
              <w:t xml:space="preserve">Heard </w:t>
            </w:r>
            <w:r w:rsidR="007B2844">
              <w:rPr>
                <w:rFonts w:ascii="Book Antiqua" w:hAnsi="Book Antiqua" w:cs="Arial"/>
                <w:b/>
              </w:rPr>
              <w:t xml:space="preserve">at </w:t>
            </w:r>
            <w:r w:rsidR="00977617">
              <w:rPr>
                <w:rFonts w:ascii="Book Antiqua" w:hAnsi="Book Antiqua" w:cs="Arial"/>
                <w:b/>
              </w:rPr>
              <w:t>Manchester CJC</w:t>
            </w:r>
          </w:p>
        </w:tc>
        <w:tc>
          <w:tcPr>
            <w:tcW w:w="2500" w:type="pct"/>
          </w:tcPr>
          <w:p w:rsidR="009A4763" w:rsidRPr="00431C7D" w:rsidRDefault="00E16765" w:rsidP="00141D60">
            <w:pPr>
              <w:jc w:val="right"/>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9A4763" w:rsidRPr="00431C7D" w:rsidTr="00141D60">
        <w:tc>
          <w:tcPr>
            <w:tcW w:w="2500" w:type="pct"/>
          </w:tcPr>
          <w:p w:rsidR="009A4763" w:rsidRPr="00431C7D" w:rsidRDefault="00977617" w:rsidP="009A4763">
            <w:pPr>
              <w:jc w:val="both"/>
              <w:rPr>
                <w:rFonts w:ascii="Book Antiqua" w:hAnsi="Book Antiqua" w:cs="Arial"/>
                <w:b/>
              </w:rPr>
            </w:pPr>
            <w:r>
              <w:rPr>
                <w:rFonts w:ascii="Book Antiqua" w:hAnsi="Book Antiqua" w:cs="Arial"/>
                <w:b/>
              </w:rPr>
              <w:t>On 28 August 2018</w:t>
            </w:r>
          </w:p>
        </w:tc>
        <w:tc>
          <w:tcPr>
            <w:tcW w:w="2500" w:type="pct"/>
          </w:tcPr>
          <w:p w:rsidR="009A4763" w:rsidRPr="00431C7D" w:rsidRDefault="00E16765" w:rsidP="00141D60">
            <w:pPr>
              <w:jc w:val="right"/>
              <w:rPr>
                <w:rFonts w:ascii="Book Antiqua" w:hAnsi="Book Antiqua" w:cs="Arial"/>
                <w:b/>
              </w:rPr>
            </w:pPr>
            <w:r>
              <w:rPr>
                <w:rFonts w:ascii="Book Antiqua" w:hAnsi="Book Antiqua" w:cs="Arial"/>
                <w:b/>
              </w:rPr>
              <w:t>On 5 September 2018</w:t>
            </w:r>
          </w:p>
        </w:tc>
      </w:tr>
      <w:tr w:rsidR="009A4763" w:rsidRPr="00431C7D" w:rsidTr="00141D60">
        <w:tc>
          <w:tcPr>
            <w:tcW w:w="2500" w:type="pct"/>
          </w:tcPr>
          <w:p w:rsidR="009A4763" w:rsidRPr="00431C7D" w:rsidRDefault="009A4763" w:rsidP="009A4763">
            <w:pPr>
              <w:jc w:val="both"/>
              <w:rPr>
                <w:rFonts w:ascii="Book Antiqua" w:hAnsi="Book Antiqua" w:cs="Arial"/>
                <w:b/>
              </w:rPr>
            </w:pPr>
          </w:p>
        </w:tc>
        <w:tc>
          <w:tcPr>
            <w:tcW w:w="2500" w:type="pct"/>
          </w:tcPr>
          <w:p w:rsidR="009A4763" w:rsidRPr="00431C7D" w:rsidRDefault="009A4763" w:rsidP="00141D60">
            <w:pPr>
              <w:jc w:val="right"/>
              <w:rPr>
                <w:rFonts w:ascii="Book Antiqua" w:hAnsi="Book Antiqua" w:cs="Arial"/>
                <w:b/>
              </w:rPr>
            </w:pPr>
          </w:p>
        </w:tc>
      </w:tr>
    </w:tbl>
    <w:p w:rsidR="009A4763" w:rsidRPr="00B67284" w:rsidRDefault="009A4763" w:rsidP="009A4763">
      <w:pPr>
        <w:jc w:val="center"/>
        <w:rPr>
          <w:rFonts w:ascii="Book Antiqua" w:hAnsi="Book Antiqua" w:cs="Arial"/>
        </w:rPr>
      </w:pPr>
    </w:p>
    <w:p w:rsidR="009A4763" w:rsidRPr="00B67284" w:rsidRDefault="009A4763" w:rsidP="009A4763">
      <w:pPr>
        <w:jc w:val="center"/>
        <w:outlineLvl w:val="0"/>
        <w:rPr>
          <w:rFonts w:ascii="Book Antiqua" w:hAnsi="Book Antiqua" w:cs="Arial"/>
          <w:b/>
        </w:rPr>
      </w:pPr>
      <w:r w:rsidRPr="00B67284">
        <w:rPr>
          <w:rFonts w:ascii="Book Antiqua" w:hAnsi="Book Antiqua" w:cs="Arial"/>
          <w:b/>
        </w:rPr>
        <w:t>Before</w:t>
      </w:r>
    </w:p>
    <w:p w:rsidR="009A4763" w:rsidRPr="00B67284" w:rsidRDefault="009A4763" w:rsidP="009A4763">
      <w:pPr>
        <w:jc w:val="center"/>
        <w:rPr>
          <w:rFonts w:ascii="Book Antiqua" w:hAnsi="Book Antiqua" w:cs="Arial"/>
          <w:b/>
        </w:rPr>
      </w:pPr>
    </w:p>
    <w:p w:rsidR="009A4763" w:rsidRPr="00B67284" w:rsidRDefault="009A4763" w:rsidP="009A4763">
      <w:pPr>
        <w:jc w:val="center"/>
        <w:outlineLvl w:val="0"/>
        <w:rPr>
          <w:rFonts w:ascii="Book Antiqua" w:hAnsi="Book Antiqua" w:cs="Arial"/>
          <w:b/>
          <w:color w:val="000000"/>
        </w:rPr>
      </w:pPr>
      <w:r w:rsidRPr="00B67284">
        <w:rPr>
          <w:rFonts w:ascii="Book Antiqua" w:hAnsi="Book Antiqua" w:cs="Arial"/>
          <w:b/>
          <w:color w:val="000000"/>
        </w:rPr>
        <w:t xml:space="preserve"> </w:t>
      </w:r>
      <w:r>
        <w:rPr>
          <w:rFonts w:ascii="Book Antiqua" w:hAnsi="Book Antiqua" w:cs="Arial"/>
          <w:b/>
          <w:color w:val="000000"/>
        </w:rPr>
        <w:t xml:space="preserve"> </w:t>
      </w:r>
      <w:r w:rsidR="007B2844">
        <w:rPr>
          <w:rFonts w:ascii="Book Antiqua" w:hAnsi="Book Antiqua" w:cs="Arial"/>
          <w:b/>
          <w:color w:val="000000"/>
        </w:rPr>
        <w:t xml:space="preserve">UPPER TRIBUNAL </w:t>
      </w:r>
      <w:r w:rsidRPr="00B67284">
        <w:rPr>
          <w:rFonts w:ascii="Book Antiqua" w:hAnsi="Book Antiqua" w:cs="Arial"/>
          <w:b/>
          <w:color w:val="000000"/>
        </w:rPr>
        <w:t xml:space="preserve">JUDGE </w:t>
      </w:r>
      <w:r>
        <w:rPr>
          <w:rFonts w:ascii="Book Antiqua" w:hAnsi="Book Antiqua" w:cs="Arial"/>
          <w:b/>
          <w:color w:val="000000"/>
        </w:rPr>
        <w:t>PLIMMER</w:t>
      </w:r>
    </w:p>
    <w:p w:rsidR="009A4763" w:rsidRDefault="009A4763" w:rsidP="009A4763">
      <w:pPr>
        <w:jc w:val="center"/>
        <w:rPr>
          <w:rFonts w:ascii="Book Antiqua" w:hAnsi="Book Antiqua" w:cs="Arial"/>
          <w:b/>
        </w:rPr>
      </w:pPr>
    </w:p>
    <w:p w:rsidR="00141D60" w:rsidRPr="00B67284" w:rsidRDefault="00141D60" w:rsidP="009A4763">
      <w:pPr>
        <w:jc w:val="center"/>
        <w:rPr>
          <w:rFonts w:ascii="Book Antiqua" w:hAnsi="Book Antiqua" w:cs="Arial"/>
          <w:b/>
        </w:rPr>
      </w:pPr>
    </w:p>
    <w:p w:rsidR="009A4763" w:rsidRPr="00B67284" w:rsidRDefault="009A4763" w:rsidP="009A4763">
      <w:pPr>
        <w:jc w:val="center"/>
        <w:outlineLvl w:val="0"/>
        <w:rPr>
          <w:rFonts w:ascii="Book Antiqua" w:hAnsi="Book Antiqua" w:cs="Arial"/>
          <w:b/>
        </w:rPr>
      </w:pPr>
      <w:r w:rsidRPr="00B67284">
        <w:rPr>
          <w:rFonts w:ascii="Book Antiqua" w:hAnsi="Book Antiqua" w:cs="Arial"/>
          <w:b/>
        </w:rPr>
        <w:t>Between</w:t>
      </w:r>
    </w:p>
    <w:p w:rsidR="009A4763" w:rsidRPr="00B67284" w:rsidRDefault="009A4763" w:rsidP="009A4763">
      <w:pPr>
        <w:jc w:val="center"/>
        <w:rPr>
          <w:rFonts w:ascii="Book Antiqua" w:hAnsi="Book Antiqua" w:cs="Arial"/>
          <w:b/>
        </w:rPr>
      </w:pPr>
    </w:p>
    <w:p w:rsidR="009A4763" w:rsidRDefault="00977617" w:rsidP="009A4763">
      <w:pPr>
        <w:jc w:val="center"/>
        <w:rPr>
          <w:rFonts w:ascii="Book Antiqua" w:hAnsi="Book Antiqua" w:cs="Arial"/>
          <w:b/>
        </w:rPr>
      </w:pPr>
      <w:r>
        <w:rPr>
          <w:rFonts w:ascii="Book Antiqua" w:hAnsi="Book Antiqua" w:cs="Arial"/>
          <w:b/>
        </w:rPr>
        <w:t>DM</w:t>
      </w:r>
    </w:p>
    <w:p w:rsidR="007B2844" w:rsidRPr="00141D60" w:rsidRDefault="007B2844" w:rsidP="009A4763">
      <w:pPr>
        <w:jc w:val="center"/>
        <w:rPr>
          <w:rFonts w:ascii="Book Antiqua" w:hAnsi="Book Antiqua" w:cs="Arial"/>
          <w:b/>
          <w:sz w:val="22"/>
          <w:u w:val="single"/>
        </w:rPr>
      </w:pPr>
      <w:r w:rsidRPr="00141D60">
        <w:rPr>
          <w:rFonts w:ascii="Book Antiqua" w:hAnsi="Book Antiqua" w:cs="Arial"/>
          <w:b/>
          <w:sz w:val="22"/>
          <w:u w:val="single"/>
        </w:rPr>
        <w:t>ANONYMITY DIRECTION MADE</w:t>
      </w:r>
    </w:p>
    <w:p w:rsidR="009A4763" w:rsidRPr="00B67284" w:rsidRDefault="009A4763" w:rsidP="009A4763">
      <w:pPr>
        <w:jc w:val="right"/>
        <w:outlineLvl w:val="0"/>
        <w:rPr>
          <w:rFonts w:ascii="Book Antiqua" w:hAnsi="Book Antiqua" w:cs="Arial"/>
          <w:u w:val="single"/>
        </w:rPr>
      </w:pPr>
      <w:r w:rsidRPr="00B67284">
        <w:rPr>
          <w:rFonts w:ascii="Book Antiqua" w:hAnsi="Book Antiqua" w:cs="Arial"/>
          <w:u w:val="single"/>
        </w:rPr>
        <w:t>Appellant</w:t>
      </w:r>
    </w:p>
    <w:p w:rsidR="009A4763" w:rsidRDefault="009A4763" w:rsidP="009A4763">
      <w:pPr>
        <w:jc w:val="center"/>
        <w:rPr>
          <w:rFonts w:ascii="Book Antiqua" w:hAnsi="Book Antiqua" w:cs="Arial"/>
          <w:b/>
        </w:rPr>
      </w:pPr>
      <w:r>
        <w:rPr>
          <w:rFonts w:ascii="Book Antiqua" w:hAnsi="Book Antiqua" w:cs="Arial"/>
          <w:b/>
        </w:rPr>
        <w:t>a</w:t>
      </w:r>
      <w:r w:rsidRPr="00B67284">
        <w:rPr>
          <w:rFonts w:ascii="Book Antiqua" w:hAnsi="Book Antiqua" w:cs="Arial"/>
          <w:b/>
        </w:rPr>
        <w:t>nd</w:t>
      </w:r>
    </w:p>
    <w:p w:rsidR="009A4763" w:rsidRDefault="009A4763" w:rsidP="009A4763">
      <w:pPr>
        <w:jc w:val="center"/>
        <w:rPr>
          <w:rFonts w:ascii="Book Antiqua" w:hAnsi="Book Antiqua" w:cs="Arial"/>
          <w:b/>
        </w:rPr>
      </w:pPr>
    </w:p>
    <w:p w:rsidR="009A4763" w:rsidRPr="00B67284" w:rsidRDefault="009A4763" w:rsidP="009A4763">
      <w:pPr>
        <w:jc w:val="center"/>
        <w:rPr>
          <w:rFonts w:ascii="Book Antiqua" w:hAnsi="Book Antiqua" w:cs="Arial"/>
          <w:b/>
        </w:rPr>
      </w:pPr>
      <w:r>
        <w:rPr>
          <w:rFonts w:ascii="Book Antiqua" w:hAnsi="Book Antiqua" w:cs="Arial"/>
          <w:b/>
        </w:rPr>
        <w:t>THE SECRETARY OF STATE FOR THE HOME DEPARTMENT</w:t>
      </w:r>
    </w:p>
    <w:p w:rsidR="009A4763" w:rsidRPr="00B67284" w:rsidRDefault="009A4763" w:rsidP="009A4763">
      <w:pPr>
        <w:jc w:val="right"/>
        <w:outlineLvl w:val="0"/>
        <w:rPr>
          <w:rFonts w:ascii="Book Antiqua" w:hAnsi="Book Antiqua" w:cs="Arial"/>
          <w:u w:val="single"/>
        </w:rPr>
      </w:pPr>
      <w:r w:rsidRPr="00B67284">
        <w:rPr>
          <w:rFonts w:ascii="Book Antiqua" w:hAnsi="Book Antiqua" w:cs="Arial"/>
          <w:u w:val="single"/>
        </w:rPr>
        <w:t>Respondent</w:t>
      </w:r>
    </w:p>
    <w:p w:rsidR="009A4763" w:rsidRDefault="009A4763" w:rsidP="00E531E5">
      <w:pPr>
        <w:rPr>
          <w:rFonts w:ascii="Book Antiqua" w:hAnsi="Book Antiqua" w:cs="Arial"/>
          <w:u w:val="single"/>
        </w:rPr>
      </w:pPr>
    </w:p>
    <w:p w:rsidR="00141D60" w:rsidRPr="00B67284" w:rsidRDefault="00141D60" w:rsidP="00E531E5">
      <w:pPr>
        <w:rPr>
          <w:rFonts w:ascii="Book Antiqua" w:hAnsi="Book Antiqua" w:cs="Arial"/>
          <w:u w:val="single"/>
        </w:rPr>
      </w:pPr>
    </w:p>
    <w:p w:rsidR="009A4763" w:rsidRPr="00B67284" w:rsidRDefault="009A4763" w:rsidP="00E531E5">
      <w:pPr>
        <w:outlineLvl w:val="0"/>
        <w:rPr>
          <w:rFonts w:ascii="Book Antiqua" w:hAnsi="Book Antiqua" w:cs="Arial"/>
        </w:rPr>
      </w:pPr>
      <w:r w:rsidRPr="00B67284">
        <w:rPr>
          <w:rFonts w:ascii="Book Antiqua" w:hAnsi="Book Antiqua" w:cs="Arial"/>
          <w:b/>
          <w:u w:val="single"/>
        </w:rPr>
        <w:t>Representation</w:t>
      </w:r>
      <w:r w:rsidRPr="00B67284">
        <w:rPr>
          <w:rFonts w:ascii="Book Antiqua" w:hAnsi="Book Antiqua" w:cs="Arial"/>
          <w:b/>
        </w:rPr>
        <w:t>:</w:t>
      </w:r>
    </w:p>
    <w:p w:rsidR="009A4763" w:rsidRPr="00B67284" w:rsidRDefault="00750412" w:rsidP="00E531E5">
      <w:pPr>
        <w:tabs>
          <w:tab w:val="left" w:pos="2520"/>
        </w:tabs>
        <w:outlineLvl w:val="0"/>
        <w:rPr>
          <w:rFonts w:ascii="Book Antiqua" w:hAnsi="Book Antiqua" w:cs="Arial"/>
        </w:rPr>
      </w:pPr>
      <w:r>
        <w:rPr>
          <w:rFonts w:ascii="Book Antiqua" w:hAnsi="Book Antiqua" w:cs="Arial"/>
        </w:rPr>
        <w:t>For the a</w:t>
      </w:r>
      <w:r w:rsidR="009A4763" w:rsidRPr="00B67284">
        <w:rPr>
          <w:rFonts w:ascii="Book Antiqua" w:hAnsi="Book Antiqua" w:cs="Arial"/>
        </w:rPr>
        <w:t>ppellant:</w:t>
      </w:r>
      <w:r w:rsidR="009A4763" w:rsidRPr="00B67284">
        <w:rPr>
          <w:rFonts w:ascii="Book Antiqua" w:hAnsi="Book Antiqua" w:cs="Arial"/>
        </w:rPr>
        <w:tab/>
      </w:r>
      <w:r w:rsidR="00FF1958">
        <w:rPr>
          <w:rFonts w:ascii="Book Antiqua" w:hAnsi="Book Antiqua" w:cs="Arial"/>
        </w:rPr>
        <w:t xml:space="preserve"> M</w:t>
      </w:r>
      <w:r w:rsidR="00297592">
        <w:rPr>
          <w:rFonts w:ascii="Book Antiqua" w:hAnsi="Book Antiqua" w:cs="Arial"/>
        </w:rPr>
        <w:t>s Smith, Counsel</w:t>
      </w:r>
    </w:p>
    <w:p w:rsidR="009A4763" w:rsidRPr="00B67284" w:rsidRDefault="009A4763" w:rsidP="00E531E5">
      <w:pPr>
        <w:tabs>
          <w:tab w:val="left" w:pos="2520"/>
        </w:tabs>
        <w:rPr>
          <w:rFonts w:ascii="Book Antiqua" w:hAnsi="Book Antiqua" w:cs="Arial"/>
        </w:rPr>
      </w:pPr>
      <w:r w:rsidRPr="00B67284">
        <w:rPr>
          <w:rFonts w:ascii="Book Antiqua" w:hAnsi="Book Antiqua" w:cs="Arial"/>
        </w:rPr>
        <w:t xml:space="preserve">For the </w:t>
      </w:r>
      <w:r w:rsidR="00EA6B7B">
        <w:rPr>
          <w:rFonts w:ascii="Book Antiqua" w:hAnsi="Book Antiqua" w:cs="Arial"/>
        </w:rPr>
        <w:t>respondent</w:t>
      </w:r>
      <w:r w:rsidRPr="00B67284">
        <w:rPr>
          <w:rFonts w:ascii="Book Antiqua" w:hAnsi="Book Antiqua" w:cs="Arial"/>
        </w:rPr>
        <w:t>:</w:t>
      </w:r>
      <w:r w:rsidRPr="00B67284">
        <w:rPr>
          <w:rFonts w:ascii="Book Antiqua" w:hAnsi="Book Antiqua" w:cs="Arial"/>
        </w:rPr>
        <w:tab/>
      </w:r>
      <w:r w:rsidR="007B2844">
        <w:rPr>
          <w:rFonts w:ascii="Book Antiqua" w:hAnsi="Book Antiqua" w:cs="Arial"/>
        </w:rPr>
        <w:t xml:space="preserve"> M</w:t>
      </w:r>
      <w:r w:rsidR="00297592">
        <w:rPr>
          <w:rFonts w:ascii="Book Antiqua" w:hAnsi="Book Antiqua" w:cs="Arial"/>
        </w:rPr>
        <w:t xml:space="preserve">r </w:t>
      </w:r>
      <w:proofErr w:type="spellStart"/>
      <w:r w:rsidR="00297592">
        <w:rPr>
          <w:rFonts w:ascii="Book Antiqua" w:hAnsi="Book Antiqua" w:cs="Arial"/>
        </w:rPr>
        <w:t>McVeety</w:t>
      </w:r>
      <w:proofErr w:type="spellEnd"/>
      <w:r w:rsidR="00031835">
        <w:rPr>
          <w:rFonts w:ascii="Book Antiqua" w:hAnsi="Book Antiqua" w:cs="Arial"/>
        </w:rPr>
        <w:t xml:space="preserve">, </w:t>
      </w:r>
      <w:r w:rsidR="005916B8">
        <w:rPr>
          <w:rFonts w:ascii="Book Antiqua" w:hAnsi="Book Antiqua" w:cs="Arial"/>
        </w:rPr>
        <w:t xml:space="preserve">Senior </w:t>
      </w:r>
      <w:r w:rsidR="002132D8">
        <w:rPr>
          <w:rFonts w:ascii="Book Antiqua" w:hAnsi="Book Antiqua" w:cs="Arial"/>
        </w:rPr>
        <w:t>Home Office Presenting Officer</w:t>
      </w:r>
    </w:p>
    <w:p w:rsidR="009A4763" w:rsidRDefault="009A4763" w:rsidP="005916B8">
      <w:pPr>
        <w:tabs>
          <w:tab w:val="left" w:pos="2520"/>
        </w:tabs>
        <w:rPr>
          <w:rFonts w:ascii="Book Antiqua" w:hAnsi="Book Antiqua" w:cs="Arial"/>
        </w:rPr>
      </w:pPr>
    </w:p>
    <w:p w:rsidR="00141D60" w:rsidRPr="00B67284" w:rsidRDefault="00141D60" w:rsidP="005916B8">
      <w:pPr>
        <w:tabs>
          <w:tab w:val="left" w:pos="2520"/>
        </w:tabs>
        <w:rPr>
          <w:rFonts w:ascii="Book Antiqua" w:hAnsi="Book Antiqua" w:cs="Arial"/>
        </w:rPr>
      </w:pPr>
    </w:p>
    <w:p w:rsidR="009A4763" w:rsidRPr="00B67284" w:rsidRDefault="009A4763" w:rsidP="00E531E5">
      <w:pPr>
        <w:tabs>
          <w:tab w:val="left" w:pos="2520"/>
        </w:tabs>
        <w:jc w:val="center"/>
        <w:outlineLvl w:val="0"/>
        <w:rPr>
          <w:rFonts w:ascii="Book Antiqua" w:hAnsi="Book Antiqua" w:cs="Arial"/>
        </w:rPr>
      </w:pPr>
      <w:r w:rsidRPr="00B67284">
        <w:rPr>
          <w:rFonts w:ascii="Book Antiqua" w:hAnsi="Book Antiqua" w:cs="Arial"/>
          <w:b/>
          <w:u w:val="single"/>
        </w:rPr>
        <w:t>DE</w:t>
      </w:r>
      <w:r w:rsidR="00ED02FF">
        <w:rPr>
          <w:rFonts w:ascii="Book Antiqua" w:hAnsi="Book Antiqua" w:cs="Arial"/>
          <w:b/>
          <w:u w:val="single"/>
        </w:rPr>
        <w:t>CISION AND DIRECTIONS</w:t>
      </w:r>
    </w:p>
    <w:p w:rsidR="000226DC" w:rsidRDefault="000226DC" w:rsidP="000226DC">
      <w:pPr>
        <w:tabs>
          <w:tab w:val="left" w:pos="2520"/>
        </w:tabs>
        <w:jc w:val="both"/>
        <w:outlineLvl w:val="0"/>
        <w:rPr>
          <w:rFonts w:ascii="Book Antiqua" w:hAnsi="Book Antiqua" w:cs="Arial"/>
        </w:rPr>
      </w:pPr>
    </w:p>
    <w:p w:rsidR="000226DC" w:rsidRPr="00BB2C14" w:rsidRDefault="000226DC" w:rsidP="000226DC">
      <w:pPr>
        <w:tabs>
          <w:tab w:val="left" w:pos="2520"/>
        </w:tabs>
        <w:jc w:val="both"/>
        <w:rPr>
          <w:rFonts w:ascii="Book Antiqua" w:hAnsi="Book Antiqua"/>
          <w:i/>
        </w:rPr>
      </w:pPr>
      <w:r w:rsidRPr="00BB2C14">
        <w:rPr>
          <w:rFonts w:ascii="Book Antiqua" w:hAnsi="Book Antiqua"/>
          <w:i/>
        </w:rPr>
        <w:t>Pursuant to Rule 14 of the Tribunal Procedure (Upper Tribunal) Rules 2008 (SI2008/269) an Anonymity Order is made. Unless the Upper Tribunal or Court orders otherwise, no report of any proceedings or any form of publication thereof shall directly or indirectly identify the original Appellant. This prohibition applies to, amongst others, all parties.</w:t>
      </w:r>
    </w:p>
    <w:p w:rsidR="00EA3D8D" w:rsidRPr="00031835" w:rsidRDefault="00EA3D8D" w:rsidP="00EA3D8D">
      <w:pPr>
        <w:pStyle w:val="ListParagraph"/>
        <w:ind w:left="0"/>
        <w:jc w:val="both"/>
        <w:rPr>
          <w:rFonts w:ascii="Book Antiqua" w:hAnsi="Book Antiqua" w:cs="Arial"/>
          <w:b/>
          <w:u w:val="single"/>
        </w:rPr>
      </w:pPr>
    </w:p>
    <w:p w:rsidR="00141D60" w:rsidRDefault="00141D60" w:rsidP="00EA3D8D">
      <w:pPr>
        <w:pStyle w:val="ListParagraph"/>
        <w:ind w:left="0"/>
        <w:jc w:val="both"/>
        <w:rPr>
          <w:rFonts w:ascii="Book Antiqua" w:hAnsi="Book Antiqua" w:cs="Arial"/>
          <w:b/>
        </w:rPr>
      </w:pPr>
    </w:p>
    <w:p w:rsidR="00141D60" w:rsidRDefault="00141D60" w:rsidP="00EA3D8D">
      <w:pPr>
        <w:pStyle w:val="ListParagraph"/>
        <w:ind w:left="0"/>
        <w:jc w:val="both"/>
        <w:rPr>
          <w:rFonts w:ascii="Book Antiqua" w:hAnsi="Book Antiqua" w:cs="Arial"/>
          <w:b/>
        </w:rPr>
      </w:pPr>
    </w:p>
    <w:p w:rsidR="003B55C9" w:rsidRPr="00031835" w:rsidRDefault="00977617" w:rsidP="00EA3D8D">
      <w:pPr>
        <w:pStyle w:val="ListParagraph"/>
        <w:ind w:left="0"/>
        <w:jc w:val="both"/>
        <w:rPr>
          <w:rFonts w:ascii="Book Antiqua" w:hAnsi="Book Antiqua" w:cs="Arial"/>
          <w:b/>
        </w:rPr>
      </w:pPr>
      <w:r>
        <w:rPr>
          <w:rFonts w:ascii="Book Antiqua" w:hAnsi="Book Antiqua" w:cs="Arial"/>
          <w:b/>
        </w:rPr>
        <w:lastRenderedPageBreak/>
        <w:t>Introduction</w:t>
      </w:r>
    </w:p>
    <w:p w:rsidR="003B55C9" w:rsidRPr="003B55C9" w:rsidRDefault="003B55C9" w:rsidP="00EA3D8D">
      <w:pPr>
        <w:pStyle w:val="ListParagraph"/>
        <w:ind w:left="0"/>
        <w:jc w:val="both"/>
        <w:rPr>
          <w:rFonts w:ascii="Book Antiqua" w:hAnsi="Book Antiqua" w:cs="Arial"/>
          <w:b/>
          <w:i/>
          <w:u w:val="single"/>
        </w:rPr>
      </w:pPr>
    </w:p>
    <w:p w:rsidR="000016CD" w:rsidRDefault="00750412" w:rsidP="00E531E5">
      <w:pPr>
        <w:pStyle w:val="ListParagraph"/>
        <w:numPr>
          <w:ilvl w:val="0"/>
          <w:numId w:val="1"/>
        </w:numPr>
        <w:jc w:val="both"/>
        <w:rPr>
          <w:rFonts w:ascii="Book Antiqua" w:hAnsi="Book Antiqua" w:cs="Arial"/>
        </w:rPr>
      </w:pPr>
      <w:r>
        <w:rPr>
          <w:rFonts w:ascii="Book Antiqua" w:hAnsi="Book Antiqua" w:cs="Arial"/>
        </w:rPr>
        <w:t>The a</w:t>
      </w:r>
      <w:r w:rsidR="009A4763">
        <w:rPr>
          <w:rFonts w:ascii="Book Antiqua" w:hAnsi="Book Antiqua" w:cs="Arial"/>
        </w:rPr>
        <w:t xml:space="preserve">ppellant </w:t>
      </w:r>
      <w:r w:rsidR="009A4763" w:rsidRPr="008923F9">
        <w:rPr>
          <w:rFonts w:ascii="Book Antiqua" w:hAnsi="Book Antiqua" w:cs="Arial"/>
        </w:rPr>
        <w:t xml:space="preserve">is a citizen </w:t>
      </w:r>
      <w:r w:rsidR="00D00559">
        <w:rPr>
          <w:rFonts w:ascii="Book Antiqua" w:hAnsi="Book Antiqua" w:cs="Arial"/>
        </w:rPr>
        <w:t xml:space="preserve">of </w:t>
      </w:r>
      <w:r w:rsidR="00977617">
        <w:rPr>
          <w:rFonts w:ascii="Book Antiqua" w:hAnsi="Book Antiqua" w:cs="Arial"/>
        </w:rPr>
        <w:t>Iraq.  He is a Kurd and originates from the Iraqi Kurdish Region (‘IKR’).  His claim for asylum was refused by the respondent (‘the SSHD’) and he appealed against this decision to the First-tier Tribunal (‘FTT’).</w:t>
      </w:r>
      <w:r w:rsidR="000016CD">
        <w:rPr>
          <w:rFonts w:ascii="Book Antiqua" w:hAnsi="Book Antiqua" w:cs="Arial"/>
        </w:rPr>
        <w:t xml:space="preserve">  </w:t>
      </w:r>
    </w:p>
    <w:p w:rsidR="00ED02FF" w:rsidRPr="000016CD" w:rsidRDefault="00ED02FF" w:rsidP="00E531E5">
      <w:pPr>
        <w:pStyle w:val="ListParagraph"/>
        <w:ind w:left="0"/>
        <w:jc w:val="both"/>
        <w:rPr>
          <w:rFonts w:ascii="Book Antiqua" w:hAnsi="Book Antiqua" w:cs="Arial"/>
          <w:b/>
          <w:u w:val="single"/>
        </w:rPr>
      </w:pPr>
    </w:p>
    <w:p w:rsidR="009A4763" w:rsidRPr="000016CD" w:rsidRDefault="00977617" w:rsidP="00E531E5">
      <w:pPr>
        <w:pStyle w:val="ListParagraph"/>
        <w:ind w:left="0"/>
        <w:jc w:val="both"/>
        <w:rPr>
          <w:rFonts w:ascii="Book Antiqua" w:hAnsi="Book Antiqua" w:cs="Arial"/>
          <w:b/>
        </w:rPr>
      </w:pPr>
      <w:r>
        <w:rPr>
          <w:rFonts w:ascii="Book Antiqua" w:hAnsi="Book Antiqua" w:cs="Arial"/>
          <w:b/>
        </w:rPr>
        <w:t>Background</w:t>
      </w:r>
    </w:p>
    <w:p w:rsidR="00E531E5" w:rsidRPr="00ED0B94" w:rsidRDefault="00E531E5" w:rsidP="00E531E5">
      <w:pPr>
        <w:pStyle w:val="ListParagraph"/>
        <w:ind w:left="0"/>
        <w:jc w:val="both"/>
        <w:rPr>
          <w:rFonts w:ascii="Book Antiqua" w:hAnsi="Book Antiqua" w:cs="Arial"/>
          <w:b/>
          <w:u w:val="single"/>
        </w:rPr>
      </w:pPr>
    </w:p>
    <w:p w:rsidR="00977617" w:rsidRDefault="00FA2055" w:rsidP="00DF004D">
      <w:pPr>
        <w:pStyle w:val="ListParagraph"/>
        <w:numPr>
          <w:ilvl w:val="0"/>
          <w:numId w:val="1"/>
        </w:numPr>
        <w:jc w:val="both"/>
        <w:rPr>
          <w:rFonts w:ascii="Book Antiqua" w:hAnsi="Book Antiqua" w:cs="Arial"/>
        </w:rPr>
      </w:pPr>
      <w:r>
        <w:rPr>
          <w:rFonts w:ascii="Book Antiqua" w:hAnsi="Book Antiqua" w:cs="Arial"/>
        </w:rPr>
        <w:t>In a decision dated 7 June 2017 the</w:t>
      </w:r>
      <w:r w:rsidR="00692765">
        <w:rPr>
          <w:rFonts w:ascii="Book Antiqua" w:hAnsi="Book Antiqua" w:cs="Arial"/>
        </w:rPr>
        <w:t xml:space="preserve"> F</w:t>
      </w:r>
      <w:r w:rsidR="00977617">
        <w:rPr>
          <w:rFonts w:ascii="Book Antiqua" w:hAnsi="Book Antiqua" w:cs="Arial"/>
        </w:rPr>
        <w:t>TT</w:t>
      </w:r>
      <w:r w:rsidR="00692765">
        <w:rPr>
          <w:rFonts w:ascii="Book Antiqua" w:hAnsi="Book Antiqua" w:cs="Arial"/>
        </w:rPr>
        <w:t xml:space="preserve"> </w:t>
      </w:r>
      <w:r>
        <w:rPr>
          <w:rFonts w:ascii="Book Antiqua" w:hAnsi="Book Antiqua" w:cs="Arial"/>
        </w:rPr>
        <w:t>dismissed the appeal on protection and human rights grounds</w:t>
      </w:r>
      <w:r w:rsidR="00692765">
        <w:rPr>
          <w:rFonts w:ascii="Book Antiqua" w:hAnsi="Book Antiqua" w:cs="Arial"/>
        </w:rPr>
        <w:t xml:space="preserve">. </w:t>
      </w:r>
      <w:r w:rsidR="00DF004D">
        <w:rPr>
          <w:rFonts w:ascii="Book Antiqua" w:hAnsi="Book Antiqua" w:cs="Arial"/>
        </w:rPr>
        <w:t xml:space="preserve"> </w:t>
      </w:r>
      <w:r w:rsidR="00977617">
        <w:rPr>
          <w:rFonts w:ascii="Book Antiqua" w:hAnsi="Book Antiqua" w:cs="Arial"/>
        </w:rPr>
        <w:t>Permission to appeal to the Upper Tribunal (‘UT’) was initially refused by FTT Judge Robertson, before being granted by me on two grounds: (</w:t>
      </w:r>
      <w:proofErr w:type="spellStart"/>
      <w:r w:rsidR="00977617">
        <w:rPr>
          <w:rFonts w:ascii="Book Antiqua" w:hAnsi="Book Antiqua" w:cs="Arial"/>
        </w:rPr>
        <w:t>i</w:t>
      </w:r>
      <w:proofErr w:type="spellEnd"/>
      <w:r w:rsidR="00977617">
        <w:rPr>
          <w:rFonts w:ascii="Book Antiqua" w:hAnsi="Book Antiqua" w:cs="Arial"/>
        </w:rPr>
        <w:t>) the FTT arguably failed to consider the country expert evidence of Professor Joffe when making its findings on the credibility of the appellant’s account, and; (ii) it was arguable that the appellant did not know who made the decision on his appeal to the FTT.</w:t>
      </w:r>
    </w:p>
    <w:p w:rsidR="00281901" w:rsidRPr="00EA6B7B" w:rsidRDefault="00281901" w:rsidP="00E531E5">
      <w:pPr>
        <w:pStyle w:val="ListParagraph"/>
        <w:ind w:left="0"/>
        <w:jc w:val="both"/>
        <w:rPr>
          <w:rFonts w:ascii="Book Antiqua" w:hAnsi="Book Antiqua" w:cs="Arial"/>
        </w:rPr>
      </w:pPr>
    </w:p>
    <w:p w:rsidR="00692765" w:rsidRPr="0093221D" w:rsidRDefault="00692765" w:rsidP="00692765">
      <w:pPr>
        <w:pStyle w:val="ListParagraph"/>
        <w:numPr>
          <w:ilvl w:val="0"/>
          <w:numId w:val="1"/>
        </w:numPr>
        <w:jc w:val="both"/>
        <w:rPr>
          <w:rFonts w:ascii="Book Antiqua" w:hAnsi="Book Antiqua"/>
        </w:rPr>
      </w:pPr>
      <w:r>
        <w:rPr>
          <w:rFonts w:ascii="Book Antiqua" w:hAnsi="Book Antiqua" w:cs="Arial"/>
        </w:rPr>
        <w:t xml:space="preserve">The </w:t>
      </w:r>
      <w:r w:rsidR="00977617">
        <w:rPr>
          <w:rFonts w:ascii="Book Antiqua" w:hAnsi="Book Antiqua" w:cs="Arial"/>
        </w:rPr>
        <w:t xml:space="preserve">SSHD did not </w:t>
      </w:r>
      <w:r w:rsidR="00281901" w:rsidRPr="00EA6B7B">
        <w:rPr>
          <w:rFonts w:ascii="Book Antiqua" w:hAnsi="Book Antiqua" w:cs="Arial"/>
        </w:rPr>
        <w:t>submit a rule 24 notice</w:t>
      </w:r>
      <w:r>
        <w:rPr>
          <w:rFonts w:ascii="Book Antiqua" w:hAnsi="Book Antiqua" w:cs="Arial"/>
        </w:rPr>
        <w:t xml:space="preserve">.  </w:t>
      </w:r>
    </w:p>
    <w:p w:rsidR="0093221D" w:rsidRPr="00ED1AFE" w:rsidRDefault="0093221D" w:rsidP="00692765">
      <w:pPr>
        <w:pStyle w:val="ListParagraph"/>
        <w:ind w:left="0"/>
        <w:jc w:val="both"/>
        <w:rPr>
          <w:rFonts w:ascii="Book Antiqua" w:hAnsi="Book Antiqua"/>
          <w:b/>
        </w:rPr>
      </w:pPr>
    </w:p>
    <w:p w:rsidR="00692765" w:rsidRPr="00ED1AFE" w:rsidRDefault="00692765" w:rsidP="00692765">
      <w:pPr>
        <w:pStyle w:val="ListParagraph"/>
        <w:ind w:left="0"/>
        <w:jc w:val="both"/>
        <w:rPr>
          <w:rFonts w:ascii="Book Antiqua" w:hAnsi="Book Antiqua"/>
          <w:b/>
        </w:rPr>
      </w:pPr>
      <w:r w:rsidRPr="00ED1AFE">
        <w:rPr>
          <w:rFonts w:ascii="Book Antiqua" w:hAnsi="Book Antiqua"/>
          <w:b/>
        </w:rPr>
        <w:t>Hearing</w:t>
      </w:r>
    </w:p>
    <w:p w:rsidR="0093221D" w:rsidRDefault="0093221D" w:rsidP="0093221D">
      <w:pPr>
        <w:pStyle w:val="ListParagraph"/>
        <w:rPr>
          <w:rFonts w:ascii="Book Antiqua" w:hAnsi="Book Antiqua"/>
        </w:rPr>
      </w:pPr>
    </w:p>
    <w:p w:rsidR="00977617" w:rsidRDefault="00977617" w:rsidP="00966C0A">
      <w:pPr>
        <w:pStyle w:val="ListParagraph"/>
        <w:numPr>
          <w:ilvl w:val="0"/>
          <w:numId w:val="1"/>
        </w:numPr>
        <w:jc w:val="both"/>
        <w:rPr>
          <w:rFonts w:ascii="Book Antiqua" w:hAnsi="Book Antiqua"/>
        </w:rPr>
      </w:pPr>
      <w:r>
        <w:rPr>
          <w:rFonts w:ascii="Book Antiqua" w:hAnsi="Book Antiqua"/>
        </w:rPr>
        <w:t>At the beginning of the hearing</w:t>
      </w:r>
      <w:r w:rsidR="000F58FE">
        <w:rPr>
          <w:rFonts w:ascii="Book Antiqua" w:hAnsi="Book Antiqua"/>
        </w:rPr>
        <w:t xml:space="preserve"> Mr </w:t>
      </w:r>
      <w:proofErr w:type="spellStart"/>
      <w:r w:rsidR="000F58FE">
        <w:rPr>
          <w:rFonts w:ascii="Book Antiqua" w:hAnsi="Book Antiqua"/>
        </w:rPr>
        <w:t>McVeety</w:t>
      </w:r>
      <w:proofErr w:type="spellEnd"/>
      <w:r w:rsidR="000F58FE">
        <w:rPr>
          <w:rFonts w:ascii="Book Antiqua" w:hAnsi="Book Antiqua"/>
        </w:rPr>
        <w:t xml:space="preserve"> conceded that the FTT committed a clear and obvious error of law in its failure to consider the country background evidence, when making its credibility findings, such that the appeal should be remitted to the FTT on a de novo basis.  Ms Smith agreed with this approach.</w:t>
      </w:r>
    </w:p>
    <w:p w:rsidR="000F58FE" w:rsidRDefault="000F58FE" w:rsidP="000F58FE">
      <w:pPr>
        <w:pStyle w:val="ListParagraph"/>
        <w:ind w:left="1280"/>
        <w:jc w:val="both"/>
        <w:rPr>
          <w:rFonts w:ascii="Book Antiqua" w:hAnsi="Book Antiqua"/>
        </w:rPr>
      </w:pPr>
    </w:p>
    <w:p w:rsidR="000F58FE" w:rsidRDefault="000F58FE" w:rsidP="00966C0A">
      <w:pPr>
        <w:pStyle w:val="ListParagraph"/>
        <w:numPr>
          <w:ilvl w:val="0"/>
          <w:numId w:val="1"/>
        </w:numPr>
        <w:jc w:val="both"/>
        <w:rPr>
          <w:rFonts w:ascii="Book Antiqua" w:hAnsi="Book Antiqua"/>
        </w:rPr>
      </w:pPr>
      <w:r>
        <w:rPr>
          <w:rFonts w:ascii="Book Antiqua" w:hAnsi="Book Antiqua"/>
        </w:rPr>
        <w:t xml:space="preserve">I indicated that Mr </w:t>
      </w:r>
      <w:proofErr w:type="spellStart"/>
      <w:r>
        <w:rPr>
          <w:rFonts w:ascii="Book Antiqua" w:hAnsi="Book Antiqua"/>
        </w:rPr>
        <w:t>McVeety</w:t>
      </w:r>
      <w:proofErr w:type="spellEnd"/>
      <w:r>
        <w:rPr>
          <w:rFonts w:ascii="Book Antiqua" w:hAnsi="Book Antiqua"/>
        </w:rPr>
        <w:t xml:space="preserve"> was entirely correct to concede that the FTT decision contains an error of law such that it must be set aside and remade by the FTT, and that I would give a brief decision in writing to this effect.</w:t>
      </w:r>
    </w:p>
    <w:p w:rsidR="00692765" w:rsidRDefault="00692765" w:rsidP="00692765">
      <w:pPr>
        <w:pStyle w:val="ListParagraph"/>
        <w:rPr>
          <w:rFonts w:ascii="Book Antiqua" w:hAnsi="Book Antiqua" w:cs="Arial"/>
          <w:b/>
        </w:rPr>
      </w:pPr>
    </w:p>
    <w:p w:rsidR="00FE5C08" w:rsidRPr="004F332A" w:rsidRDefault="002F2A92" w:rsidP="004F332A">
      <w:pPr>
        <w:pStyle w:val="ListParagraph"/>
        <w:ind w:left="0"/>
        <w:jc w:val="both"/>
        <w:rPr>
          <w:rFonts w:ascii="Book Antiqua" w:hAnsi="Book Antiqua"/>
        </w:rPr>
      </w:pPr>
      <w:r w:rsidRPr="00692765">
        <w:rPr>
          <w:rFonts w:ascii="Book Antiqua" w:hAnsi="Book Antiqua" w:cs="Arial"/>
          <w:b/>
        </w:rPr>
        <w:t>Error of law d</w:t>
      </w:r>
      <w:r w:rsidR="00440B72" w:rsidRPr="00692765">
        <w:rPr>
          <w:rFonts w:ascii="Book Antiqua" w:hAnsi="Book Antiqua" w:cs="Arial"/>
          <w:b/>
        </w:rPr>
        <w:t>iscussion</w:t>
      </w:r>
    </w:p>
    <w:p w:rsidR="00FE5C08" w:rsidRPr="00FE5C08" w:rsidRDefault="00FE5C08" w:rsidP="00FE5C08">
      <w:pPr>
        <w:pStyle w:val="ListParagraph"/>
        <w:jc w:val="both"/>
        <w:rPr>
          <w:rFonts w:ascii="Book Antiqua" w:hAnsi="Book Antiqua" w:cs="Arial"/>
          <w:i/>
        </w:rPr>
      </w:pPr>
    </w:p>
    <w:p w:rsidR="0089708F" w:rsidRPr="00FE5C08" w:rsidRDefault="00977617" w:rsidP="00966C0A">
      <w:pPr>
        <w:pStyle w:val="ListParagraph"/>
        <w:ind w:left="0"/>
        <w:jc w:val="both"/>
        <w:rPr>
          <w:rFonts w:ascii="Book Antiqua" w:hAnsi="Book Antiqua" w:cs="Arial"/>
          <w:i/>
        </w:rPr>
      </w:pPr>
      <w:r>
        <w:rPr>
          <w:rFonts w:ascii="Book Antiqua" w:hAnsi="Book Antiqua" w:cs="Arial"/>
          <w:i/>
        </w:rPr>
        <w:t>Credibility findings and the country expert evidence</w:t>
      </w:r>
    </w:p>
    <w:p w:rsidR="0089708F" w:rsidRDefault="0089708F" w:rsidP="0089708F">
      <w:pPr>
        <w:pStyle w:val="ListParagraph"/>
        <w:jc w:val="both"/>
        <w:rPr>
          <w:rFonts w:ascii="Book Antiqua" w:hAnsi="Book Antiqua" w:cs="Arial"/>
        </w:rPr>
      </w:pPr>
    </w:p>
    <w:p w:rsidR="00423184" w:rsidRPr="00423184" w:rsidRDefault="00FE5C08" w:rsidP="00E531E5">
      <w:pPr>
        <w:pStyle w:val="ListParagraph"/>
        <w:numPr>
          <w:ilvl w:val="0"/>
          <w:numId w:val="1"/>
        </w:numPr>
        <w:jc w:val="both"/>
        <w:rPr>
          <w:rFonts w:ascii="Book Antiqua" w:hAnsi="Book Antiqua"/>
        </w:rPr>
      </w:pPr>
      <w:r>
        <w:rPr>
          <w:rFonts w:ascii="Book Antiqua" w:hAnsi="Book Antiqua" w:cs="Arial"/>
        </w:rPr>
        <w:t>The F</w:t>
      </w:r>
      <w:r w:rsidR="00977617">
        <w:rPr>
          <w:rFonts w:ascii="Book Antiqua" w:hAnsi="Book Antiqua" w:cs="Arial"/>
        </w:rPr>
        <w:t xml:space="preserve">TT clearly </w:t>
      </w:r>
      <w:r w:rsidR="00423184">
        <w:rPr>
          <w:rFonts w:ascii="Book Antiqua" w:hAnsi="Book Antiqua" w:cs="Arial"/>
        </w:rPr>
        <w:t>conclud</w:t>
      </w:r>
      <w:r w:rsidR="00977617">
        <w:rPr>
          <w:rFonts w:ascii="Book Antiqua" w:hAnsi="Book Antiqua" w:cs="Arial"/>
        </w:rPr>
        <w:t xml:space="preserve">ed </w:t>
      </w:r>
      <w:r w:rsidR="00423184">
        <w:rPr>
          <w:rFonts w:ascii="Book Antiqua" w:hAnsi="Book Antiqua" w:cs="Arial"/>
        </w:rPr>
        <w:t>at [60] that the appellant “</w:t>
      </w:r>
      <w:r w:rsidR="00423184" w:rsidRPr="00423184">
        <w:rPr>
          <w:rFonts w:ascii="Book Antiqua" w:hAnsi="Book Antiqua" w:cs="Arial"/>
          <w:i/>
        </w:rPr>
        <w:t>is not credible</w:t>
      </w:r>
      <w:r w:rsidR="00423184">
        <w:rPr>
          <w:rFonts w:ascii="Book Antiqua" w:hAnsi="Book Antiqua" w:cs="Arial"/>
        </w:rPr>
        <w:t xml:space="preserve">” </w:t>
      </w:r>
      <w:r w:rsidR="00977617">
        <w:rPr>
          <w:rFonts w:ascii="Book Antiqua" w:hAnsi="Book Antiqua" w:cs="Arial"/>
        </w:rPr>
        <w:t>for reasons set out at [59]</w:t>
      </w:r>
      <w:r w:rsidR="00423184">
        <w:rPr>
          <w:rFonts w:ascii="Book Antiqua" w:hAnsi="Book Antiqua" w:cs="Arial"/>
        </w:rPr>
        <w:t>.  The FTT then said this at [61]: “</w:t>
      </w:r>
      <w:r w:rsidR="00423184" w:rsidRPr="00423184">
        <w:rPr>
          <w:rFonts w:ascii="Book Antiqua" w:hAnsi="Book Antiqua" w:cs="Arial"/>
          <w:i/>
        </w:rPr>
        <w:t>the appellant has failed to prove to the required standard of reasonable likelihood that any of the facts he alleges are true, apart from his claim of Iraqi nationality</w:t>
      </w:r>
      <w:r w:rsidR="00423184">
        <w:rPr>
          <w:rFonts w:ascii="Book Antiqua" w:hAnsi="Book Antiqua" w:cs="Arial"/>
        </w:rPr>
        <w:t>”.  Under the heading “</w:t>
      </w:r>
      <w:r w:rsidR="00423184" w:rsidRPr="000F58FE">
        <w:rPr>
          <w:rFonts w:ascii="Book Antiqua" w:hAnsi="Book Antiqua" w:cs="Arial"/>
          <w:i/>
        </w:rPr>
        <w:t>Fear of Persecution / real risk of suffering serious harm</w:t>
      </w:r>
      <w:r w:rsidR="00423184">
        <w:rPr>
          <w:rFonts w:ascii="Book Antiqua" w:hAnsi="Book Antiqua" w:cs="Arial"/>
        </w:rPr>
        <w:t>” the FTT begins at [62] by stating this: “</w:t>
      </w:r>
      <w:r w:rsidR="00423184" w:rsidRPr="000F58FE">
        <w:rPr>
          <w:rFonts w:ascii="Book Antiqua" w:hAnsi="Book Antiqua" w:cs="Arial"/>
          <w:i/>
        </w:rPr>
        <w:t xml:space="preserve">we have already set out the reasons why we did not find the appellant’s account </w:t>
      </w:r>
      <w:r w:rsidR="00FF1958" w:rsidRPr="000F58FE">
        <w:rPr>
          <w:rFonts w:ascii="Book Antiqua" w:hAnsi="Book Antiqua" w:cs="Arial"/>
          <w:i/>
        </w:rPr>
        <w:t>credible</w:t>
      </w:r>
      <w:r w:rsidR="00423184">
        <w:rPr>
          <w:rFonts w:ascii="Book Antiqua" w:hAnsi="Book Antiqua" w:cs="Arial"/>
        </w:rPr>
        <w:t xml:space="preserve">”.  The FTT then curiously at this stage at [66] </w:t>
      </w:r>
      <w:r w:rsidR="000F58FE">
        <w:rPr>
          <w:rFonts w:ascii="Book Antiqua" w:hAnsi="Book Antiqua" w:cs="Arial"/>
        </w:rPr>
        <w:t>refer</w:t>
      </w:r>
      <w:r w:rsidR="00423184">
        <w:rPr>
          <w:rFonts w:ascii="Book Antiqua" w:hAnsi="Book Antiqua" w:cs="Arial"/>
        </w:rPr>
        <w:t>s</w:t>
      </w:r>
      <w:r w:rsidR="000F58FE">
        <w:rPr>
          <w:rFonts w:ascii="Book Antiqua" w:hAnsi="Book Antiqua" w:cs="Arial"/>
        </w:rPr>
        <w:t xml:space="preserve"> to</w:t>
      </w:r>
      <w:r w:rsidR="00423184">
        <w:rPr>
          <w:rFonts w:ascii="Book Antiqua" w:hAnsi="Book Antiqua" w:cs="Arial"/>
        </w:rPr>
        <w:t xml:space="preserve"> “</w:t>
      </w:r>
      <w:r w:rsidR="00423184" w:rsidRPr="00423184">
        <w:rPr>
          <w:rFonts w:ascii="Book Antiqua" w:hAnsi="Book Antiqua" w:cs="Arial"/>
          <w:i/>
        </w:rPr>
        <w:t>evidence, independent of the appellant’s incredible testimony, which may shed sufficient light to make good his claim for protection</w:t>
      </w:r>
      <w:r w:rsidR="00423184">
        <w:rPr>
          <w:rFonts w:ascii="Book Antiqua" w:hAnsi="Book Antiqua" w:cs="Arial"/>
        </w:rPr>
        <w:t>”.  The FTT then considers the country background report dated 13 April 2007 prepared by Mr Joffe from [67] but is not satisfied that “</w:t>
      </w:r>
      <w:r w:rsidR="00423184" w:rsidRPr="00423184">
        <w:rPr>
          <w:rFonts w:ascii="Book Antiqua" w:hAnsi="Book Antiqua" w:cs="Arial"/>
          <w:i/>
        </w:rPr>
        <w:t>taken independently, the evidence of Professor Jo</w:t>
      </w:r>
      <w:r w:rsidR="00423184">
        <w:rPr>
          <w:rFonts w:ascii="Book Antiqua" w:hAnsi="Book Antiqua" w:cs="Arial"/>
          <w:i/>
        </w:rPr>
        <w:t>f</w:t>
      </w:r>
      <w:r w:rsidR="00423184" w:rsidRPr="00423184">
        <w:rPr>
          <w:rFonts w:ascii="Book Antiqua" w:hAnsi="Book Antiqua" w:cs="Arial"/>
          <w:i/>
        </w:rPr>
        <w:t>fe is sufficient as his conclusions rely on the veracity of the appellant’s evidence</w:t>
      </w:r>
      <w:r w:rsidR="00423184">
        <w:rPr>
          <w:rFonts w:ascii="Book Antiqua" w:hAnsi="Book Antiqua" w:cs="Arial"/>
        </w:rPr>
        <w:t>” – see [82].</w:t>
      </w:r>
    </w:p>
    <w:p w:rsidR="00423184" w:rsidRPr="00423184" w:rsidRDefault="00423184" w:rsidP="00423184">
      <w:pPr>
        <w:pStyle w:val="ListParagraph"/>
        <w:ind w:left="1280"/>
        <w:jc w:val="both"/>
        <w:rPr>
          <w:rFonts w:ascii="Book Antiqua" w:hAnsi="Book Antiqua"/>
        </w:rPr>
      </w:pPr>
    </w:p>
    <w:p w:rsidR="00423184" w:rsidRDefault="00423184" w:rsidP="00423184">
      <w:pPr>
        <w:pStyle w:val="ListParagraph"/>
        <w:numPr>
          <w:ilvl w:val="0"/>
          <w:numId w:val="1"/>
        </w:numPr>
        <w:jc w:val="both"/>
        <w:rPr>
          <w:rFonts w:ascii="Book Antiqua" w:hAnsi="Book Antiqua" w:cs="Arial"/>
        </w:rPr>
      </w:pPr>
      <w:r>
        <w:rPr>
          <w:rFonts w:ascii="Book Antiqua" w:hAnsi="Book Antiqua" w:cs="Arial"/>
        </w:rPr>
        <w:lastRenderedPageBreak/>
        <w:t>The FTT’s approach to the evidence of Professor Joffe discloses a clear error of law.</w:t>
      </w:r>
      <w:r w:rsidR="00964986">
        <w:rPr>
          <w:rFonts w:ascii="Book Antiqua" w:hAnsi="Book Antiqua" w:cs="Arial"/>
        </w:rPr>
        <w:t xml:space="preserve">  First, there has been a </w:t>
      </w:r>
      <w:r w:rsidR="000F58FE">
        <w:rPr>
          <w:rFonts w:ascii="Book Antiqua" w:hAnsi="Book Antiqua" w:cs="Arial"/>
        </w:rPr>
        <w:t xml:space="preserve">complete </w:t>
      </w:r>
      <w:r w:rsidR="00964986">
        <w:rPr>
          <w:rFonts w:ascii="Book Antiqua" w:hAnsi="Book Antiqua" w:cs="Arial"/>
        </w:rPr>
        <w:t xml:space="preserve">failure to consider the report </w:t>
      </w:r>
      <w:r w:rsidR="000F58FE">
        <w:rPr>
          <w:rFonts w:ascii="Book Antiqua" w:hAnsi="Book Antiqua" w:cs="Arial"/>
        </w:rPr>
        <w:t xml:space="preserve">or any other country background evidence </w:t>
      </w:r>
      <w:r w:rsidR="00964986">
        <w:rPr>
          <w:rFonts w:ascii="Book Antiqua" w:hAnsi="Book Antiqua" w:cs="Arial"/>
        </w:rPr>
        <w:t>in the round when making credibility findings.</w:t>
      </w:r>
      <w:r w:rsidR="00AD0A19">
        <w:rPr>
          <w:rFonts w:ascii="Book Antiqua" w:hAnsi="Book Antiqua" w:cs="Arial"/>
        </w:rPr>
        <w:t xml:space="preserve">  It is wholly inappropriate to make a firm credibility finding in an asylum claim, devoid of and independent of any consideration of the country background evidence</w:t>
      </w:r>
      <w:r w:rsidR="000F58FE">
        <w:rPr>
          <w:rFonts w:ascii="Book Antiqua" w:hAnsi="Book Antiqua" w:cs="Arial"/>
        </w:rPr>
        <w:t xml:space="preserve">.  As Mr </w:t>
      </w:r>
      <w:proofErr w:type="spellStart"/>
      <w:r w:rsidR="000F58FE">
        <w:rPr>
          <w:rFonts w:ascii="Book Antiqua" w:hAnsi="Book Antiqua" w:cs="Arial"/>
        </w:rPr>
        <w:t>McVeety</w:t>
      </w:r>
      <w:proofErr w:type="spellEnd"/>
      <w:r w:rsidR="000F58FE">
        <w:rPr>
          <w:rFonts w:ascii="Book Antiqua" w:hAnsi="Book Antiqua" w:cs="Arial"/>
        </w:rPr>
        <w:t xml:space="preserve"> conceded, t</w:t>
      </w:r>
      <w:r w:rsidR="00AD0A19">
        <w:rPr>
          <w:rFonts w:ascii="Book Antiqua" w:hAnsi="Book Antiqua" w:cs="Arial"/>
        </w:rPr>
        <w:t>hat error is not cured by purporting to consider such evidence after a firm assessment on credibility has already been reached.</w:t>
      </w:r>
    </w:p>
    <w:p w:rsidR="00964986" w:rsidRDefault="00964986" w:rsidP="00964986">
      <w:pPr>
        <w:pStyle w:val="ListParagraph"/>
        <w:rPr>
          <w:rFonts w:ascii="Book Antiqua" w:hAnsi="Book Antiqua" w:cs="Arial"/>
        </w:rPr>
      </w:pPr>
    </w:p>
    <w:p w:rsidR="00964986" w:rsidRPr="001B1621" w:rsidRDefault="00964986" w:rsidP="00964986">
      <w:pPr>
        <w:pStyle w:val="ListParagraph"/>
        <w:numPr>
          <w:ilvl w:val="0"/>
          <w:numId w:val="1"/>
        </w:numPr>
        <w:jc w:val="both"/>
        <w:rPr>
          <w:rFonts w:ascii="Book Antiqua" w:hAnsi="Book Antiqua"/>
        </w:rPr>
      </w:pPr>
      <w:r>
        <w:rPr>
          <w:rFonts w:ascii="Book Antiqua" w:hAnsi="Book Antiqua" w:cs="Arial"/>
        </w:rPr>
        <w:t xml:space="preserve">Secondly, although the FTT noted at [81] that Professor Joffe found parts of the </w:t>
      </w:r>
      <w:r w:rsidR="000F58FE">
        <w:rPr>
          <w:rFonts w:ascii="Book Antiqua" w:hAnsi="Book Antiqua" w:cs="Arial"/>
        </w:rPr>
        <w:t>“</w:t>
      </w:r>
      <w:r w:rsidRPr="000F58FE">
        <w:rPr>
          <w:rFonts w:ascii="Book Antiqua" w:hAnsi="Book Antiqua" w:cs="Arial"/>
          <w:i/>
        </w:rPr>
        <w:t>appellant’s account plausible and this is a further factor we must weigh hea</w:t>
      </w:r>
      <w:r w:rsidR="000F58FE" w:rsidRPr="000F58FE">
        <w:rPr>
          <w:rFonts w:ascii="Book Antiqua" w:hAnsi="Book Antiqua" w:cs="Arial"/>
          <w:i/>
        </w:rPr>
        <w:t>vil</w:t>
      </w:r>
      <w:r w:rsidRPr="000F58FE">
        <w:rPr>
          <w:rFonts w:ascii="Book Antiqua" w:hAnsi="Book Antiqua" w:cs="Arial"/>
          <w:i/>
        </w:rPr>
        <w:t>y in the balance</w:t>
      </w:r>
      <w:r>
        <w:rPr>
          <w:rFonts w:ascii="Book Antiqua" w:hAnsi="Book Antiqua" w:cs="Arial"/>
        </w:rPr>
        <w:t xml:space="preserve">” there is no indication whatsoever that the FTT considered the apparent plausibility of aspects of the account when making its credibility findings.    An appellant’s account of his fears must be judged in the context of the known objective circumstances and practices of the state in question and a failure to do so constitutes an error of law – see </w:t>
      </w:r>
      <w:r w:rsidRPr="00966C0A">
        <w:rPr>
          <w:rFonts w:ascii="Book Antiqua" w:hAnsi="Book Antiqua" w:cs="Arial"/>
          <w:u w:val="single"/>
        </w:rPr>
        <w:t>AM (Afghanistan) v SSHD</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1123 at [19b] and [21(e)]. </w:t>
      </w:r>
    </w:p>
    <w:p w:rsidR="00964986" w:rsidRDefault="00964986" w:rsidP="00964986">
      <w:pPr>
        <w:pStyle w:val="ListParagraph"/>
        <w:ind w:left="0"/>
        <w:rPr>
          <w:rFonts w:ascii="Book Antiqua" w:hAnsi="Book Antiqua" w:cs="Arial"/>
        </w:rPr>
      </w:pPr>
    </w:p>
    <w:p w:rsidR="00964986" w:rsidRDefault="00964986" w:rsidP="00423184">
      <w:pPr>
        <w:pStyle w:val="ListParagraph"/>
        <w:numPr>
          <w:ilvl w:val="0"/>
          <w:numId w:val="1"/>
        </w:numPr>
        <w:jc w:val="both"/>
        <w:rPr>
          <w:rFonts w:ascii="Book Antiqua" w:hAnsi="Book Antiqua" w:cs="Arial"/>
        </w:rPr>
      </w:pPr>
      <w:r>
        <w:rPr>
          <w:rFonts w:ascii="Book Antiqua" w:hAnsi="Book Antiqua" w:cs="Arial"/>
        </w:rPr>
        <w:t>Thirdly, the conclusion that Professor Joffe’s conclusions turn upon the veracity of the appellant’s evidence fails to appreciate that plausibility can inform credibility and veracity.  In addition, at [95] of his report Professor Joffe outlines discrete reasons why specific aspects</w:t>
      </w:r>
      <w:r w:rsidR="00FF1958">
        <w:rPr>
          <w:rFonts w:ascii="Book Antiqua" w:hAnsi="Book Antiqua" w:cs="Arial"/>
        </w:rPr>
        <w:t xml:space="preserve"> of the account are plausible</w:t>
      </w:r>
      <w:r>
        <w:rPr>
          <w:rFonts w:ascii="Book Antiqua" w:hAnsi="Book Antiqua" w:cs="Arial"/>
        </w:rPr>
        <w:t>.  Indeed at [95(iv)] he expressly distinguishes between the credibility of the account and its plausibility.</w:t>
      </w:r>
    </w:p>
    <w:p w:rsidR="00CC3F7B" w:rsidRPr="00F11482" w:rsidRDefault="00CC3F7B" w:rsidP="00CC3F7B">
      <w:pPr>
        <w:pStyle w:val="ListParagraph"/>
        <w:ind w:left="0"/>
        <w:rPr>
          <w:rFonts w:ascii="Book Antiqua" w:hAnsi="Book Antiqua" w:cs="Arial"/>
          <w:i/>
        </w:rPr>
      </w:pPr>
    </w:p>
    <w:p w:rsidR="00CC3F7B" w:rsidRPr="00F11482" w:rsidRDefault="00964986" w:rsidP="00966C0A">
      <w:pPr>
        <w:pStyle w:val="ListParagraph"/>
        <w:ind w:left="0"/>
        <w:rPr>
          <w:rFonts w:ascii="Book Antiqua" w:hAnsi="Book Antiqua" w:cs="Arial"/>
          <w:i/>
        </w:rPr>
      </w:pPr>
      <w:r>
        <w:rPr>
          <w:rFonts w:ascii="Book Antiqua" w:hAnsi="Book Antiqua" w:cs="Arial"/>
          <w:i/>
        </w:rPr>
        <w:t>Decision-maker</w:t>
      </w:r>
    </w:p>
    <w:p w:rsidR="00CC3F7B" w:rsidRPr="00CC3F7B" w:rsidRDefault="00CC3F7B" w:rsidP="00645264">
      <w:pPr>
        <w:pStyle w:val="ListParagraph"/>
        <w:ind w:left="0"/>
        <w:jc w:val="both"/>
        <w:rPr>
          <w:rFonts w:ascii="Book Antiqua" w:hAnsi="Book Antiqua"/>
        </w:rPr>
      </w:pPr>
    </w:p>
    <w:p w:rsidR="00964986" w:rsidRPr="00FF1958" w:rsidRDefault="00964986" w:rsidP="00645264">
      <w:pPr>
        <w:pStyle w:val="ListParagraph"/>
        <w:numPr>
          <w:ilvl w:val="0"/>
          <w:numId w:val="1"/>
        </w:numPr>
        <w:jc w:val="both"/>
        <w:rPr>
          <w:rFonts w:ascii="Book Antiqua" w:hAnsi="Book Antiqua"/>
        </w:rPr>
      </w:pPr>
      <w:r>
        <w:rPr>
          <w:rFonts w:ascii="Book Antiqua" w:hAnsi="Book Antiqua" w:cs="Arial"/>
        </w:rPr>
        <w:t>The grounds of appeal note that the FTT appeared to comprise a panel of two.  This is consistent with the hearing notice that appears on the file.  This states that the two judges are</w:t>
      </w:r>
      <w:r w:rsidR="00FF1958">
        <w:rPr>
          <w:rFonts w:ascii="Book Antiqua" w:hAnsi="Book Antiqua" w:cs="Arial"/>
        </w:rPr>
        <w:t xml:space="preserve"> FTT Judge </w:t>
      </w:r>
      <w:proofErr w:type="spellStart"/>
      <w:r w:rsidR="00FF1958">
        <w:rPr>
          <w:rFonts w:ascii="Book Antiqua" w:hAnsi="Book Antiqua" w:cs="Arial"/>
        </w:rPr>
        <w:t>Shimmin</w:t>
      </w:r>
      <w:proofErr w:type="spellEnd"/>
      <w:r w:rsidR="00FF1958">
        <w:rPr>
          <w:rFonts w:ascii="Book Antiqua" w:hAnsi="Book Antiqua" w:cs="Arial"/>
        </w:rPr>
        <w:t xml:space="preserve"> and FTT Judge Smith.  The decision itself only refers to FTT Judge Smith and is not signed by either judge.  There is no need for me to address this ground save to observe that as a matter of good practice the FTT should ensure that the decision clearly indicates on the face of it, the constituent members of the FTT as well as the author of the decision.</w:t>
      </w:r>
    </w:p>
    <w:p w:rsidR="00CC3F7B" w:rsidRPr="00692765" w:rsidRDefault="00CC3F7B" w:rsidP="00FF1958">
      <w:pPr>
        <w:pStyle w:val="ListParagraph"/>
        <w:jc w:val="both"/>
        <w:rPr>
          <w:rFonts w:ascii="Book Antiqua" w:hAnsi="Book Antiqua"/>
        </w:rPr>
      </w:pPr>
    </w:p>
    <w:p w:rsidR="00692765" w:rsidRDefault="00D27620" w:rsidP="00692765">
      <w:pPr>
        <w:pStyle w:val="ListParagraph"/>
        <w:ind w:left="0"/>
        <w:jc w:val="both"/>
        <w:rPr>
          <w:rFonts w:ascii="Book Antiqua" w:hAnsi="Book Antiqua" w:cs="Arial"/>
          <w:b/>
        </w:rPr>
      </w:pPr>
      <w:r>
        <w:rPr>
          <w:rFonts w:ascii="Book Antiqua" w:hAnsi="Book Antiqua" w:cs="Arial"/>
          <w:b/>
        </w:rPr>
        <w:t>Disposal</w:t>
      </w:r>
    </w:p>
    <w:p w:rsidR="00D27620" w:rsidRPr="00D27620" w:rsidRDefault="00D27620" w:rsidP="00692765">
      <w:pPr>
        <w:pStyle w:val="ListParagraph"/>
        <w:ind w:left="0"/>
        <w:jc w:val="both"/>
        <w:rPr>
          <w:rFonts w:ascii="Book Antiqua" w:hAnsi="Book Antiqua" w:cs="Arial"/>
          <w:b/>
        </w:rPr>
      </w:pPr>
    </w:p>
    <w:p w:rsidR="00692765" w:rsidRPr="00692765" w:rsidRDefault="00692765" w:rsidP="00645264">
      <w:pPr>
        <w:pStyle w:val="ListParagraph"/>
        <w:numPr>
          <w:ilvl w:val="0"/>
          <w:numId w:val="1"/>
        </w:numPr>
        <w:jc w:val="both"/>
        <w:rPr>
          <w:rFonts w:ascii="Book Antiqua" w:hAnsi="Book Antiqua"/>
        </w:rPr>
      </w:pPr>
      <w:r w:rsidRPr="0093221D">
        <w:rPr>
          <w:rFonts w:ascii="Book Antiqua" w:hAnsi="Book Antiqua"/>
        </w:rPr>
        <w:t xml:space="preserve">I have had regard to para 7.2 of the relevant </w:t>
      </w:r>
      <w:r w:rsidRPr="0093221D">
        <w:rPr>
          <w:rFonts w:ascii="Book Antiqua" w:hAnsi="Book Antiqua"/>
          <w:i/>
        </w:rPr>
        <w:t>Senior President’s Practice Statement</w:t>
      </w:r>
      <w:r w:rsidRPr="0093221D">
        <w:rPr>
          <w:rFonts w:ascii="Book Antiqua" w:hAnsi="Book Antiqua"/>
        </w:rPr>
        <w:t xml:space="preserve"> and the nature and extent of the factual findings required in remaking the decision, and I have decided that this is an appropriate case to remit to the First-tier Tribunal.</w:t>
      </w:r>
      <w:r w:rsidR="00ED1AFE">
        <w:rPr>
          <w:rFonts w:ascii="Book Antiqua" w:hAnsi="Book Antiqua"/>
        </w:rPr>
        <w:t xml:space="preserve">  This is because completely fresh findings of fact in relation to detailed evidence are necessary.</w:t>
      </w:r>
      <w:r w:rsidRPr="0093221D">
        <w:rPr>
          <w:rFonts w:ascii="Book Antiqua" w:hAnsi="Book Antiqua"/>
        </w:rPr>
        <w:t xml:space="preserve">   </w:t>
      </w:r>
    </w:p>
    <w:p w:rsidR="009A4763" w:rsidRPr="00692765" w:rsidRDefault="009A4763" w:rsidP="009A4763">
      <w:pPr>
        <w:spacing w:before="240"/>
        <w:jc w:val="both"/>
        <w:rPr>
          <w:rFonts w:ascii="Book Antiqua" w:hAnsi="Book Antiqua" w:cs="Arial"/>
          <w:b/>
        </w:rPr>
      </w:pPr>
      <w:r w:rsidRPr="00692765">
        <w:rPr>
          <w:rFonts w:ascii="Book Antiqua" w:hAnsi="Book Antiqua" w:cs="Arial"/>
          <w:b/>
        </w:rPr>
        <w:t>Decision</w:t>
      </w:r>
    </w:p>
    <w:p w:rsidR="009A4763" w:rsidRPr="0054439E" w:rsidRDefault="00E531E5" w:rsidP="00645264">
      <w:pPr>
        <w:pStyle w:val="ListParagraph"/>
        <w:numPr>
          <w:ilvl w:val="0"/>
          <w:numId w:val="1"/>
        </w:numPr>
        <w:spacing w:before="240"/>
        <w:jc w:val="both"/>
        <w:rPr>
          <w:rFonts w:ascii="Book Antiqua" w:hAnsi="Book Antiqua" w:cs="Arial"/>
        </w:rPr>
      </w:pPr>
      <w:r>
        <w:rPr>
          <w:rFonts w:ascii="Book Antiqua" w:hAnsi="Book Antiqua" w:cs="Arial"/>
        </w:rPr>
        <w:t>The dec</w:t>
      </w:r>
      <w:r w:rsidR="00FF1958">
        <w:rPr>
          <w:rFonts w:ascii="Book Antiqua" w:hAnsi="Book Antiqua" w:cs="Arial"/>
        </w:rPr>
        <w:t>ision of the FTT</w:t>
      </w:r>
      <w:r>
        <w:rPr>
          <w:rFonts w:ascii="Book Antiqua" w:hAnsi="Book Antiqua" w:cs="Arial"/>
        </w:rPr>
        <w:t xml:space="preserve"> </w:t>
      </w:r>
      <w:r w:rsidR="001C3346">
        <w:rPr>
          <w:rFonts w:ascii="Book Antiqua" w:hAnsi="Book Antiqua" w:cs="Arial"/>
        </w:rPr>
        <w:t>involved the making of</w:t>
      </w:r>
      <w:r>
        <w:rPr>
          <w:rFonts w:ascii="Book Antiqua" w:hAnsi="Book Antiqua" w:cs="Arial"/>
        </w:rPr>
        <w:t xml:space="preserve"> a material error of law</w:t>
      </w:r>
      <w:r w:rsidR="001C3346">
        <w:rPr>
          <w:rFonts w:ascii="Book Antiqua" w:hAnsi="Book Antiqua" w:cs="Arial"/>
        </w:rPr>
        <w:t>.  Its decision cannot stand and is set aside</w:t>
      </w:r>
      <w:r w:rsidR="009A4763" w:rsidRPr="0054439E">
        <w:rPr>
          <w:rFonts w:ascii="Book Antiqua" w:hAnsi="Book Antiqua" w:cs="Arial"/>
        </w:rPr>
        <w:t>.</w:t>
      </w:r>
    </w:p>
    <w:p w:rsidR="009A4763" w:rsidRDefault="005E767C" w:rsidP="00645264">
      <w:pPr>
        <w:numPr>
          <w:ilvl w:val="0"/>
          <w:numId w:val="1"/>
        </w:numPr>
        <w:spacing w:before="240"/>
        <w:jc w:val="both"/>
        <w:rPr>
          <w:rFonts w:ascii="Book Antiqua" w:hAnsi="Book Antiqua" w:cs="Arial"/>
        </w:rPr>
      </w:pPr>
      <w:r>
        <w:rPr>
          <w:rFonts w:ascii="Book Antiqua" w:hAnsi="Book Antiqua" w:cs="Arial"/>
        </w:rPr>
        <w:lastRenderedPageBreak/>
        <w:t>The appeal</w:t>
      </w:r>
      <w:r w:rsidR="00EA3D8D">
        <w:rPr>
          <w:rFonts w:ascii="Book Antiqua" w:hAnsi="Book Antiqua" w:cs="Arial"/>
        </w:rPr>
        <w:t xml:space="preserve"> </w:t>
      </w:r>
      <w:r w:rsidR="00264B9B">
        <w:rPr>
          <w:rFonts w:ascii="Book Antiqua" w:hAnsi="Book Antiqua" w:cs="Arial"/>
        </w:rPr>
        <w:t xml:space="preserve">shall be remade by </w:t>
      </w:r>
      <w:r w:rsidR="006C5A29">
        <w:rPr>
          <w:rFonts w:ascii="Book Antiqua" w:hAnsi="Book Antiqua" w:cs="Arial"/>
        </w:rPr>
        <w:t xml:space="preserve">the </w:t>
      </w:r>
      <w:r w:rsidR="00440B72">
        <w:rPr>
          <w:rFonts w:ascii="Book Antiqua" w:hAnsi="Book Antiqua" w:cs="Arial"/>
        </w:rPr>
        <w:t>F</w:t>
      </w:r>
      <w:r w:rsidR="00FF1958">
        <w:rPr>
          <w:rFonts w:ascii="Book Antiqua" w:hAnsi="Book Antiqua" w:cs="Arial"/>
        </w:rPr>
        <w:t>TT</w:t>
      </w:r>
      <w:r w:rsidR="00264B9B">
        <w:rPr>
          <w:rFonts w:ascii="Book Antiqua" w:hAnsi="Book Antiqua" w:cs="Arial"/>
        </w:rPr>
        <w:t xml:space="preserve"> de novo</w:t>
      </w:r>
      <w:r w:rsidR="00EA3D8D">
        <w:rPr>
          <w:rFonts w:ascii="Book Antiqua" w:hAnsi="Book Antiqua" w:cs="Arial"/>
        </w:rPr>
        <w:t>.</w:t>
      </w:r>
    </w:p>
    <w:p w:rsidR="0093221D" w:rsidRPr="0093221D" w:rsidRDefault="0093221D" w:rsidP="0093221D">
      <w:pPr>
        <w:spacing w:before="240"/>
        <w:ind w:left="1440"/>
        <w:jc w:val="both"/>
        <w:rPr>
          <w:rFonts w:ascii="Book Antiqua" w:hAnsi="Book Antiqua" w:cs="Arial"/>
        </w:rPr>
      </w:pPr>
    </w:p>
    <w:p w:rsidR="009A4763" w:rsidRPr="00FF1958" w:rsidRDefault="009A4763" w:rsidP="009A4763">
      <w:pPr>
        <w:tabs>
          <w:tab w:val="left" w:pos="2520"/>
        </w:tabs>
        <w:jc w:val="both"/>
        <w:rPr>
          <w:rFonts w:ascii="Book Antiqua" w:hAnsi="Book Antiqua" w:cs="Arial"/>
          <w:i/>
        </w:rPr>
      </w:pPr>
      <w:r>
        <w:rPr>
          <w:rFonts w:ascii="Book Antiqua" w:hAnsi="Book Antiqua" w:cs="Arial"/>
        </w:rPr>
        <w:t xml:space="preserve">Signed:  </w:t>
      </w:r>
      <w:r w:rsidR="00FF1958">
        <w:rPr>
          <w:rFonts w:ascii="Book Antiqua" w:hAnsi="Book Antiqua" w:cs="Arial"/>
          <w:i/>
        </w:rPr>
        <w:t xml:space="preserve">UTJ </w:t>
      </w:r>
      <w:proofErr w:type="spellStart"/>
      <w:r w:rsidR="00FF1958">
        <w:rPr>
          <w:rFonts w:ascii="Book Antiqua" w:hAnsi="Book Antiqua" w:cs="Arial"/>
          <w:i/>
        </w:rPr>
        <w:t>Plimmer</w:t>
      </w:r>
      <w:proofErr w:type="spellEnd"/>
    </w:p>
    <w:p w:rsidR="009A4763" w:rsidRDefault="009A4763" w:rsidP="009A4763">
      <w:pPr>
        <w:tabs>
          <w:tab w:val="left" w:pos="2520"/>
        </w:tabs>
        <w:jc w:val="both"/>
        <w:rPr>
          <w:rFonts w:ascii="Book Antiqua" w:hAnsi="Book Antiqua" w:cs="Arial"/>
        </w:rPr>
      </w:pPr>
    </w:p>
    <w:p w:rsidR="009A4763" w:rsidRDefault="003C776B" w:rsidP="009A4763">
      <w:pPr>
        <w:tabs>
          <w:tab w:val="left" w:pos="2520"/>
        </w:tabs>
        <w:jc w:val="both"/>
        <w:rPr>
          <w:rFonts w:ascii="Book Antiqua" w:hAnsi="Book Antiqua" w:cs="Arial"/>
        </w:rPr>
      </w:pPr>
      <w:r>
        <w:rPr>
          <w:rFonts w:ascii="Book Antiqua" w:hAnsi="Book Antiqua" w:cs="Arial"/>
        </w:rPr>
        <w:t xml:space="preserve">Ms </w:t>
      </w:r>
      <w:r w:rsidR="009A4763">
        <w:rPr>
          <w:rFonts w:ascii="Book Antiqua" w:hAnsi="Book Antiqua" w:cs="Arial"/>
        </w:rPr>
        <w:t xml:space="preserve">M. </w:t>
      </w:r>
      <w:proofErr w:type="spellStart"/>
      <w:r w:rsidR="009A4763">
        <w:rPr>
          <w:rFonts w:ascii="Book Antiqua" w:hAnsi="Book Antiqua" w:cs="Arial"/>
        </w:rPr>
        <w:t>Plimmer</w:t>
      </w:r>
      <w:proofErr w:type="spellEnd"/>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p>
    <w:p w:rsidR="009A4763" w:rsidRPr="00EC5D43" w:rsidRDefault="009A4763" w:rsidP="009A4763">
      <w:pPr>
        <w:tabs>
          <w:tab w:val="left" w:pos="2520"/>
        </w:tabs>
        <w:jc w:val="both"/>
        <w:rPr>
          <w:rFonts w:ascii="Book Antiqua" w:hAnsi="Book Antiqua" w:cs="Arial"/>
        </w:rPr>
      </w:pPr>
      <w:r>
        <w:rPr>
          <w:rFonts w:ascii="Book Antiqua" w:hAnsi="Book Antiqua" w:cs="Arial"/>
        </w:rPr>
        <w:t>Judge of the Upper Tribunal</w:t>
      </w:r>
    </w:p>
    <w:p w:rsidR="009A4763" w:rsidRDefault="009A4763" w:rsidP="009A4763">
      <w:pPr>
        <w:tabs>
          <w:tab w:val="left" w:pos="2520"/>
        </w:tabs>
        <w:jc w:val="both"/>
        <w:rPr>
          <w:rFonts w:ascii="Book Antiqua" w:hAnsi="Book Antiqua" w:cs="Arial"/>
        </w:rPr>
      </w:pPr>
    </w:p>
    <w:p w:rsidR="009A4763" w:rsidRDefault="009A4763" w:rsidP="009A4763">
      <w:pPr>
        <w:tabs>
          <w:tab w:val="left" w:pos="2520"/>
        </w:tabs>
        <w:jc w:val="both"/>
        <w:rPr>
          <w:rFonts w:ascii="Book Antiqua" w:hAnsi="Book Antiqua" w:cs="Arial"/>
        </w:rPr>
      </w:pPr>
      <w:r>
        <w:rPr>
          <w:rFonts w:ascii="Book Antiqua" w:hAnsi="Book Antiqua" w:cs="Arial"/>
        </w:rPr>
        <w:t>Date:</w:t>
      </w:r>
    </w:p>
    <w:p w:rsidR="009A4763" w:rsidRPr="004969AD" w:rsidRDefault="00FF1958" w:rsidP="00692765">
      <w:pPr>
        <w:tabs>
          <w:tab w:val="left" w:pos="2520"/>
        </w:tabs>
        <w:jc w:val="both"/>
        <w:rPr>
          <w:rFonts w:ascii="Book Antiqua" w:hAnsi="Book Antiqua" w:cs="Arial"/>
        </w:rPr>
      </w:pPr>
      <w:r>
        <w:rPr>
          <w:rFonts w:ascii="Book Antiqua" w:hAnsi="Book Antiqua" w:cs="Arial"/>
        </w:rPr>
        <w:t>28 August 2018</w:t>
      </w:r>
    </w:p>
    <w:p w:rsidR="009A4763" w:rsidRDefault="009A4763"/>
    <w:sectPr w:rsidR="009A4763" w:rsidSect="00692765">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A87" w:rsidRDefault="005E5A87">
      <w:r>
        <w:separator/>
      </w:r>
    </w:p>
  </w:endnote>
  <w:endnote w:type="continuationSeparator" w:id="0">
    <w:p w:rsidR="005E5A87" w:rsidRDefault="005E5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7F" w:rsidRDefault="00B37B7F" w:rsidP="009A47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7B7F" w:rsidRDefault="00B37B7F" w:rsidP="009A47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AF6" w:rsidRDefault="00F94AF6">
    <w:pPr>
      <w:pStyle w:val="Footer"/>
      <w:jc w:val="center"/>
    </w:pPr>
    <w:r>
      <w:fldChar w:fldCharType="begin"/>
    </w:r>
    <w:r>
      <w:instrText xml:space="preserve"> PAGE   \* MERGEFORMAT </w:instrText>
    </w:r>
    <w:r>
      <w:fldChar w:fldCharType="separate"/>
    </w:r>
    <w:r w:rsidR="003718F1">
      <w:rPr>
        <w:noProof/>
      </w:rPr>
      <w:t>4</w:t>
    </w:r>
    <w:r>
      <w:rPr>
        <w:noProof/>
      </w:rPr>
      <w:fldChar w:fldCharType="end"/>
    </w:r>
  </w:p>
  <w:p w:rsidR="00B37B7F" w:rsidRDefault="00B37B7F" w:rsidP="009A476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AF6" w:rsidRDefault="00F94AF6" w:rsidP="00F94AF6">
    <w:pPr>
      <w:pStyle w:val="Footer"/>
      <w:jc w:val="center"/>
    </w:pPr>
    <w:r w:rsidRPr="00F94AF6">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A87" w:rsidRDefault="005E5A87">
      <w:r>
        <w:separator/>
      </w:r>
    </w:p>
  </w:footnote>
  <w:footnote w:type="continuationSeparator" w:id="0">
    <w:p w:rsidR="005E5A87" w:rsidRDefault="005E5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AF6" w:rsidRPr="00F94AF6" w:rsidRDefault="00F94AF6" w:rsidP="00F94AF6">
    <w:pPr>
      <w:pStyle w:val="Header"/>
      <w:jc w:val="right"/>
      <w:rPr>
        <w:sz w:val="20"/>
        <w:szCs w:val="20"/>
      </w:rPr>
    </w:pPr>
    <w:r w:rsidRPr="00F94AF6">
      <w:rPr>
        <w:sz w:val="20"/>
        <w:szCs w:val="20"/>
      </w:rPr>
      <w:t>PA/11982/2016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9701D5"/>
    <w:multiLevelType w:val="hybridMultilevel"/>
    <w:tmpl w:val="37029292"/>
    <w:lvl w:ilvl="0" w:tplc="3550CD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641D7"/>
    <w:multiLevelType w:val="hybridMultilevel"/>
    <w:tmpl w:val="53B6C484"/>
    <w:lvl w:ilvl="0" w:tplc="33022FBC">
      <w:start w:val="1"/>
      <w:numFmt w:val="decimal"/>
      <w:lvlText w:val="%1."/>
      <w:lvlJc w:val="left"/>
      <w:pPr>
        <w:ind w:left="1280" w:hanging="560"/>
      </w:pPr>
      <w:rPr>
        <w:rFonts w:hint="default"/>
      </w:rPr>
    </w:lvl>
    <w:lvl w:ilvl="1" w:tplc="6E1E06A6">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311C36"/>
    <w:multiLevelType w:val="hybridMultilevel"/>
    <w:tmpl w:val="EDD00E0A"/>
    <w:lvl w:ilvl="0" w:tplc="5B1480DC">
      <w:start w:val="1"/>
      <w:numFmt w:val="decimal"/>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31B22B44"/>
    <w:multiLevelType w:val="hybridMultilevel"/>
    <w:tmpl w:val="9E302F6A"/>
    <w:lvl w:ilvl="0" w:tplc="CE1A4FD8">
      <w:start w:val="30"/>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2455B01"/>
    <w:multiLevelType w:val="hybridMultilevel"/>
    <w:tmpl w:val="53B6C484"/>
    <w:lvl w:ilvl="0" w:tplc="33022FBC">
      <w:start w:val="1"/>
      <w:numFmt w:val="decimal"/>
      <w:lvlText w:val="%1."/>
      <w:lvlJc w:val="left"/>
      <w:pPr>
        <w:ind w:left="1280" w:hanging="560"/>
      </w:pPr>
      <w:rPr>
        <w:rFonts w:hint="default"/>
      </w:rPr>
    </w:lvl>
    <w:lvl w:ilvl="1" w:tplc="6E1E06A6">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0E6CA1"/>
    <w:multiLevelType w:val="hybridMultilevel"/>
    <w:tmpl w:val="A140A60A"/>
    <w:lvl w:ilvl="0" w:tplc="439E7F22">
      <w:start w:val="1"/>
      <w:numFmt w:val="decimal"/>
      <w:lvlText w:val="%1."/>
      <w:lvlJc w:val="left"/>
      <w:pPr>
        <w:tabs>
          <w:tab w:val="num" w:pos="720"/>
        </w:tabs>
        <w:ind w:left="720" w:hanging="360"/>
      </w:pPr>
      <w:rPr>
        <w:b w:val="0"/>
        <w:i/>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5"/>
  </w:num>
  <w:num w:numId="2">
    <w:abstractNumId w:val="3"/>
  </w:num>
  <w:num w:numId="3">
    <w:abstractNumId w:val="0"/>
  </w:num>
  <w:num w:numId="4">
    <w:abstractNumId w:val="4"/>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D"/>
    <w:rsid w:val="000016CD"/>
    <w:rsid w:val="00013378"/>
    <w:rsid w:val="000226DC"/>
    <w:rsid w:val="00031835"/>
    <w:rsid w:val="00041424"/>
    <w:rsid w:val="000466E5"/>
    <w:rsid w:val="00060241"/>
    <w:rsid w:val="00063272"/>
    <w:rsid w:val="00084581"/>
    <w:rsid w:val="000A429E"/>
    <w:rsid w:val="000B1C58"/>
    <w:rsid w:val="000D6FFC"/>
    <w:rsid w:val="000E4D77"/>
    <w:rsid w:val="000F58FE"/>
    <w:rsid w:val="00121392"/>
    <w:rsid w:val="00130734"/>
    <w:rsid w:val="00141D60"/>
    <w:rsid w:val="00164EA3"/>
    <w:rsid w:val="00167CE0"/>
    <w:rsid w:val="001801EE"/>
    <w:rsid w:val="00195C4B"/>
    <w:rsid w:val="001A6BB9"/>
    <w:rsid w:val="001A7432"/>
    <w:rsid w:val="001B1621"/>
    <w:rsid w:val="001C3346"/>
    <w:rsid w:val="001D2776"/>
    <w:rsid w:val="001E4DE7"/>
    <w:rsid w:val="002132D8"/>
    <w:rsid w:val="00225BE1"/>
    <w:rsid w:val="00234DCE"/>
    <w:rsid w:val="00260D86"/>
    <w:rsid w:val="00264B9B"/>
    <w:rsid w:val="00281901"/>
    <w:rsid w:val="00297592"/>
    <w:rsid w:val="002A0AD7"/>
    <w:rsid w:val="002B2B18"/>
    <w:rsid w:val="002F2A92"/>
    <w:rsid w:val="00346BB9"/>
    <w:rsid w:val="003718F1"/>
    <w:rsid w:val="003B55C9"/>
    <w:rsid w:val="003C776B"/>
    <w:rsid w:val="00423184"/>
    <w:rsid w:val="00425B38"/>
    <w:rsid w:val="00432988"/>
    <w:rsid w:val="00440B72"/>
    <w:rsid w:val="00452B91"/>
    <w:rsid w:val="00493523"/>
    <w:rsid w:val="004A61E4"/>
    <w:rsid w:val="004B5423"/>
    <w:rsid w:val="004F2987"/>
    <w:rsid w:val="004F332A"/>
    <w:rsid w:val="004F3BA9"/>
    <w:rsid w:val="0051703B"/>
    <w:rsid w:val="00517C54"/>
    <w:rsid w:val="00533B6E"/>
    <w:rsid w:val="00544F94"/>
    <w:rsid w:val="0054649E"/>
    <w:rsid w:val="005516A0"/>
    <w:rsid w:val="00586AB9"/>
    <w:rsid w:val="0059166E"/>
    <w:rsid w:val="005916B8"/>
    <w:rsid w:val="00591E1A"/>
    <w:rsid w:val="005B4065"/>
    <w:rsid w:val="005D1A8E"/>
    <w:rsid w:val="005D5B0F"/>
    <w:rsid w:val="005E5A87"/>
    <w:rsid w:val="005E767C"/>
    <w:rsid w:val="006027F1"/>
    <w:rsid w:val="0062784F"/>
    <w:rsid w:val="006338A8"/>
    <w:rsid w:val="006405DE"/>
    <w:rsid w:val="00645264"/>
    <w:rsid w:val="006639D4"/>
    <w:rsid w:val="00663EDC"/>
    <w:rsid w:val="006747F6"/>
    <w:rsid w:val="006769F1"/>
    <w:rsid w:val="00692765"/>
    <w:rsid w:val="006C5A29"/>
    <w:rsid w:val="006F2FB5"/>
    <w:rsid w:val="0073185B"/>
    <w:rsid w:val="007328C7"/>
    <w:rsid w:val="007503F3"/>
    <w:rsid w:val="00750412"/>
    <w:rsid w:val="00777356"/>
    <w:rsid w:val="00783FE0"/>
    <w:rsid w:val="007B1320"/>
    <w:rsid w:val="007B2844"/>
    <w:rsid w:val="007D5DDE"/>
    <w:rsid w:val="007E3EC0"/>
    <w:rsid w:val="00816189"/>
    <w:rsid w:val="00821B2D"/>
    <w:rsid w:val="00825748"/>
    <w:rsid w:val="00833062"/>
    <w:rsid w:val="0084427F"/>
    <w:rsid w:val="008448CB"/>
    <w:rsid w:val="00854CDE"/>
    <w:rsid w:val="0089708F"/>
    <w:rsid w:val="008B01D2"/>
    <w:rsid w:val="009029FA"/>
    <w:rsid w:val="009036C1"/>
    <w:rsid w:val="00907AD9"/>
    <w:rsid w:val="0093221D"/>
    <w:rsid w:val="00933FEA"/>
    <w:rsid w:val="00960EDE"/>
    <w:rsid w:val="00964986"/>
    <w:rsid w:val="00966C0A"/>
    <w:rsid w:val="00977617"/>
    <w:rsid w:val="0098220E"/>
    <w:rsid w:val="00985BDD"/>
    <w:rsid w:val="009A4763"/>
    <w:rsid w:val="009B7F70"/>
    <w:rsid w:val="009F7B69"/>
    <w:rsid w:val="00A100CF"/>
    <w:rsid w:val="00A470F5"/>
    <w:rsid w:val="00A53809"/>
    <w:rsid w:val="00A57A3F"/>
    <w:rsid w:val="00A62897"/>
    <w:rsid w:val="00A73442"/>
    <w:rsid w:val="00A76C8D"/>
    <w:rsid w:val="00A92E28"/>
    <w:rsid w:val="00AD0A19"/>
    <w:rsid w:val="00B07AD2"/>
    <w:rsid w:val="00B117E5"/>
    <w:rsid w:val="00B26876"/>
    <w:rsid w:val="00B37B7F"/>
    <w:rsid w:val="00B45217"/>
    <w:rsid w:val="00B6650D"/>
    <w:rsid w:val="00B66A59"/>
    <w:rsid w:val="00B679BA"/>
    <w:rsid w:val="00B837BF"/>
    <w:rsid w:val="00B96B4D"/>
    <w:rsid w:val="00BE6C07"/>
    <w:rsid w:val="00BF3108"/>
    <w:rsid w:val="00BF4793"/>
    <w:rsid w:val="00C7272B"/>
    <w:rsid w:val="00C74BFE"/>
    <w:rsid w:val="00CA40DF"/>
    <w:rsid w:val="00CB044F"/>
    <w:rsid w:val="00CB4415"/>
    <w:rsid w:val="00CC3F7B"/>
    <w:rsid w:val="00CE0E7C"/>
    <w:rsid w:val="00D00559"/>
    <w:rsid w:val="00D12EC7"/>
    <w:rsid w:val="00D12F72"/>
    <w:rsid w:val="00D27620"/>
    <w:rsid w:val="00D418D2"/>
    <w:rsid w:val="00D83E8D"/>
    <w:rsid w:val="00D96A84"/>
    <w:rsid w:val="00DA20BB"/>
    <w:rsid w:val="00DA2BFD"/>
    <w:rsid w:val="00DE314E"/>
    <w:rsid w:val="00DE593E"/>
    <w:rsid w:val="00DF004D"/>
    <w:rsid w:val="00E16765"/>
    <w:rsid w:val="00E531E5"/>
    <w:rsid w:val="00E809CA"/>
    <w:rsid w:val="00E834A2"/>
    <w:rsid w:val="00EA2135"/>
    <w:rsid w:val="00EA3D8D"/>
    <w:rsid w:val="00EA6B7B"/>
    <w:rsid w:val="00EB07FE"/>
    <w:rsid w:val="00EB1493"/>
    <w:rsid w:val="00EB68BE"/>
    <w:rsid w:val="00ED02FF"/>
    <w:rsid w:val="00ED1AFE"/>
    <w:rsid w:val="00EE491A"/>
    <w:rsid w:val="00F0045F"/>
    <w:rsid w:val="00F010F0"/>
    <w:rsid w:val="00F10D46"/>
    <w:rsid w:val="00F11482"/>
    <w:rsid w:val="00F566C0"/>
    <w:rsid w:val="00F8388E"/>
    <w:rsid w:val="00F91CDE"/>
    <w:rsid w:val="00F94AF6"/>
    <w:rsid w:val="00FA2055"/>
    <w:rsid w:val="00FC0E3E"/>
    <w:rsid w:val="00FE5C08"/>
    <w:rsid w:val="00FE7C6F"/>
    <w:rsid w:val="00FF1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98A4B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5BDD"/>
    <w:rPr>
      <w:rFonts w:ascii="Times New Roman" w:eastAsia="Times New Roman" w:hAnsi="Times New Roman"/>
      <w:sz w:val="24"/>
      <w:szCs w:val="24"/>
    </w:rPr>
  </w:style>
  <w:style w:type="paragraph" w:styleId="Heading1">
    <w:name w:val="heading 1"/>
    <w:basedOn w:val="Normal"/>
    <w:next w:val="Normal"/>
    <w:link w:val="Heading1Char"/>
    <w:qFormat/>
    <w:rsid w:val="002B2B1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5BD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18E4"/>
    <w:pPr>
      <w:tabs>
        <w:tab w:val="center" w:pos="4153"/>
        <w:tab w:val="right" w:pos="8306"/>
      </w:tabs>
    </w:pPr>
  </w:style>
  <w:style w:type="character" w:customStyle="1" w:styleId="HeaderChar">
    <w:name w:val="Header Char"/>
    <w:link w:val="Header"/>
    <w:rsid w:val="00A518E4"/>
    <w:rPr>
      <w:rFonts w:ascii="Times New Roman" w:eastAsia="Times New Roman" w:hAnsi="Times New Roman" w:cs="Times New Roman"/>
      <w:lang w:val="en-GB" w:eastAsia="en-GB"/>
    </w:rPr>
  </w:style>
  <w:style w:type="paragraph" w:styleId="Footer">
    <w:name w:val="footer"/>
    <w:basedOn w:val="Normal"/>
    <w:link w:val="FooterChar"/>
    <w:uiPriority w:val="99"/>
    <w:rsid w:val="00A518E4"/>
    <w:pPr>
      <w:tabs>
        <w:tab w:val="center" w:pos="4153"/>
        <w:tab w:val="right" w:pos="8306"/>
      </w:tabs>
    </w:pPr>
  </w:style>
  <w:style w:type="character" w:customStyle="1" w:styleId="FooterChar">
    <w:name w:val="Footer Char"/>
    <w:link w:val="Footer"/>
    <w:uiPriority w:val="99"/>
    <w:rsid w:val="00A518E4"/>
    <w:rPr>
      <w:rFonts w:ascii="Times New Roman" w:eastAsia="Times New Roman" w:hAnsi="Times New Roman" w:cs="Times New Roman"/>
      <w:lang w:val="en-GB" w:eastAsia="en-GB"/>
    </w:rPr>
  </w:style>
  <w:style w:type="character" w:styleId="PageNumber">
    <w:name w:val="page number"/>
    <w:basedOn w:val="DefaultParagraphFont"/>
    <w:rsid w:val="00A518E4"/>
  </w:style>
  <w:style w:type="paragraph" w:customStyle="1" w:styleId="COIS-M05-Numpara">
    <w:name w:val="COIS-M/05-Num para"/>
    <w:rsid w:val="00A518E4"/>
    <w:pPr>
      <w:tabs>
        <w:tab w:val="left" w:pos="851"/>
      </w:tabs>
      <w:ind w:left="848" w:hanging="848"/>
      <w:jc w:val="both"/>
    </w:pPr>
    <w:rPr>
      <w:rFonts w:ascii="Arial" w:eastAsia="Times" w:hAnsi="Arial"/>
      <w:color w:val="000000"/>
      <w:sz w:val="22"/>
    </w:rPr>
  </w:style>
  <w:style w:type="character" w:customStyle="1" w:styleId="COIS-M10-Sourcelink">
    <w:name w:val="COIS-M/10-Source link"/>
    <w:rsid w:val="00A518E4"/>
    <w:rPr>
      <w:rFonts w:ascii="Arial" w:hAnsi="Arial"/>
      <w:b/>
      <w:dstrike w:val="0"/>
      <w:noProof w:val="0"/>
      <w:color w:val="000000"/>
      <w:spacing w:val="0"/>
      <w:w w:val="100"/>
      <w:kern w:val="0"/>
      <w:position w:val="0"/>
      <w:sz w:val="18"/>
      <w:szCs w:val="18"/>
      <w:u w:val="none"/>
      <w:effect w:val="none"/>
      <w:bdr w:val="none" w:sz="0" w:space="0" w:color="auto"/>
      <w:shd w:val="clear" w:color="auto" w:fill="auto"/>
      <w:vertAlign w:val="baseline"/>
      <w:lang w:val="en-GB"/>
    </w:rPr>
  </w:style>
  <w:style w:type="paragraph" w:customStyle="1" w:styleId="COIS-M07-Quote">
    <w:name w:val="COIS-M/07-Quote"/>
    <w:next w:val="COIS-M05-Numpara"/>
    <w:rsid w:val="00A518E4"/>
    <w:pPr>
      <w:ind w:left="851"/>
    </w:pPr>
    <w:rPr>
      <w:rFonts w:ascii="Arial" w:eastAsia="Times" w:hAnsi="Arial"/>
      <w:color w:val="000000"/>
      <w:sz w:val="22"/>
    </w:rPr>
  </w:style>
  <w:style w:type="character" w:styleId="Hyperlink">
    <w:name w:val="Hyperlink"/>
    <w:rsid w:val="00A518E4"/>
    <w:rPr>
      <w:color w:val="0000FF"/>
      <w:u w:val="single"/>
    </w:rPr>
  </w:style>
  <w:style w:type="paragraph" w:styleId="NormalWeb">
    <w:name w:val="Normal (Web)"/>
    <w:basedOn w:val="Normal"/>
    <w:rsid w:val="00A518E4"/>
    <w:pPr>
      <w:spacing w:before="100" w:beforeAutospacing="1" w:after="100" w:afterAutospacing="1"/>
    </w:pPr>
  </w:style>
  <w:style w:type="paragraph" w:styleId="ListParagraph">
    <w:name w:val="List Paragraph"/>
    <w:basedOn w:val="Normal"/>
    <w:uiPriority w:val="34"/>
    <w:qFormat/>
    <w:rsid w:val="00D3592C"/>
    <w:pPr>
      <w:ind w:left="720"/>
      <w:contextualSpacing/>
    </w:pPr>
  </w:style>
  <w:style w:type="character" w:styleId="FollowedHyperlink">
    <w:name w:val="FollowedHyperlink"/>
    <w:uiPriority w:val="99"/>
    <w:semiHidden/>
    <w:unhideWhenUsed/>
    <w:rsid w:val="00AB516B"/>
    <w:rPr>
      <w:color w:val="800080"/>
      <w:u w:val="single"/>
    </w:rPr>
  </w:style>
  <w:style w:type="character" w:customStyle="1" w:styleId="Heading1Char">
    <w:name w:val="Heading 1 Char"/>
    <w:link w:val="Heading1"/>
    <w:rsid w:val="002B2B18"/>
    <w:rPr>
      <w:rFonts w:ascii="Arial" w:eastAsia="Times New Roman" w:hAnsi="Arial" w:cs="Arial"/>
      <w:b/>
      <w:bCs/>
      <w:kern w:val="32"/>
      <w:sz w:val="32"/>
      <w:szCs w:val="32"/>
      <w:lang w:eastAsia="en-GB"/>
    </w:rPr>
  </w:style>
  <w:style w:type="paragraph" w:styleId="BalloonText">
    <w:name w:val="Balloon Text"/>
    <w:basedOn w:val="Normal"/>
    <w:link w:val="BalloonTextChar"/>
    <w:rsid w:val="002B2B18"/>
    <w:rPr>
      <w:rFonts w:ascii="Tahoma" w:hAnsi="Tahoma" w:cs="Tahoma"/>
      <w:sz w:val="16"/>
      <w:szCs w:val="16"/>
    </w:rPr>
  </w:style>
  <w:style w:type="character" w:customStyle="1" w:styleId="BalloonTextChar">
    <w:name w:val="Balloon Text Char"/>
    <w:link w:val="BalloonText"/>
    <w:rsid w:val="002B2B18"/>
    <w:rPr>
      <w:rFonts w:ascii="Tahoma" w:eastAsia="Times New Roman" w:hAnsi="Tahoma" w:cs="Tahoma"/>
      <w:sz w:val="16"/>
      <w:szCs w:val="16"/>
      <w:lang w:eastAsia="en-GB"/>
    </w:rPr>
  </w:style>
  <w:style w:type="character" w:styleId="CommentReference">
    <w:name w:val="annotation reference"/>
    <w:rsid w:val="002B2B18"/>
    <w:rPr>
      <w:sz w:val="16"/>
      <w:szCs w:val="16"/>
    </w:rPr>
  </w:style>
  <w:style w:type="paragraph" w:styleId="CommentText">
    <w:name w:val="annotation text"/>
    <w:basedOn w:val="Normal"/>
    <w:link w:val="CommentTextChar"/>
    <w:rsid w:val="002B2B18"/>
    <w:rPr>
      <w:sz w:val="20"/>
      <w:szCs w:val="20"/>
    </w:rPr>
  </w:style>
  <w:style w:type="character" w:customStyle="1" w:styleId="CommentTextChar">
    <w:name w:val="Comment Text Char"/>
    <w:link w:val="CommentText"/>
    <w:rsid w:val="002B2B18"/>
    <w:rPr>
      <w:rFonts w:ascii="Times New Roman" w:eastAsia="Times New Roman" w:hAnsi="Times New Roman"/>
      <w:lang w:eastAsia="en-GB"/>
    </w:rPr>
  </w:style>
  <w:style w:type="paragraph" w:styleId="CommentSubject">
    <w:name w:val="annotation subject"/>
    <w:basedOn w:val="CommentText"/>
    <w:next w:val="CommentText"/>
    <w:link w:val="CommentSubjectChar"/>
    <w:rsid w:val="002B2B18"/>
    <w:rPr>
      <w:b/>
      <w:bCs/>
    </w:rPr>
  </w:style>
  <w:style w:type="character" w:customStyle="1" w:styleId="CommentSubjectChar">
    <w:name w:val="Comment Subject Char"/>
    <w:link w:val="CommentSubject"/>
    <w:rsid w:val="002B2B18"/>
    <w:rPr>
      <w:rFonts w:ascii="Times New Roman" w:eastAsia="Times New Roman" w:hAnsi="Times New Roman"/>
      <w:b/>
      <w:bCs/>
      <w:lang w:eastAsia="en-GB"/>
    </w:rPr>
  </w:style>
  <w:style w:type="paragraph" w:styleId="FootnoteText">
    <w:name w:val="footnote text"/>
    <w:basedOn w:val="Normal"/>
    <w:link w:val="FootnoteTextChar"/>
    <w:rsid w:val="002B2B18"/>
    <w:rPr>
      <w:sz w:val="20"/>
      <w:szCs w:val="20"/>
    </w:rPr>
  </w:style>
  <w:style w:type="character" w:customStyle="1" w:styleId="FootnoteTextChar">
    <w:name w:val="Footnote Text Char"/>
    <w:link w:val="FootnoteText"/>
    <w:rsid w:val="002B2B18"/>
    <w:rPr>
      <w:rFonts w:ascii="Times New Roman" w:eastAsia="Times New Roman" w:hAnsi="Times New Roman"/>
      <w:lang w:eastAsia="en-GB"/>
    </w:rPr>
  </w:style>
  <w:style w:type="character" w:styleId="FootnoteReference">
    <w:name w:val="footnote reference"/>
    <w:rsid w:val="002B2B18"/>
    <w:rPr>
      <w:vertAlign w:val="superscript"/>
    </w:rPr>
  </w:style>
  <w:style w:type="paragraph" w:customStyle="1" w:styleId="Default">
    <w:name w:val="Default"/>
    <w:rsid w:val="002B2B18"/>
    <w:pPr>
      <w:autoSpaceDE w:val="0"/>
      <w:autoSpaceDN w:val="0"/>
      <w:adjustRightInd w:val="0"/>
    </w:pPr>
    <w:rPr>
      <w:rFonts w:ascii="Arial" w:eastAsia="Times New Roman" w:hAnsi="Arial" w:cs="Arial"/>
      <w:color w:val="000000"/>
      <w:sz w:val="24"/>
      <w:szCs w:val="24"/>
    </w:rPr>
  </w:style>
  <w:style w:type="paragraph" w:customStyle="1" w:styleId="c01pointnumerotealtn">
    <w:name w:val="c01pointnumerotealtn"/>
    <w:basedOn w:val="Normal"/>
    <w:rsid w:val="002B2B18"/>
    <w:pPr>
      <w:spacing w:before="100" w:beforeAutospacing="1" w:after="240"/>
      <w:ind w:left="567" w:hanging="539"/>
      <w:jc w:val="both"/>
    </w:pPr>
  </w:style>
  <w:style w:type="paragraph" w:customStyle="1" w:styleId="c03tiretlong">
    <w:name w:val="c03tiretlong"/>
    <w:basedOn w:val="Normal"/>
    <w:rsid w:val="002B2B18"/>
    <w:pPr>
      <w:spacing w:before="100" w:beforeAutospacing="1" w:after="240"/>
      <w:ind w:left="1134" w:hanging="567"/>
      <w:jc w:val="both"/>
    </w:pPr>
  </w:style>
  <w:style w:type="paragraph" w:styleId="DocumentMap">
    <w:name w:val="Document Map"/>
    <w:basedOn w:val="Normal"/>
    <w:semiHidden/>
    <w:rsid w:val="00121392"/>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87068">
      <w:bodyDiv w:val="1"/>
      <w:marLeft w:val="0"/>
      <w:marRight w:val="0"/>
      <w:marTop w:val="0"/>
      <w:marBottom w:val="0"/>
      <w:divBdr>
        <w:top w:val="none" w:sz="0" w:space="0" w:color="auto"/>
        <w:left w:val="none" w:sz="0" w:space="0" w:color="auto"/>
        <w:bottom w:val="none" w:sz="0" w:space="0" w:color="auto"/>
        <w:right w:val="none" w:sz="0" w:space="0" w:color="auto"/>
      </w:divBdr>
    </w:div>
    <w:div w:id="192468017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1015</Words>
  <Characters>5089</Characters>
  <Application>Microsoft Office Word</Application>
  <DocSecurity>0</DocSecurity>
  <Lines>42</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2018-09-21T11:50:00Z</dcterms:created>
  <dcterms:modified xsi:type="dcterms:W3CDTF">2018-09-21T11:50:00Z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