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BF2E2F" w:rsidP="00C321B5">
      <w:pPr>
        <w:jc w:val="center"/>
        <w:rPr>
          <w:rFonts w:ascii="Book Antiqua" w:hAnsi="Book Antiqua" w:cs="Arial"/>
          <w:sz w:val="16"/>
          <w:szCs w:val="16"/>
        </w:rPr>
      </w:pPr>
      <w:r>
        <w:rPr>
          <w:noProof/>
        </w:rPr>
        <w:drawing>
          <wp:inline distT="0" distB="0" distL="0" distR="0">
            <wp:extent cx="1195200" cy="10332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32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156C3">
        <w:rPr>
          <w:rFonts w:ascii="Book Antiqua" w:hAnsi="Book Antiqua" w:cs="Arial"/>
          <w:b/>
        </w:rPr>
        <w:t>Tribunal</w:t>
      </w:r>
      <w:r w:rsidR="00C321B5" w:rsidRPr="00F5664C">
        <w:rPr>
          <w:rFonts w:ascii="Book Antiqua" w:hAnsi="Book Antiqua" w:cs="Arial"/>
          <w:b/>
        </w:rPr>
        <w:t xml:space="preserve"> </w:t>
      </w:r>
    </w:p>
    <w:p w:rsidR="007B0824" w:rsidRPr="001B67F3" w:rsidRDefault="00C321B5" w:rsidP="00B626FA">
      <w:pPr>
        <w:tabs>
          <w:tab w:val="right" w:pos="9639"/>
        </w:tabs>
        <w:rPr>
          <w:rFonts w:ascii="Book Antiqua" w:hAnsi="Book Antiqua" w:cs="Arial"/>
          <w:caps/>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145A2">
        <w:rPr>
          <w:rFonts w:ascii="Book Antiqua" w:hAnsi="Book Antiqua" w:cs="Arial"/>
          <w:b/>
        </w:rPr>
        <w:t xml:space="preserve">   </w:t>
      </w:r>
      <w:proofErr w:type="gramEnd"/>
      <w:r w:rsidR="007145A2">
        <w:rPr>
          <w:rFonts w:ascii="Book Antiqua" w:hAnsi="Book Antiqua" w:cs="Arial"/>
          <w:b/>
        </w:rPr>
        <w:t xml:space="preserve">                     </w:t>
      </w:r>
      <w:r w:rsidR="00B3524D" w:rsidRPr="007A3ED6">
        <w:rPr>
          <w:rFonts w:ascii="Book Antiqua" w:hAnsi="Book Antiqua" w:cs="Arial"/>
          <w:b/>
        </w:rPr>
        <w:t>Appeal Number</w:t>
      </w:r>
      <w:r w:rsidR="00D53769" w:rsidRPr="007A3ED6">
        <w:rPr>
          <w:rFonts w:ascii="Book Antiqua" w:hAnsi="Book Antiqua" w:cs="Arial"/>
          <w:b/>
        </w:rPr>
        <w:t>:</w:t>
      </w:r>
      <w:r w:rsidR="00B3524D" w:rsidRPr="007A3ED6">
        <w:rPr>
          <w:rFonts w:ascii="Book Antiqua" w:hAnsi="Book Antiqua" w:cs="Arial"/>
          <w:b/>
        </w:rPr>
        <w:t xml:space="preserve"> </w:t>
      </w:r>
      <w:r w:rsidR="00BE57DB" w:rsidRPr="007A3ED6">
        <w:rPr>
          <w:rFonts w:ascii="Book Antiqua" w:hAnsi="Book Antiqua" w:cs="Arial"/>
          <w:b/>
          <w:caps/>
        </w:rPr>
        <w:t>PA</w:t>
      </w:r>
      <w:r w:rsidR="001B67F3" w:rsidRPr="007A3ED6">
        <w:rPr>
          <w:rFonts w:ascii="Book Antiqua" w:hAnsi="Book Antiqua" w:cs="Arial"/>
          <w:b/>
          <w:caps/>
        </w:rPr>
        <w:t>/</w:t>
      </w:r>
      <w:r w:rsidR="00CE79DB">
        <w:rPr>
          <w:rFonts w:ascii="Book Antiqua" w:hAnsi="Book Antiqua" w:cs="Arial"/>
          <w:b/>
          <w:caps/>
        </w:rPr>
        <w:t>12255</w:t>
      </w:r>
      <w:r w:rsidR="00FB050B" w:rsidRPr="007A3ED6">
        <w:rPr>
          <w:rFonts w:ascii="Book Antiqua" w:hAnsi="Book Antiqua" w:cs="Arial"/>
          <w:b/>
          <w:caps/>
        </w:rPr>
        <w:t>/201</w:t>
      </w:r>
      <w:r w:rsidR="00E246FD">
        <w:rPr>
          <w:rFonts w:ascii="Book Antiqua" w:hAnsi="Book Antiqua" w:cs="Arial"/>
          <w:b/>
          <w:caps/>
        </w:rPr>
        <w:t>7</w:t>
      </w: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245"/>
        <w:gridCol w:w="4393"/>
      </w:tblGrid>
      <w:tr w:rsidR="00D22636" w:rsidRPr="00337EBB" w:rsidTr="007145A2">
        <w:tc>
          <w:tcPr>
            <w:tcW w:w="5245"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Heard at </w:t>
            </w:r>
            <w:r w:rsidR="00E246FD">
              <w:rPr>
                <w:rFonts w:ascii="Book Antiqua" w:hAnsi="Book Antiqua" w:cs="Arial"/>
                <w:b/>
              </w:rPr>
              <w:t>Liverpool</w:t>
            </w:r>
            <w:r w:rsidR="001B67F3" w:rsidRPr="00337EBB">
              <w:rPr>
                <w:rFonts w:ascii="Book Antiqua" w:hAnsi="Book Antiqua" w:cs="Arial"/>
                <w:b/>
              </w:rPr>
              <w:t xml:space="preserve"> </w:t>
            </w:r>
          </w:p>
        </w:tc>
        <w:tc>
          <w:tcPr>
            <w:tcW w:w="4393" w:type="dxa"/>
            <w:shd w:val="clear" w:color="auto" w:fill="auto"/>
          </w:tcPr>
          <w:p w:rsidR="00D22636" w:rsidRPr="00337EBB" w:rsidRDefault="007145A2" w:rsidP="00337EBB">
            <w:pPr>
              <w:jc w:val="both"/>
              <w:rPr>
                <w:rFonts w:ascii="Book Antiqua" w:hAnsi="Book Antiqua" w:cs="Arial"/>
                <w:b/>
              </w:rPr>
            </w:pPr>
            <w:r>
              <w:rPr>
                <w:rFonts w:ascii="Book Antiqua" w:hAnsi="Book Antiqua" w:cs="Arial"/>
                <w:b/>
              </w:rPr>
              <w:t xml:space="preserve"> </w:t>
            </w:r>
            <w:r w:rsidR="00283659" w:rsidRPr="00337EBB">
              <w:rPr>
                <w:rFonts w:ascii="Book Antiqua" w:hAnsi="Book Antiqua" w:cs="Arial"/>
                <w:b/>
              </w:rPr>
              <w:t>De</w:t>
            </w:r>
            <w:r w:rsidR="00864126" w:rsidRPr="00337EBB">
              <w:rPr>
                <w:rFonts w:ascii="Book Antiqua" w:hAnsi="Book Antiqua" w:cs="Arial"/>
                <w:b/>
              </w:rPr>
              <w:t>cision &amp; Reasons</w:t>
            </w:r>
            <w:r w:rsidR="00283659" w:rsidRPr="00337EBB">
              <w:rPr>
                <w:rFonts w:ascii="Book Antiqua" w:hAnsi="Book Antiqua" w:cs="Arial"/>
                <w:b/>
              </w:rPr>
              <w:t xml:space="preserve"> Promulgated</w:t>
            </w:r>
          </w:p>
        </w:tc>
      </w:tr>
      <w:tr w:rsidR="00D22636" w:rsidRPr="00337EBB" w:rsidTr="007145A2">
        <w:tc>
          <w:tcPr>
            <w:tcW w:w="5245" w:type="dxa"/>
            <w:shd w:val="clear" w:color="auto" w:fill="auto"/>
          </w:tcPr>
          <w:p w:rsidR="00D22636" w:rsidRPr="00337EBB" w:rsidRDefault="00D22636" w:rsidP="00337EBB">
            <w:pPr>
              <w:jc w:val="both"/>
              <w:rPr>
                <w:rFonts w:ascii="Book Antiqua" w:hAnsi="Book Antiqua" w:cs="Arial"/>
                <w:b/>
              </w:rPr>
            </w:pPr>
            <w:r w:rsidRPr="00337EBB">
              <w:rPr>
                <w:rFonts w:ascii="Book Antiqua" w:hAnsi="Book Antiqua" w:cs="Arial"/>
                <w:b/>
              </w:rPr>
              <w:t xml:space="preserve">On </w:t>
            </w:r>
            <w:r w:rsidR="00E246FD">
              <w:rPr>
                <w:rFonts w:ascii="Book Antiqua" w:hAnsi="Book Antiqua" w:cs="Arial"/>
                <w:b/>
              </w:rPr>
              <w:t>July 3</w:t>
            </w:r>
            <w:r w:rsidR="00D82D08">
              <w:rPr>
                <w:rFonts w:ascii="Book Antiqua" w:hAnsi="Book Antiqua" w:cs="Arial"/>
                <w:b/>
              </w:rPr>
              <w:t>, 2018</w:t>
            </w:r>
            <w:r w:rsidR="001B67F3" w:rsidRPr="00337EBB">
              <w:rPr>
                <w:rFonts w:ascii="Book Antiqua" w:hAnsi="Book Antiqua" w:cs="Arial"/>
                <w:b/>
              </w:rPr>
              <w:t xml:space="preserve"> </w:t>
            </w:r>
          </w:p>
        </w:tc>
        <w:tc>
          <w:tcPr>
            <w:tcW w:w="4393" w:type="dxa"/>
            <w:shd w:val="clear" w:color="auto" w:fill="auto"/>
          </w:tcPr>
          <w:p w:rsidR="00D22636" w:rsidRPr="00337EBB" w:rsidRDefault="007145A2" w:rsidP="00337EBB">
            <w:pPr>
              <w:jc w:val="both"/>
              <w:rPr>
                <w:rFonts w:ascii="Book Antiqua" w:hAnsi="Book Antiqua" w:cs="Arial"/>
                <w:b/>
              </w:rPr>
            </w:pPr>
            <w:r>
              <w:rPr>
                <w:rFonts w:ascii="Book Antiqua" w:hAnsi="Book Antiqua" w:cs="Arial"/>
                <w:b/>
              </w:rPr>
              <w:t xml:space="preserve"> </w:t>
            </w:r>
            <w:r w:rsidR="008464A9">
              <w:rPr>
                <w:rFonts w:ascii="Book Antiqua" w:hAnsi="Book Antiqua" w:cs="Arial"/>
                <w:b/>
              </w:rPr>
              <w:t>On July 5, 2018</w:t>
            </w:r>
          </w:p>
        </w:tc>
      </w:tr>
      <w:tr w:rsidR="00D22636" w:rsidRPr="00337EBB" w:rsidTr="007145A2">
        <w:tc>
          <w:tcPr>
            <w:tcW w:w="5245" w:type="dxa"/>
            <w:shd w:val="clear" w:color="auto" w:fill="auto"/>
          </w:tcPr>
          <w:p w:rsidR="00D22636" w:rsidRPr="00337EBB" w:rsidRDefault="00D22636" w:rsidP="00337EBB">
            <w:pPr>
              <w:jc w:val="both"/>
              <w:rPr>
                <w:rFonts w:ascii="Book Antiqua" w:hAnsi="Book Antiqua" w:cs="Arial"/>
                <w:b/>
              </w:rPr>
            </w:pPr>
          </w:p>
        </w:tc>
        <w:tc>
          <w:tcPr>
            <w:tcW w:w="4393" w:type="dxa"/>
            <w:shd w:val="clear" w:color="auto" w:fill="auto"/>
          </w:tcPr>
          <w:p w:rsidR="00D22636" w:rsidRPr="00337EBB" w:rsidRDefault="00D22636" w:rsidP="00337EBB">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0A32A2" w:rsidP="00A15234">
      <w:pPr>
        <w:jc w:val="center"/>
        <w:rPr>
          <w:rFonts w:ascii="Book Antiqua" w:hAnsi="Book Antiqua" w:cs="Arial"/>
          <w:b/>
        </w:rPr>
      </w:pPr>
      <w:r>
        <w:rPr>
          <w:rFonts w:ascii="Book Antiqua" w:hAnsi="Book Antiqua" w:cs="Arial"/>
          <w:b/>
        </w:rPr>
        <w:t xml:space="preserve">DEPUTY UPPER </w:t>
      </w:r>
      <w:r w:rsidR="00C156C3">
        <w:rPr>
          <w:rFonts w:ascii="Book Antiqua" w:hAnsi="Book Antiqua" w:cs="Arial"/>
          <w:b/>
        </w:rPr>
        <w:t>TRIBUNAL</w:t>
      </w:r>
      <w:r w:rsidR="00B16F58" w:rsidRPr="00F5664C">
        <w:rPr>
          <w:rFonts w:ascii="Book Antiqua" w:hAnsi="Book Antiqua" w:cs="Arial"/>
          <w:b/>
        </w:rPr>
        <w:t xml:space="preserve"> </w:t>
      </w:r>
      <w:r w:rsidR="00E1324B">
        <w:rPr>
          <w:rFonts w:ascii="Book Antiqua" w:hAnsi="Book Antiqua" w:cs="Arial"/>
          <w:b/>
        </w:rPr>
        <w:t>JUDGE</w:t>
      </w:r>
      <w:r w:rsidR="00B16F58" w:rsidRPr="00F5664C">
        <w:rPr>
          <w:rFonts w:ascii="Book Antiqua" w:hAnsi="Book Antiqua" w:cs="Arial"/>
          <w:b/>
        </w:rPr>
        <w:t xml:space="preserve"> </w:t>
      </w:r>
      <w:r w:rsidR="00376F8F">
        <w:rPr>
          <w:rFonts w:ascii="Book Antiqua" w:hAnsi="Book Antiqua" w:cs="Arial"/>
          <w:b/>
        </w:rPr>
        <w:t>ALIS</w:t>
      </w:r>
    </w:p>
    <w:p w:rsidR="001A1E2C" w:rsidRDefault="001A1E2C" w:rsidP="00A15234">
      <w:pPr>
        <w:jc w:val="center"/>
        <w:rPr>
          <w:rFonts w:ascii="Book Antiqua" w:hAnsi="Book Antiqua" w:cs="Arial"/>
          <w:b/>
        </w:rPr>
      </w:pP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5B4942" w:rsidRDefault="00E246FD" w:rsidP="005B4942">
      <w:pPr>
        <w:jc w:val="center"/>
        <w:rPr>
          <w:rFonts w:ascii="Book Antiqua" w:hAnsi="Book Antiqua" w:cs="Arial"/>
          <w:b/>
          <w:caps/>
        </w:rPr>
      </w:pPr>
      <w:r>
        <w:rPr>
          <w:rFonts w:ascii="Book Antiqua" w:hAnsi="Book Antiqua" w:cs="Arial"/>
          <w:b/>
          <w:caps/>
        </w:rPr>
        <w:t xml:space="preserve">MR </w:t>
      </w:r>
      <w:r w:rsidR="00B35843">
        <w:rPr>
          <w:rFonts w:ascii="Book Antiqua" w:hAnsi="Book Antiqua" w:cs="Arial"/>
          <w:b/>
          <w:caps/>
        </w:rPr>
        <w:t>S N</w:t>
      </w:r>
    </w:p>
    <w:p w:rsidR="003A5739" w:rsidRPr="007145A2" w:rsidRDefault="003A5739" w:rsidP="005B4942">
      <w:pPr>
        <w:jc w:val="center"/>
        <w:rPr>
          <w:rFonts w:ascii="Book Antiqua" w:hAnsi="Book Antiqua" w:cs="Arial"/>
          <w:caps/>
        </w:rPr>
      </w:pPr>
      <w:r w:rsidRPr="007145A2">
        <w:rPr>
          <w:rFonts w:ascii="Book Antiqua" w:hAnsi="Book Antiqua" w:cs="Arial"/>
          <w:caps/>
        </w:rPr>
        <w:t>(ANONYMITY DIRECTION made)</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97AF0" w:rsidRDefault="003A5739" w:rsidP="00D97AF0">
      <w:pPr>
        <w:jc w:val="center"/>
        <w:rPr>
          <w:rFonts w:ascii="Book Antiqua" w:hAnsi="Book Antiqua" w:cs="Arial"/>
          <w:b/>
          <w:caps/>
        </w:rPr>
      </w:pPr>
      <w:r>
        <w:rPr>
          <w:rFonts w:ascii="Book Antiqua" w:hAnsi="Book Antiqua" w:cs="Arial"/>
          <w:b/>
          <w:caps/>
        </w:rPr>
        <w:t>the Secretary of State for the Home Department</w:t>
      </w:r>
    </w:p>
    <w:p w:rsidR="00DD5071" w:rsidRPr="00F5664C" w:rsidRDefault="00DD5071" w:rsidP="00D97AF0">
      <w:pPr>
        <w:jc w:val="center"/>
        <w:rPr>
          <w:rFonts w:ascii="Book Antiqua" w:hAnsi="Book Antiqua" w:cs="Arial"/>
          <w:b/>
          <w:caps/>
        </w:rPr>
      </w:pP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7A3ED6">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CE79DB">
        <w:rPr>
          <w:rFonts w:ascii="Book Antiqua" w:hAnsi="Book Antiqua" w:cs="Arial"/>
        </w:rPr>
        <w:t>Mr Hussain, Legal Representative</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CE79DB">
        <w:rPr>
          <w:rFonts w:ascii="Book Antiqua" w:hAnsi="Book Antiqua" w:cs="Arial"/>
        </w:rPr>
        <w:t xml:space="preserve">Ms </w:t>
      </w:r>
      <w:proofErr w:type="spellStart"/>
      <w:r w:rsidR="00CE79DB">
        <w:rPr>
          <w:rFonts w:ascii="Book Antiqua" w:hAnsi="Book Antiqua" w:cs="Arial"/>
        </w:rPr>
        <w:t>Aboni</w:t>
      </w:r>
      <w:proofErr w:type="spellEnd"/>
      <w:r w:rsidR="003A5739">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402B9E" w:rsidP="00402B9E">
      <w:pPr>
        <w:tabs>
          <w:tab w:val="left" w:pos="2520"/>
        </w:tabs>
        <w:jc w:val="center"/>
        <w:rPr>
          <w:rFonts w:ascii="Book Antiqua" w:hAnsi="Book Antiqua" w:cs="Arial"/>
        </w:rPr>
      </w:pPr>
      <w:r w:rsidRPr="00F5664C">
        <w:rPr>
          <w:rFonts w:ascii="Book Antiqua" w:hAnsi="Book Antiqua" w:cs="Arial"/>
          <w:b/>
          <w:u w:val="single"/>
        </w:rPr>
        <w:t>DE</w:t>
      </w:r>
      <w:r w:rsidR="00864126">
        <w:rPr>
          <w:rFonts w:ascii="Book Antiqua" w:hAnsi="Book Antiqua" w:cs="Arial"/>
          <w:b/>
          <w:u w:val="single"/>
        </w:rPr>
        <w:t>CISION</w:t>
      </w:r>
      <w:r w:rsidRPr="00F5664C">
        <w:rPr>
          <w:rFonts w:ascii="Book Antiqua" w:hAnsi="Book Antiqua" w:cs="Arial"/>
          <w:b/>
          <w:u w:val="single"/>
        </w:rPr>
        <w:t xml:space="preserve"> AND REASONS</w:t>
      </w:r>
    </w:p>
    <w:p w:rsidR="00641A27" w:rsidRPr="00B35843" w:rsidRDefault="00C4370C" w:rsidP="00B35843">
      <w:pPr>
        <w:numPr>
          <w:ilvl w:val="0"/>
          <w:numId w:val="3"/>
        </w:numPr>
        <w:spacing w:before="240"/>
        <w:jc w:val="both"/>
        <w:rPr>
          <w:rFonts w:ascii="Book Antiqua" w:hAnsi="Book Antiqua" w:cs="Arial"/>
        </w:rPr>
      </w:pPr>
      <w:r>
        <w:rPr>
          <w:rFonts w:ascii="Book Antiqua" w:hAnsi="Book Antiqua" w:cs="Arial"/>
        </w:rPr>
        <w:t xml:space="preserve">Pursuant to </w:t>
      </w:r>
      <w:r w:rsidRPr="00664F04">
        <w:rPr>
          <w:rFonts w:ascii="Book Antiqua" w:hAnsi="Book Antiqua"/>
        </w:rPr>
        <w:t xml:space="preserve">Rule 14(1) of the Tribunal Procedure (Upper Tribunal) Rules 2008 (the UT Procedure Rules) </w:t>
      </w:r>
      <w:r>
        <w:rPr>
          <w:rFonts w:ascii="Book Antiqua" w:hAnsi="Book Antiqua"/>
        </w:rPr>
        <w:t xml:space="preserve">I make an order </w:t>
      </w:r>
      <w:r w:rsidRPr="00664F04">
        <w:rPr>
          <w:rFonts w:ascii="Book Antiqua" w:hAnsi="Book Antiqua"/>
        </w:rPr>
        <w:t>prohibiting the disclosure or publication of specified documents or information relating to the proceedings or of any matter likely to lead members of the public to identify any person whom the Upper Tribunal considers should not be identified. The effect of such an “anonymity order” may therefore be to prohibit anyone (not merely the parties in the case) from disclosing relevant information. Breach of the order may be punishable as a contempt of court</w:t>
      </w:r>
      <w:r>
        <w:rPr>
          <w:rFonts w:ascii="Book Antiqua" w:hAnsi="Book Antiqua"/>
        </w:rPr>
        <w:t>.</w:t>
      </w:r>
      <w:r w:rsidR="00641A27" w:rsidRPr="00B35843">
        <w:rPr>
          <w:rFonts w:ascii="Book Antiqua" w:hAnsi="Book Antiqua" w:cs="Arial"/>
        </w:rPr>
        <w:t xml:space="preserve"> </w:t>
      </w:r>
    </w:p>
    <w:p w:rsidR="00B35843" w:rsidRDefault="00641A27" w:rsidP="00892884">
      <w:pPr>
        <w:numPr>
          <w:ilvl w:val="0"/>
          <w:numId w:val="3"/>
        </w:numPr>
        <w:spacing w:before="240"/>
        <w:jc w:val="both"/>
        <w:rPr>
          <w:rFonts w:ascii="Book Antiqua" w:hAnsi="Book Antiqua" w:cs="Arial"/>
        </w:rPr>
      </w:pPr>
      <w:r w:rsidRPr="00D1444B">
        <w:rPr>
          <w:rFonts w:ascii="Book Antiqua" w:hAnsi="Book Antiqua" w:cs="Arial"/>
        </w:rPr>
        <w:lastRenderedPageBreak/>
        <w:t xml:space="preserve">The appellant </w:t>
      </w:r>
      <w:r w:rsidR="00B35843">
        <w:rPr>
          <w:rFonts w:ascii="Book Antiqua" w:hAnsi="Book Antiqua" w:cs="Arial"/>
        </w:rPr>
        <w:t xml:space="preserve">claimed to be an Eritrean </w:t>
      </w:r>
      <w:r w:rsidR="00E246FD">
        <w:rPr>
          <w:rFonts w:ascii="Book Antiqua" w:hAnsi="Book Antiqua" w:cs="Arial"/>
        </w:rPr>
        <w:t>national</w:t>
      </w:r>
      <w:r w:rsidRPr="00D1444B">
        <w:rPr>
          <w:rFonts w:ascii="Book Antiqua" w:hAnsi="Book Antiqua" w:cs="Arial"/>
        </w:rPr>
        <w:t xml:space="preserve">.  </w:t>
      </w:r>
      <w:r w:rsidR="00B35843">
        <w:rPr>
          <w:rFonts w:ascii="Book Antiqua" w:hAnsi="Book Antiqua" w:cs="Arial"/>
        </w:rPr>
        <w:t>The appellant clai</w:t>
      </w:r>
      <w:bookmarkStart w:id="0" w:name="_GoBack"/>
      <w:bookmarkEnd w:id="0"/>
      <w:r w:rsidR="00B35843">
        <w:rPr>
          <w:rFonts w:ascii="Book Antiqua" w:hAnsi="Book Antiqua" w:cs="Arial"/>
        </w:rPr>
        <w:t xml:space="preserve">med to have arrived in the United Kingdom on May 17, 2009 and claimed asylum the same day. His appeal subsequently was heard by the First-tier Tribunal but was dismissed on July 6, 2010 and his appeal rights were deemed exhausted on September 13, 2010. He presented further submissions on April 30, 2015 but these were refused and on May 22, 2017 he lodged new submissions which the respondent accepted amounted to a fresh claim. </w:t>
      </w:r>
    </w:p>
    <w:p w:rsidR="003A5739" w:rsidRPr="00D1444B" w:rsidRDefault="007742F1" w:rsidP="00892884">
      <w:pPr>
        <w:numPr>
          <w:ilvl w:val="0"/>
          <w:numId w:val="3"/>
        </w:numPr>
        <w:spacing w:before="240"/>
        <w:jc w:val="both"/>
        <w:rPr>
          <w:rFonts w:ascii="Book Antiqua" w:hAnsi="Book Antiqua" w:cs="Arial"/>
        </w:rPr>
      </w:pPr>
      <w:r w:rsidRPr="00D1444B">
        <w:rPr>
          <w:rFonts w:ascii="Book Antiqua" w:hAnsi="Book Antiqua"/>
        </w:rPr>
        <w:t>T</w:t>
      </w:r>
      <w:r w:rsidR="003A5739" w:rsidRPr="00D1444B">
        <w:rPr>
          <w:rFonts w:ascii="Book Antiqua" w:hAnsi="Book Antiqua"/>
        </w:rPr>
        <w:t xml:space="preserve">he respondent refused </w:t>
      </w:r>
      <w:r w:rsidR="00E246FD">
        <w:rPr>
          <w:rFonts w:ascii="Book Antiqua" w:hAnsi="Book Antiqua"/>
        </w:rPr>
        <w:t>his</w:t>
      </w:r>
      <w:r w:rsidR="0035239B">
        <w:rPr>
          <w:rFonts w:ascii="Book Antiqua" w:hAnsi="Book Antiqua"/>
        </w:rPr>
        <w:t xml:space="preserve"> </w:t>
      </w:r>
      <w:r w:rsidR="00FB050B" w:rsidRPr="00D1444B">
        <w:rPr>
          <w:rFonts w:ascii="Book Antiqua" w:hAnsi="Book Antiqua"/>
        </w:rPr>
        <w:t>protection</w:t>
      </w:r>
      <w:r w:rsidR="00BE57DB" w:rsidRPr="00D1444B">
        <w:rPr>
          <w:rFonts w:ascii="Book Antiqua" w:hAnsi="Book Antiqua"/>
        </w:rPr>
        <w:t xml:space="preserve"> </w:t>
      </w:r>
      <w:r w:rsidR="00E246FD">
        <w:rPr>
          <w:rFonts w:ascii="Book Antiqua" w:hAnsi="Book Antiqua"/>
        </w:rPr>
        <w:t xml:space="preserve">and human rights </w:t>
      </w:r>
      <w:r w:rsidR="00BE57DB" w:rsidRPr="00D1444B">
        <w:rPr>
          <w:rFonts w:ascii="Book Antiqua" w:hAnsi="Book Antiqua"/>
        </w:rPr>
        <w:t>claim</w:t>
      </w:r>
      <w:r w:rsidR="00E246FD">
        <w:rPr>
          <w:rFonts w:ascii="Book Antiqua" w:hAnsi="Book Antiqua"/>
        </w:rPr>
        <w:t>s</w:t>
      </w:r>
      <w:r w:rsidR="00BE57DB" w:rsidRPr="00D1444B">
        <w:rPr>
          <w:rFonts w:ascii="Book Antiqua" w:hAnsi="Book Antiqua"/>
        </w:rPr>
        <w:t xml:space="preserve"> on </w:t>
      </w:r>
      <w:r w:rsidR="00B35843">
        <w:rPr>
          <w:rFonts w:ascii="Book Antiqua" w:hAnsi="Book Antiqua"/>
        </w:rPr>
        <w:t>September 7</w:t>
      </w:r>
      <w:r w:rsidR="00E246FD">
        <w:rPr>
          <w:rFonts w:ascii="Book Antiqua" w:hAnsi="Book Antiqua"/>
        </w:rPr>
        <w:t>, 2017</w:t>
      </w:r>
      <w:r w:rsidR="00B35843">
        <w:rPr>
          <w:rFonts w:ascii="Book Antiqua" w:hAnsi="Book Antiqua"/>
        </w:rPr>
        <w:t xml:space="preserve"> </w:t>
      </w:r>
      <w:r w:rsidR="00FB050B" w:rsidRPr="00D1444B">
        <w:rPr>
          <w:rFonts w:ascii="Book Antiqua" w:hAnsi="Book Antiqua"/>
        </w:rPr>
        <w:t xml:space="preserve">under paragraph 336 HC 395. </w:t>
      </w:r>
    </w:p>
    <w:p w:rsidR="00641A27" w:rsidRDefault="00641A27" w:rsidP="00911478">
      <w:pPr>
        <w:numPr>
          <w:ilvl w:val="0"/>
          <w:numId w:val="3"/>
        </w:numPr>
        <w:spacing w:before="240"/>
        <w:jc w:val="both"/>
        <w:rPr>
          <w:rFonts w:ascii="Book Antiqua" w:hAnsi="Book Antiqua" w:cs="Arial"/>
        </w:rPr>
      </w:pPr>
      <w:r>
        <w:rPr>
          <w:rFonts w:ascii="Book Antiqua" w:hAnsi="Book Antiqua" w:cs="Arial"/>
        </w:rPr>
        <w:t xml:space="preserve">The appellant lodged grounds of appeal </w:t>
      </w:r>
      <w:r w:rsidR="00E07601">
        <w:rPr>
          <w:rFonts w:ascii="Book Antiqua" w:hAnsi="Book Antiqua" w:cs="Arial"/>
        </w:rPr>
        <w:t xml:space="preserve">on </w:t>
      </w:r>
      <w:r w:rsidR="00E246FD">
        <w:rPr>
          <w:rFonts w:ascii="Book Antiqua" w:hAnsi="Book Antiqua" w:cs="Arial"/>
        </w:rPr>
        <w:t xml:space="preserve">November 23, 2017 </w:t>
      </w:r>
      <w:r w:rsidR="00E07601">
        <w:rPr>
          <w:rFonts w:ascii="Book Antiqua" w:hAnsi="Book Antiqua" w:cs="Arial"/>
        </w:rPr>
        <w:t xml:space="preserve">under Section 82(1) of the Nationality, Immigration and Asylum Act 2002.  </w:t>
      </w:r>
      <w:r w:rsidR="00E246FD">
        <w:rPr>
          <w:rFonts w:ascii="Book Antiqua" w:hAnsi="Book Antiqua" w:cs="Arial"/>
        </w:rPr>
        <w:t xml:space="preserve">His </w:t>
      </w:r>
      <w:r w:rsidR="00E07601">
        <w:rPr>
          <w:rFonts w:ascii="Book Antiqua" w:hAnsi="Book Antiqua" w:cs="Arial"/>
        </w:rPr>
        <w:t xml:space="preserve">appeal came before </w:t>
      </w:r>
      <w:r w:rsidR="00E1324B">
        <w:rPr>
          <w:rFonts w:ascii="Book Antiqua" w:hAnsi="Book Antiqua" w:cs="Arial"/>
        </w:rPr>
        <w:t>Judge</w:t>
      </w:r>
      <w:r w:rsidR="00E07601">
        <w:rPr>
          <w:rFonts w:ascii="Book Antiqua" w:hAnsi="Book Antiqua" w:cs="Arial"/>
        </w:rPr>
        <w:t xml:space="preserve"> of the First-tier </w:t>
      </w:r>
      <w:r w:rsidR="00C156C3">
        <w:rPr>
          <w:rFonts w:ascii="Book Antiqua" w:hAnsi="Book Antiqua" w:cs="Arial"/>
        </w:rPr>
        <w:t>Tribunal</w:t>
      </w:r>
      <w:r w:rsidR="00E07601">
        <w:rPr>
          <w:rFonts w:ascii="Book Antiqua" w:hAnsi="Book Antiqua" w:cs="Arial"/>
        </w:rPr>
        <w:t xml:space="preserve"> </w:t>
      </w:r>
      <w:proofErr w:type="spellStart"/>
      <w:r w:rsidR="00B35843">
        <w:rPr>
          <w:rFonts w:ascii="Book Antiqua" w:hAnsi="Book Antiqua" w:cs="Arial"/>
        </w:rPr>
        <w:t>Shergill</w:t>
      </w:r>
      <w:proofErr w:type="spellEnd"/>
      <w:r w:rsidR="00DE4868">
        <w:rPr>
          <w:rFonts w:ascii="Book Antiqua" w:hAnsi="Book Antiqua" w:cs="Arial"/>
        </w:rPr>
        <w:t xml:space="preserve"> </w:t>
      </w:r>
      <w:r w:rsidR="00442A49">
        <w:rPr>
          <w:rFonts w:ascii="Book Antiqua" w:hAnsi="Book Antiqua" w:cs="Arial"/>
        </w:rPr>
        <w:t xml:space="preserve">(hereinafter called “the </w:t>
      </w:r>
      <w:r w:rsidR="00E1324B">
        <w:rPr>
          <w:rFonts w:ascii="Book Antiqua" w:hAnsi="Book Antiqua" w:cs="Arial"/>
        </w:rPr>
        <w:t>Judge</w:t>
      </w:r>
      <w:r w:rsidR="00442A49">
        <w:rPr>
          <w:rFonts w:ascii="Book Antiqua" w:hAnsi="Book Antiqua" w:cs="Arial"/>
        </w:rPr>
        <w:t xml:space="preserve">”) </w:t>
      </w:r>
      <w:r w:rsidR="00E07601">
        <w:rPr>
          <w:rFonts w:ascii="Book Antiqua" w:hAnsi="Book Antiqua" w:cs="Arial"/>
        </w:rPr>
        <w:t xml:space="preserve">on </w:t>
      </w:r>
      <w:r w:rsidR="00B35843">
        <w:rPr>
          <w:rFonts w:ascii="Book Antiqua" w:hAnsi="Book Antiqua" w:cs="Arial"/>
        </w:rPr>
        <w:t>January 2</w:t>
      </w:r>
      <w:r w:rsidR="00941D3B">
        <w:rPr>
          <w:rFonts w:ascii="Book Antiqua" w:hAnsi="Book Antiqua" w:cs="Arial"/>
        </w:rPr>
        <w:t>,</w:t>
      </w:r>
      <w:r w:rsidR="007742F1">
        <w:rPr>
          <w:rFonts w:ascii="Book Antiqua" w:hAnsi="Book Antiqua" w:cs="Arial"/>
        </w:rPr>
        <w:t xml:space="preserve"> 201</w:t>
      </w:r>
      <w:r w:rsidR="00B35843">
        <w:rPr>
          <w:rFonts w:ascii="Book Antiqua" w:hAnsi="Book Antiqua" w:cs="Arial"/>
        </w:rPr>
        <w:t>8</w:t>
      </w:r>
      <w:r w:rsidR="00E07601">
        <w:rPr>
          <w:rFonts w:ascii="Book Antiqua" w:hAnsi="Book Antiqua" w:cs="Arial"/>
        </w:rPr>
        <w:t xml:space="preserve"> and in a decision pro</w:t>
      </w:r>
      <w:r w:rsidR="00F90160">
        <w:rPr>
          <w:rFonts w:ascii="Book Antiqua" w:hAnsi="Book Antiqua" w:cs="Arial"/>
        </w:rPr>
        <w:t xml:space="preserve">mulgated on </w:t>
      </w:r>
      <w:r w:rsidR="00E246FD">
        <w:rPr>
          <w:rFonts w:ascii="Book Antiqua" w:hAnsi="Book Antiqua" w:cs="Arial"/>
        </w:rPr>
        <w:t xml:space="preserve">January 15, 2018 </w:t>
      </w:r>
      <w:r w:rsidR="00F90160">
        <w:rPr>
          <w:rFonts w:ascii="Book Antiqua" w:hAnsi="Book Antiqua" w:cs="Arial"/>
        </w:rPr>
        <w:t xml:space="preserve">the </w:t>
      </w:r>
      <w:r w:rsidR="00E1324B">
        <w:rPr>
          <w:rFonts w:ascii="Book Antiqua" w:hAnsi="Book Antiqua" w:cs="Arial"/>
        </w:rPr>
        <w:t>Judge</w:t>
      </w:r>
      <w:r w:rsidR="00E07601">
        <w:rPr>
          <w:rFonts w:ascii="Book Antiqua" w:hAnsi="Book Antiqua" w:cs="Arial"/>
        </w:rPr>
        <w:t xml:space="preserve"> </w:t>
      </w:r>
      <w:r w:rsidR="003A5739">
        <w:rPr>
          <w:rFonts w:ascii="Book Antiqua" w:hAnsi="Book Antiqua" w:cs="Arial"/>
        </w:rPr>
        <w:t xml:space="preserve">refused </w:t>
      </w:r>
      <w:r w:rsidR="00F472AE">
        <w:rPr>
          <w:rFonts w:ascii="Book Antiqua" w:hAnsi="Book Antiqua" w:cs="Arial"/>
        </w:rPr>
        <w:t>the</w:t>
      </w:r>
      <w:r w:rsidR="003A5739">
        <w:rPr>
          <w:rFonts w:ascii="Book Antiqua" w:hAnsi="Book Antiqua" w:cs="Arial"/>
        </w:rPr>
        <w:t xml:space="preserve"> </w:t>
      </w:r>
      <w:r w:rsidR="00BE57DB">
        <w:rPr>
          <w:rFonts w:ascii="Book Antiqua" w:hAnsi="Book Antiqua" w:cs="Arial"/>
        </w:rPr>
        <w:t xml:space="preserve">appeal on all grounds. </w:t>
      </w:r>
    </w:p>
    <w:p w:rsidR="00E246FD" w:rsidRDefault="00E07601" w:rsidP="00911478">
      <w:pPr>
        <w:numPr>
          <w:ilvl w:val="0"/>
          <w:numId w:val="3"/>
        </w:numPr>
        <w:spacing w:before="240"/>
        <w:jc w:val="both"/>
        <w:rPr>
          <w:rFonts w:ascii="Book Antiqua" w:hAnsi="Book Antiqua" w:cs="Arial"/>
        </w:rPr>
      </w:pPr>
      <w:r>
        <w:rPr>
          <w:rFonts w:ascii="Book Antiqua" w:hAnsi="Book Antiqua" w:cs="Arial"/>
        </w:rPr>
        <w:t xml:space="preserve">The </w:t>
      </w:r>
      <w:r w:rsidR="003A5739">
        <w:rPr>
          <w:rFonts w:ascii="Book Antiqua" w:hAnsi="Book Antiqua" w:cs="Arial"/>
        </w:rPr>
        <w:t>appellant</w:t>
      </w:r>
      <w:r>
        <w:rPr>
          <w:rFonts w:ascii="Book Antiqua" w:hAnsi="Book Antiqua" w:cs="Arial"/>
        </w:rPr>
        <w:t xml:space="preserve"> appealed this decision on </w:t>
      </w:r>
      <w:r w:rsidR="00E246FD">
        <w:rPr>
          <w:rFonts w:ascii="Book Antiqua" w:hAnsi="Book Antiqua" w:cs="Arial"/>
        </w:rPr>
        <w:t>January 2</w:t>
      </w:r>
      <w:r w:rsidR="00B35843">
        <w:rPr>
          <w:rFonts w:ascii="Book Antiqua" w:hAnsi="Book Antiqua" w:cs="Arial"/>
        </w:rPr>
        <w:t>5</w:t>
      </w:r>
      <w:r w:rsidR="00E246FD">
        <w:rPr>
          <w:rFonts w:ascii="Book Antiqua" w:hAnsi="Book Antiqua" w:cs="Arial"/>
        </w:rPr>
        <w:t>, 2018</w:t>
      </w:r>
      <w:r w:rsidR="00442A49">
        <w:rPr>
          <w:rFonts w:ascii="Book Antiqua" w:hAnsi="Book Antiqua" w:cs="Arial"/>
        </w:rPr>
        <w:t xml:space="preserve">. </w:t>
      </w:r>
      <w:r w:rsidR="00B35843">
        <w:rPr>
          <w:rFonts w:ascii="Book Antiqua" w:hAnsi="Book Antiqua" w:cs="Arial"/>
        </w:rPr>
        <w:t>The appellant argued that the Judge’s decision in respect of both the protection and human rights claims were flawed.</w:t>
      </w:r>
    </w:p>
    <w:p w:rsidR="00B16B53" w:rsidRPr="00B35843" w:rsidRDefault="00442A49" w:rsidP="00B35843">
      <w:pPr>
        <w:numPr>
          <w:ilvl w:val="0"/>
          <w:numId w:val="3"/>
        </w:numPr>
        <w:spacing w:before="240"/>
        <w:jc w:val="both"/>
        <w:rPr>
          <w:rFonts w:ascii="Book Antiqua" w:hAnsi="Book Antiqua" w:cs="Arial"/>
        </w:rPr>
      </w:pPr>
      <w:r>
        <w:rPr>
          <w:rFonts w:ascii="Book Antiqua" w:hAnsi="Book Antiqua" w:cs="Arial"/>
        </w:rPr>
        <w:t xml:space="preserve">Permission to appeal was </w:t>
      </w:r>
      <w:r w:rsidR="0035239B">
        <w:rPr>
          <w:rFonts w:ascii="Book Antiqua" w:hAnsi="Book Antiqua" w:cs="Arial"/>
        </w:rPr>
        <w:t xml:space="preserve">granted </w:t>
      </w:r>
      <w:r w:rsidR="00DE4868">
        <w:rPr>
          <w:rFonts w:ascii="Book Antiqua" w:hAnsi="Book Antiqua" w:cs="Arial"/>
        </w:rPr>
        <w:t xml:space="preserve">by Judge of the First-tier Tribunal </w:t>
      </w:r>
      <w:proofErr w:type="spellStart"/>
      <w:r w:rsidR="00B35843">
        <w:rPr>
          <w:rFonts w:ascii="Book Antiqua" w:hAnsi="Book Antiqua" w:cs="Arial"/>
        </w:rPr>
        <w:t>Adio</w:t>
      </w:r>
      <w:proofErr w:type="spellEnd"/>
      <w:r w:rsidR="0035239B">
        <w:rPr>
          <w:rFonts w:ascii="Book Antiqua" w:hAnsi="Book Antiqua" w:cs="Arial"/>
        </w:rPr>
        <w:t xml:space="preserve"> </w:t>
      </w:r>
      <w:r w:rsidR="00DE4868">
        <w:rPr>
          <w:rFonts w:ascii="Book Antiqua" w:hAnsi="Book Antiqua" w:cs="Arial"/>
        </w:rPr>
        <w:t xml:space="preserve">on </w:t>
      </w:r>
      <w:r w:rsidR="00E246FD">
        <w:rPr>
          <w:rFonts w:ascii="Book Antiqua" w:hAnsi="Book Antiqua" w:cs="Arial"/>
        </w:rPr>
        <w:t xml:space="preserve">February </w:t>
      </w:r>
      <w:r w:rsidR="00B35843">
        <w:rPr>
          <w:rFonts w:ascii="Book Antiqua" w:hAnsi="Book Antiqua" w:cs="Arial"/>
        </w:rPr>
        <w:t>6</w:t>
      </w:r>
      <w:r w:rsidR="00E246FD">
        <w:rPr>
          <w:rFonts w:ascii="Book Antiqua" w:hAnsi="Book Antiqua" w:cs="Arial"/>
        </w:rPr>
        <w:t>, 2018</w:t>
      </w:r>
      <w:r w:rsidR="00DE4868">
        <w:rPr>
          <w:rFonts w:ascii="Book Antiqua" w:hAnsi="Book Antiqua" w:cs="Arial"/>
        </w:rPr>
        <w:t xml:space="preserve"> </w:t>
      </w:r>
      <w:r w:rsidR="00B35843">
        <w:rPr>
          <w:rFonts w:ascii="Book Antiqua" w:hAnsi="Book Antiqua" w:cs="Arial"/>
        </w:rPr>
        <w:t xml:space="preserve">on a limited basis, finding </w:t>
      </w:r>
      <w:r w:rsidR="00F17EF5">
        <w:rPr>
          <w:rFonts w:ascii="Book Antiqua" w:hAnsi="Book Antiqua" w:cs="Arial"/>
        </w:rPr>
        <w:t xml:space="preserve">it arguable </w:t>
      </w:r>
      <w:r w:rsidR="007742F1">
        <w:rPr>
          <w:rFonts w:ascii="Book Antiqua" w:hAnsi="Book Antiqua" w:cs="Arial"/>
        </w:rPr>
        <w:t xml:space="preserve">the </w:t>
      </w:r>
      <w:r w:rsidR="00E1324B">
        <w:rPr>
          <w:rFonts w:ascii="Book Antiqua" w:hAnsi="Book Antiqua" w:cs="Arial"/>
        </w:rPr>
        <w:t>Judge</w:t>
      </w:r>
      <w:r w:rsidR="007742F1">
        <w:rPr>
          <w:rFonts w:ascii="Book Antiqua" w:hAnsi="Book Antiqua" w:cs="Arial"/>
        </w:rPr>
        <w:t xml:space="preserve"> </w:t>
      </w:r>
      <w:r w:rsidR="00D65BCA">
        <w:rPr>
          <w:rFonts w:ascii="Book Antiqua" w:hAnsi="Book Antiqua" w:cs="Arial"/>
        </w:rPr>
        <w:t xml:space="preserve">had arguably </w:t>
      </w:r>
      <w:r w:rsidR="0035239B">
        <w:rPr>
          <w:rFonts w:ascii="Book Antiqua" w:hAnsi="Book Antiqua" w:cs="Arial"/>
        </w:rPr>
        <w:t>erred</w:t>
      </w:r>
      <w:r w:rsidR="00B35843">
        <w:rPr>
          <w:rFonts w:ascii="Book Antiqua" w:hAnsi="Book Antiqua" w:cs="Arial"/>
        </w:rPr>
        <w:t xml:space="preserve"> in her approach to article 8 ECHR in circumstances where it had been accepted the appellant and his partner were in a genuine and subsisting relationship and that they had a child together and his partner had been granted refugee status until February 15, 2018.</w:t>
      </w:r>
    </w:p>
    <w:p w:rsidR="00D65BCA" w:rsidRPr="00D65BCA" w:rsidRDefault="00D65BCA" w:rsidP="00D65BCA">
      <w:pPr>
        <w:spacing w:before="240"/>
        <w:ind w:left="567"/>
        <w:jc w:val="both"/>
        <w:rPr>
          <w:rFonts w:ascii="Book Antiqua" w:hAnsi="Book Antiqua" w:cs="Arial"/>
        </w:rPr>
      </w:pPr>
      <w:r>
        <w:rPr>
          <w:rFonts w:ascii="Book Antiqua" w:hAnsi="Book Antiqua" w:cs="Arial"/>
          <w:b/>
          <w:u w:val="single"/>
        </w:rPr>
        <w:t>SUBMISSIONS</w:t>
      </w:r>
    </w:p>
    <w:p w:rsidR="008D648D" w:rsidRPr="008D648D" w:rsidRDefault="000A55F8" w:rsidP="00892884">
      <w:pPr>
        <w:numPr>
          <w:ilvl w:val="0"/>
          <w:numId w:val="3"/>
        </w:numPr>
        <w:spacing w:before="240"/>
        <w:jc w:val="both"/>
        <w:rPr>
          <w:rFonts w:ascii="Book Antiqua" w:hAnsi="Book Antiqua" w:cs="Arial"/>
        </w:rPr>
      </w:pPr>
      <w:r>
        <w:rPr>
          <w:rFonts w:ascii="Book Antiqua" w:hAnsi="Book Antiqua" w:cs="Arial"/>
        </w:rPr>
        <w:t xml:space="preserve">Mr Hussain submitted </w:t>
      </w:r>
      <w:r>
        <w:rPr>
          <w:rFonts w:ascii="Book Antiqua" w:hAnsi="Book Antiqua"/>
        </w:rPr>
        <w:t>the Judge did not consider the partner’s circumstances. The Judge erred when he said at para 61 that the partner would not have settled status for a few years because she was entitled to apply for settled status four weeks before the expiry of her leave</w:t>
      </w:r>
      <w:r w:rsidR="008D648D">
        <w:rPr>
          <w:rFonts w:ascii="Book Antiqua" w:hAnsi="Book Antiqua"/>
        </w:rPr>
        <w:t xml:space="preserve"> (mid-January 2018)</w:t>
      </w:r>
      <w:r>
        <w:rPr>
          <w:rFonts w:ascii="Book Antiqua" w:hAnsi="Book Antiqua"/>
        </w:rPr>
        <w:t xml:space="preserve"> and he submitted her leave </w:t>
      </w:r>
      <w:r w:rsidR="008D648D">
        <w:rPr>
          <w:rFonts w:ascii="Book Antiqua" w:hAnsi="Book Antiqua"/>
        </w:rPr>
        <w:t xml:space="preserve">was likely to have been </w:t>
      </w:r>
      <w:r>
        <w:rPr>
          <w:rFonts w:ascii="Book Antiqua" w:hAnsi="Book Antiqua"/>
        </w:rPr>
        <w:t xml:space="preserve">extended </w:t>
      </w:r>
      <w:r w:rsidR="008D648D">
        <w:rPr>
          <w:rFonts w:ascii="Book Antiqua" w:hAnsi="Book Antiqua"/>
        </w:rPr>
        <w:t>(</w:t>
      </w:r>
      <w:r>
        <w:rPr>
          <w:rFonts w:ascii="Book Antiqua" w:hAnsi="Book Antiqua"/>
        </w:rPr>
        <w:t>in fact both she and her child have now been granted indefinite leave on April 16, 2018</w:t>
      </w:r>
      <w:r w:rsidR="008D648D">
        <w:rPr>
          <w:rFonts w:ascii="Book Antiqua" w:hAnsi="Book Antiqua"/>
        </w:rPr>
        <w:t>)</w:t>
      </w:r>
      <w:r>
        <w:rPr>
          <w:rFonts w:ascii="Book Antiqua" w:hAnsi="Book Antiqua"/>
        </w:rPr>
        <w:t xml:space="preserve">. </w:t>
      </w:r>
    </w:p>
    <w:p w:rsidR="007F2507" w:rsidRPr="000A55F8" w:rsidRDefault="000A55F8" w:rsidP="00892884">
      <w:pPr>
        <w:numPr>
          <w:ilvl w:val="0"/>
          <w:numId w:val="3"/>
        </w:numPr>
        <w:spacing w:before="240"/>
        <w:jc w:val="both"/>
        <w:rPr>
          <w:rFonts w:ascii="Book Antiqua" w:hAnsi="Book Antiqua" w:cs="Arial"/>
        </w:rPr>
      </w:pPr>
      <w:r>
        <w:rPr>
          <w:rFonts w:ascii="Book Antiqua" w:hAnsi="Book Antiqua"/>
        </w:rPr>
        <w:t xml:space="preserve">The Judge also erred by suggesting the family </w:t>
      </w:r>
      <w:proofErr w:type="gramStart"/>
      <w:r w:rsidR="008D648D">
        <w:rPr>
          <w:rFonts w:ascii="Book Antiqua" w:hAnsi="Book Antiqua"/>
        </w:rPr>
        <w:t xml:space="preserve">as a whole </w:t>
      </w:r>
      <w:r>
        <w:rPr>
          <w:rFonts w:ascii="Book Antiqua" w:hAnsi="Book Antiqua"/>
        </w:rPr>
        <w:t>could</w:t>
      </w:r>
      <w:proofErr w:type="gramEnd"/>
      <w:r>
        <w:rPr>
          <w:rFonts w:ascii="Book Antiqua" w:hAnsi="Book Antiqua"/>
        </w:rPr>
        <w:t xml:space="preserve"> go and live in Ethiopia but he failed to take into account she is a refugee and has now been settled </w:t>
      </w:r>
      <w:r w:rsidR="008D648D">
        <w:rPr>
          <w:rFonts w:ascii="Book Antiqua" w:hAnsi="Book Antiqua"/>
        </w:rPr>
        <w:t xml:space="preserve">in the United Kingdom </w:t>
      </w:r>
      <w:r>
        <w:rPr>
          <w:rFonts w:ascii="Book Antiqua" w:hAnsi="Book Antiqua"/>
        </w:rPr>
        <w:t>for at least six years. At the date of the appeal hearing she was heavily pregnant with their second child (born April 2018) and there was no weight given to the fact the appellant provided support for his partner and child.</w:t>
      </w:r>
    </w:p>
    <w:p w:rsidR="008D648D" w:rsidRDefault="000A55F8" w:rsidP="00892884">
      <w:pPr>
        <w:numPr>
          <w:ilvl w:val="0"/>
          <w:numId w:val="3"/>
        </w:numPr>
        <w:spacing w:before="240"/>
        <w:jc w:val="both"/>
        <w:rPr>
          <w:rFonts w:ascii="Book Antiqua" w:hAnsi="Book Antiqua" w:cs="Arial"/>
        </w:rPr>
      </w:pPr>
      <w:r>
        <w:rPr>
          <w:rFonts w:ascii="Book Antiqua" w:hAnsi="Book Antiqua" w:cs="Arial"/>
        </w:rPr>
        <w:t xml:space="preserve">Ms </w:t>
      </w:r>
      <w:proofErr w:type="spellStart"/>
      <w:r>
        <w:rPr>
          <w:rFonts w:ascii="Book Antiqua" w:hAnsi="Book Antiqua" w:cs="Arial"/>
        </w:rPr>
        <w:t>Aboni</w:t>
      </w:r>
      <w:proofErr w:type="spellEnd"/>
      <w:r>
        <w:rPr>
          <w:rFonts w:ascii="Book Antiqua" w:hAnsi="Book Antiqua" w:cs="Arial"/>
        </w:rPr>
        <w:t xml:space="preserve"> submitted there was no error in law. The Judge had rejected the appellant’s protection claim and found that his claim to come from Eritrea lacked credibility </w:t>
      </w:r>
      <w:r w:rsidR="008D648D">
        <w:rPr>
          <w:rFonts w:ascii="Book Antiqua" w:hAnsi="Book Antiqua" w:cs="Arial"/>
        </w:rPr>
        <w:t xml:space="preserve">concluding </w:t>
      </w:r>
      <w:r>
        <w:rPr>
          <w:rFonts w:ascii="Book Antiqua" w:hAnsi="Book Antiqua" w:cs="Arial"/>
        </w:rPr>
        <w:t xml:space="preserve">the appellant was an Ethiopian national. </w:t>
      </w:r>
    </w:p>
    <w:p w:rsidR="008D648D" w:rsidRDefault="000A55F8" w:rsidP="00892884">
      <w:pPr>
        <w:numPr>
          <w:ilvl w:val="0"/>
          <w:numId w:val="3"/>
        </w:numPr>
        <w:spacing w:before="240"/>
        <w:jc w:val="both"/>
        <w:rPr>
          <w:rFonts w:ascii="Book Antiqua" w:hAnsi="Book Antiqua" w:cs="Arial"/>
        </w:rPr>
      </w:pPr>
      <w:r>
        <w:rPr>
          <w:rFonts w:ascii="Book Antiqua" w:hAnsi="Book Antiqua" w:cs="Arial"/>
        </w:rPr>
        <w:t xml:space="preserve">Having dismissed the appeal on protection and article 3 ECHR grounds the Judge </w:t>
      </w:r>
      <w:r w:rsidR="008D648D">
        <w:rPr>
          <w:rFonts w:ascii="Book Antiqua" w:hAnsi="Book Antiqua" w:cs="Arial"/>
        </w:rPr>
        <w:t xml:space="preserve">concluded </w:t>
      </w:r>
      <w:r>
        <w:rPr>
          <w:rFonts w:ascii="Book Antiqua" w:hAnsi="Book Antiqua" w:cs="Arial"/>
        </w:rPr>
        <w:t xml:space="preserve">the appellant could </w:t>
      </w:r>
      <w:r w:rsidR="008D648D">
        <w:rPr>
          <w:rFonts w:ascii="Book Antiqua" w:hAnsi="Book Antiqua" w:cs="Arial"/>
        </w:rPr>
        <w:t xml:space="preserve">not </w:t>
      </w:r>
      <w:r>
        <w:rPr>
          <w:rFonts w:ascii="Book Antiqua" w:hAnsi="Book Antiqua" w:cs="Arial"/>
        </w:rPr>
        <w:t>satisfy Appendix FM of the Immigration Rules</w:t>
      </w:r>
      <w:r w:rsidR="008D648D">
        <w:rPr>
          <w:rFonts w:ascii="Book Antiqua" w:hAnsi="Book Antiqua" w:cs="Arial"/>
        </w:rPr>
        <w:t xml:space="preserve"> but then considered the appeal </w:t>
      </w:r>
      <w:r>
        <w:rPr>
          <w:rFonts w:ascii="Book Antiqua" w:hAnsi="Book Antiqua" w:cs="Arial"/>
        </w:rPr>
        <w:t xml:space="preserve">outside of the Immigration Rules. </w:t>
      </w:r>
    </w:p>
    <w:p w:rsidR="0031014C" w:rsidRDefault="000A55F8" w:rsidP="00892884">
      <w:pPr>
        <w:numPr>
          <w:ilvl w:val="0"/>
          <w:numId w:val="3"/>
        </w:numPr>
        <w:spacing w:before="240"/>
        <w:jc w:val="both"/>
        <w:rPr>
          <w:rFonts w:ascii="Book Antiqua" w:hAnsi="Book Antiqua" w:cs="Arial"/>
        </w:rPr>
      </w:pPr>
      <w:r>
        <w:rPr>
          <w:rFonts w:ascii="Book Antiqua" w:hAnsi="Book Antiqua" w:cs="Arial"/>
        </w:rPr>
        <w:lastRenderedPageBreak/>
        <w:t xml:space="preserve">The Judge had regard to the best interests of the child and whilst the Judge may have erred regarding </w:t>
      </w:r>
      <w:r w:rsidR="0031014C">
        <w:rPr>
          <w:rFonts w:ascii="Book Antiqua" w:hAnsi="Book Antiqua" w:cs="Arial"/>
        </w:rPr>
        <w:t xml:space="preserve">how long </w:t>
      </w:r>
      <w:r>
        <w:rPr>
          <w:rFonts w:ascii="Book Antiqua" w:hAnsi="Book Antiqua" w:cs="Arial"/>
        </w:rPr>
        <w:t xml:space="preserve">the partner would have to wait </w:t>
      </w:r>
      <w:r w:rsidR="0031014C">
        <w:rPr>
          <w:rFonts w:ascii="Book Antiqua" w:hAnsi="Book Antiqua" w:cs="Arial"/>
        </w:rPr>
        <w:t xml:space="preserve">before she could apply for indefinite leave this was not material to the decision </w:t>
      </w:r>
      <w:r>
        <w:rPr>
          <w:rFonts w:ascii="Book Antiqua" w:hAnsi="Book Antiqua" w:cs="Arial"/>
        </w:rPr>
        <w:t xml:space="preserve">because instead of having to wait years for indefinite leave the </w:t>
      </w:r>
      <w:r w:rsidR="0031014C">
        <w:rPr>
          <w:rFonts w:ascii="Book Antiqua" w:hAnsi="Book Antiqua" w:cs="Arial"/>
        </w:rPr>
        <w:t xml:space="preserve">period of separation would possibly be measured only in months. </w:t>
      </w:r>
      <w:r>
        <w:rPr>
          <w:rFonts w:ascii="Book Antiqua" w:hAnsi="Book Antiqua" w:cs="Arial"/>
        </w:rPr>
        <w:t xml:space="preserve">If it was not disproportionate to require the appellant to wait a few years then it would clearly not be disproportionate if the period was considerably less. </w:t>
      </w:r>
    </w:p>
    <w:p w:rsidR="0031014C" w:rsidRDefault="000A55F8" w:rsidP="00892884">
      <w:pPr>
        <w:numPr>
          <w:ilvl w:val="0"/>
          <w:numId w:val="3"/>
        </w:numPr>
        <w:spacing w:before="240"/>
        <w:jc w:val="both"/>
        <w:rPr>
          <w:rFonts w:ascii="Book Antiqua" w:hAnsi="Book Antiqua" w:cs="Arial"/>
        </w:rPr>
      </w:pPr>
      <w:r>
        <w:rPr>
          <w:rFonts w:ascii="Book Antiqua" w:hAnsi="Book Antiqua" w:cs="Arial"/>
        </w:rPr>
        <w:t xml:space="preserve">The Judge did consider the option of the whole family going to live in Ethiopia </w:t>
      </w:r>
      <w:r w:rsidR="0031014C">
        <w:rPr>
          <w:rFonts w:ascii="Book Antiqua" w:hAnsi="Book Antiqua" w:cs="Arial"/>
        </w:rPr>
        <w:t xml:space="preserve">but </w:t>
      </w:r>
      <w:r>
        <w:rPr>
          <w:rFonts w:ascii="Book Antiqua" w:hAnsi="Book Antiqua" w:cs="Arial"/>
        </w:rPr>
        <w:t xml:space="preserve">made it clear this </w:t>
      </w:r>
      <w:r w:rsidR="0031014C">
        <w:rPr>
          <w:rFonts w:ascii="Book Antiqua" w:hAnsi="Book Antiqua" w:cs="Arial"/>
        </w:rPr>
        <w:t xml:space="preserve">would be </w:t>
      </w:r>
      <w:r>
        <w:rPr>
          <w:rFonts w:ascii="Book Antiqua" w:hAnsi="Book Antiqua" w:cs="Arial"/>
        </w:rPr>
        <w:t xml:space="preserve">a matter of choice. </w:t>
      </w:r>
    </w:p>
    <w:p w:rsidR="000A55F8" w:rsidRDefault="000A55F8" w:rsidP="00892884">
      <w:pPr>
        <w:numPr>
          <w:ilvl w:val="0"/>
          <w:numId w:val="3"/>
        </w:numPr>
        <w:spacing w:before="240"/>
        <w:jc w:val="both"/>
        <w:rPr>
          <w:rFonts w:ascii="Book Antiqua" w:hAnsi="Book Antiqua" w:cs="Arial"/>
        </w:rPr>
      </w:pPr>
      <w:r>
        <w:rPr>
          <w:rFonts w:ascii="Book Antiqua" w:hAnsi="Book Antiqua" w:cs="Arial"/>
        </w:rPr>
        <w:t xml:space="preserve">The appellant and partner had </w:t>
      </w:r>
      <w:proofErr w:type="gramStart"/>
      <w:r>
        <w:rPr>
          <w:rFonts w:ascii="Book Antiqua" w:hAnsi="Book Antiqua" w:cs="Arial"/>
        </w:rPr>
        <w:t>entered into</w:t>
      </w:r>
      <w:proofErr w:type="gramEnd"/>
      <w:r>
        <w:rPr>
          <w:rFonts w:ascii="Book Antiqua" w:hAnsi="Book Antiqua" w:cs="Arial"/>
        </w:rPr>
        <w:t xml:space="preserve"> a relationship in full knowledge that </w:t>
      </w:r>
      <w:r w:rsidR="0031014C">
        <w:rPr>
          <w:rFonts w:ascii="Book Antiqua" w:hAnsi="Book Antiqua" w:cs="Arial"/>
        </w:rPr>
        <w:t xml:space="preserve">the appellant was here unlawfully and the </w:t>
      </w:r>
      <w:r w:rsidR="001B0056">
        <w:rPr>
          <w:rFonts w:ascii="Book Antiqua" w:hAnsi="Book Antiqua" w:cs="Arial"/>
        </w:rPr>
        <w:t>Judge gave full consideration to section 117B of the 2002 Act and reached a conclusion that was open to him. The Judge had regard to the fact there was a genuine and subsisting relationship but ultimately concluded that the maintenance of immigration control where there were few, if any, positive factors under section 117B</w:t>
      </w:r>
      <w:r w:rsidR="0031014C">
        <w:rPr>
          <w:rFonts w:ascii="Book Antiqua" w:hAnsi="Book Antiqua" w:cs="Arial"/>
        </w:rPr>
        <w:t xml:space="preserve">, </w:t>
      </w:r>
      <w:r w:rsidR="001B0056">
        <w:rPr>
          <w:rFonts w:ascii="Book Antiqua" w:hAnsi="Book Antiqua" w:cs="Arial"/>
        </w:rPr>
        <w:t xml:space="preserve">outweighed the </w:t>
      </w:r>
      <w:r w:rsidR="0031014C">
        <w:rPr>
          <w:rFonts w:ascii="Book Antiqua" w:hAnsi="Book Antiqua" w:cs="Arial"/>
        </w:rPr>
        <w:t xml:space="preserve">appellant’s desire to remain here. </w:t>
      </w:r>
    </w:p>
    <w:p w:rsidR="001B0056" w:rsidRPr="007F2507" w:rsidRDefault="001B0056" w:rsidP="00892884">
      <w:pPr>
        <w:numPr>
          <w:ilvl w:val="0"/>
          <w:numId w:val="3"/>
        </w:numPr>
        <w:spacing w:before="240"/>
        <w:jc w:val="both"/>
        <w:rPr>
          <w:rFonts w:ascii="Book Antiqua" w:hAnsi="Book Antiqua" w:cs="Arial"/>
        </w:rPr>
      </w:pPr>
      <w:r>
        <w:rPr>
          <w:rFonts w:ascii="Book Antiqua" w:hAnsi="Book Antiqua" w:cs="Arial"/>
        </w:rPr>
        <w:t>Having heard submissions from both parties I reserved my decision.</w:t>
      </w:r>
    </w:p>
    <w:p w:rsidR="007F2507" w:rsidRPr="007F2507" w:rsidRDefault="007F2507" w:rsidP="007F2507">
      <w:pPr>
        <w:spacing w:before="240"/>
        <w:ind w:left="567"/>
        <w:jc w:val="both"/>
        <w:rPr>
          <w:rFonts w:ascii="Book Antiqua" w:hAnsi="Book Antiqua" w:cs="Arial"/>
          <w:b/>
          <w:u w:val="single"/>
        </w:rPr>
      </w:pPr>
      <w:r>
        <w:rPr>
          <w:rFonts w:ascii="Book Antiqua" w:hAnsi="Book Antiqua" w:cs="Arial"/>
          <w:b/>
          <w:u w:val="single"/>
        </w:rPr>
        <w:t>FINDINGS</w:t>
      </w:r>
    </w:p>
    <w:p w:rsidR="00BC6D9E" w:rsidRDefault="001B0056" w:rsidP="00892884">
      <w:pPr>
        <w:numPr>
          <w:ilvl w:val="0"/>
          <w:numId w:val="3"/>
        </w:numPr>
        <w:spacing w:before="240"/>
        <w:jc w:val="both"/>
        <w:rPr>
          <w:rFonts w:ascii="Book Antiqua" w:hAnsi="Book Antiqua" w:cs="Arial"/>
        </w:rPr>
      </w:pPr>
      <w:r>
        <w:rPr>
          <w:rFonts w:ascii="Book Antiqua" w:hAnsi="Book Antiqua" w:cs="Arial"/>
        </w:rPr>
        <w:t>The appellant had claimed to be an Eritrean national but in a detailed and well</w:t>
      </w:r>
      <w:r w:rsidR="0031014C">
        <w:rPr>
          <w:rFonts w:ascii="Book Antiqua" w:hAnsi="Book Antiqua" w:cs="Arial"/>
        </w:rPr>
        <w:t>-</w:t>
      </w:r>
      <w:r>
        <w:rPr>
          <w:rFonts w:ascii="Book Antiqua" w:hAnsi="Book Antiqua" w:cs="Arial"/>
        </w:rPr>
        <w:t xml:space="preserve">reasoned decision the Judge rejected this claim and concluded that the appellant was an Ethiopian national who had spent most of his life living in </w:t>
      </w:r>
      <w:r w:rsidR="0031014C">
        <w:rPr>
          <w:rFonts w:ascii="Book Antiqua" w:hAnsi="Book Antiqua" w:cs="Arial"/>
        </w:rPr>
        <w:t>that</w:t>
      </w:r>
      <w:r>
        <w:rPr>
          <w:rFonts w:ascii="Book Antiqua" w:hAnsi="Book Antiqua" w:cs="Arial"/>
        </w:rPr>
        <w:t xml:space="preserve"> country.</w:t>
      </w:r>
    </w:p>
    <w:p w:rsidR="001B0056" w:rsidRDefault="001B0056" w:rsidP="00892884">
      <w:pPr>
        <w:numPr>
          <w:ilvl w:val="0"/>
          <w:numId w:val="3"/>
        </w:numPr>
        <w:spacing w:before="240"/>
        <w:jc w:val="both"/>
        <w:rPr>
          <w:rFonts w:ascii="Book Antiqua" w:hAnsi="Book Antiqua" w:cs="Arial"/>
        </w:rPr>
      </w:pPr>
      <w:r>
        <w:rPr>
          <w:rFonts w:ascii="Book Antiqua" w:hAnsi="Book Antiqua" w:cs="Arial"/>
        </w:rPr>
        <w:t>Having dismissed this aspect of his appeal the Judge went on to consider whether the appellant came within Appendix FM of the Immigration Rules</w:t>
      </w:r>
      <w:r w:rsidR="0031014C">
        <w:rPr>
          <w:rFonts w:ascii="Book Antiqua" w:hAnsi="Book Antiqua" w:cs="Arial"/>
        </w:rPr>
        <w:t xml:space="preserve"> but it </w:t>
      </w:r>
      <w:r>
        <w:rPr>
          <w:rFonts w:ascii="Book Antiqua" w:hAnsi="Book Antiqua" w:cs="Arial"/>
        </w:rPr>
        <w:t xml:space="preserve">is common ground the appellant could not meet Appendix FM because </w:t>
      </w:r>
      <w:r w:rsidR="0031014C">
        <w:rPr>
          <w:rFonts w:ascii="Book Antiqua" w:hAnsi="Book Antiqua" w:cs="Arial"/>
        </w:rPr>
        <w:t xml:space="preserve">neither </w:t>
      </w:r>
      <w:r>
        <w:rPr>
          <w:rFonts w:ascii="Book Antiqua" w:hAnsi="Book Antiqua" w:cs="Arial"/>
        </w:rPr>
        <w:t xml:space="preserve">the partner </w:t>
      </w:r>
      <w:r w:rsidR="0031014C">
        <w:rPr>
          <w:rFonts w:ascii="Book Antiqua" w:hAnsi="Book Antiqua" w:cs="Arial"/>
        </w:rPr>
        <w:t xml:space="preserve">nor </w:t>
      </w:r>
      <w:r>
        <w:rPr>
          <w:rFonts w:ascii="Book Antiqua" w:hAnsi="Book Antiqua" w:cs="Arial"/>
        </w:rPr>
        <w:t xml:space="preserve">child had </w:t>
      </w:r>
      <w:r w:rsidR="0031014C">
        <w:rPr>
          <w:rFonts w:ascii="Book Antiqua" w:hAnsi="Book Antiqua" w:cs="Arial"/>
        </w:rPr>
        <w:t xml:space="preserve">settled status </w:t>
      </w:r>
      <w:r>
        <w:rPr>
          <w:rFonts w:ascii="Book Antiqua" w:hAnsi="Book Antiqua" w:cs="Arial"/>
        </w:rPr>
        <w:t xml:space="preserve">at the date of hearing. </w:t>
      </w:r>
    </w:p>
    <w:p w:rsidR="001B0056" w:rsidRDefault="001B0056" w:rsidP="00892884">
      <w:pPr>
        <w:numPr>
          <w:ilvl w:val="0"/>
          <w:numId w:val="3"/>
        </w:numPr>
        <w:spacing w:before="240"/>
        <w:jc w:val="both"/>
        <w:rPr>
          <w:rFonts w:ascii="Book Antiqua" w:hAnsi="Book Antiqua" w:cs="Arial"/>
        </w:rPr>
      </w:pPr>
      <w:r>
        <w:rPr>
          <w:rFonts w:ascii="Book Antiqua" w:hAnsi="Book Antiqua" w:cs="Arial"/>
        </w:rPr>
        <w:t xml:space="preserve">Mr Hussain submitted that the Judge had made three errors. </w:t>
      </w:r>
    </w:p>
    <w:p w:rsidR="001B0056" w:rsidRPr="0031014C" w:rsidRDefault="001B0056" w:rsidP="0031014C">
      <w:pPr>
        <w:numPr>
          <w:ilvl w:val="0"/>
          <w:numId w:val="3"/>
        </w:numPr>
        <w:spacing w:before="240"/>
        <w:jc w:val="both"/>
        <w:rPr>
          <w:rFonts w:ascii="Book Antiqua" w:hAnsi="Book Antiqua" w:cs="Arial"/>
        </w:rPr>
      </w:pPr>
      <w:r>
        <w:rPr>
          <w:rFonts w:ascii="Book Antiqua" w:hAnsi="Book Antiqua" w:cs="Arial"/>
        </w:rPr>
        <w:t xml:space="preserve">The first error was conceded by Ms </w:t>
      </w:r>
      <w:proofErr w:type="spellStart"/>
      <w:r>
        <w:rPr>
          <w:rFonts w:ascii="Book Antiqua" w:hAnsi="Book Antiqua" w:cs="Arial"/>
        </w:rPr>
        <w:t>Aboni</w:t>
      </w:r>
      <w:proofErr w:type="spellEnd"/>
      <w:r>
        <w:rPr>
          <w:rFonts w:ascii="Book Antiqua" w:hAnsi="Book Antiqua" w:cs="Arial"/>
        </w:rPr>
        <w:t xml:space="preserve"> </w:t>
      </w:r>
      <w:r w:rsidR="0031014C">
        <w:rPr>
          <w:rFonts w:ascii="Book Antiqua" w:hAnsi="Book Antiqua" w:cs="Arial"/>
        </w:rPr>
        <w:t>but</w:t>
      </w:r>
      <w:r>
        <w:rPr>
          <w:rFonts w:ascii="Book Antiqua" w:hAnsi="Book Antiqua" w:cs="Arial"/>
        </w:rPr>
        <w:t xml:space="preserve"> she submitted </w:t>
      </w:r>
      <w:r w:rsidR="0031014C">
        <w:rPr>
          <w:rFonts w:ascii="Book Antiqua" w:hAnsi="Book Antiqua" w:cs="Arial"/>
        </w:rPr>
        <w:t xml:space="preserve">the error </w:t>
      </w:r>
      <w:r>
        <w:rPr>
          <w:rFonts w:ascii="Book Antiqua" w:hAnsi="Book Antiqua" w:cs="Arial"/>
        </w:rPr>
        <w:t xml:space="preserve">was not material. The finding by the Judge in paragraph 61 </w:t>
      </w:r>
      <w:r w:rsidR="0031014C">
        <w:rPr>
          <w:rFonts w:ascii="Book Antiqua" w:hAnsi="Book Antiqua" w:cs="Arial"/>
        </w:rPr>
        <w:t xml:space="preserve">of her decision, </w:t>
      </w:r>
      <w:r>
        <w:rPr>
          <w:rFonts w:ascii="Book Antiqua" w:hAnsi="Book Antiqua" w:cs="Arial"/>
        </w:rPr>
        <w:t>that there could be a period of a few years until the partner became entitled to settled status</w:t>
      </w:r>
      <w:r w:rsidR="0031014C">
        <w:rPr>
          <w:rFonts w:ascii="Book Antiqua" w:hAnsi="Book Antiqua" w:cs="Arial"/>
        </w:rPr>
        <w:t xml:space="preserve">, </w:t>
      </w:r>
      <w:r>
        <w:rPr>
          <w:rFonts w:ascii="Book Antiqua" w:hAnsi="Book Antiqua" w:cs="Arial"/>
        </w:rPr>
        <w:t xml:space="preserve">was incorrect but having found such a delay, against the background set out in the preceding paragraphs, </w:t>
      </w:r>
      <w:r w:rsidR="0031014C">
        <w:rPr>
          <w:rFonts w:ascii="Book Antiqua" w:hAnsi="Book Antiqua" w:cs="Arial"/>
        </w:rPr>
        <w:t xml:space="preserve">the Judge found such a separation </w:t>
      </w:r>
      <w:r>
        <w:rPr>
          <w:rFonts w:ascii="Book Antiqua" w:hAnsi="Book Antiqua" w:cs="Arial"/>
        </w:rPr>
        <w:t>would not breach article 8 ECHR</w:t>
      </w:r>
      <w:r w:rsidR="0031014C">
        <w:rPr>
          <w:rFonts w:ascii="Book Antiqua" w:hAnsi="Book Antiqua" w:cs="Arial"/>
        </w:rPr>
        <w:t xml:space="preserve">. </w:t>
      </w:r>
      <w:r w:rsidRPr="0031014C">
        <w:rPr>
          <w:rFonts w:ascii="Book Antiqua" w:hAnsi="Book Antiqua" w:cs="Arial"/>
        </w:rPr>
        <w:t xml:space="preserve">I fail to see </w:t>
      </w:r>
      <w:r w:rsidR="0031014C" w:rsidRPr="0031014C">
        <w:rPr>
          <w:rFonts w:ascii="Book Antiqua" w:hAnsi="Book Antiqua" w:cs="Arial"/>
        </w:rPr>
        <w:t xml:space="preserve">how </w:t>
      </w:r>
      <w:r w:rsidRPr="0031014C">
        <w:rPr>
          <w:rFonts w:ascii="Book Antiqua" w:hAnsi="Book Antiqua" w:cs="Arial"/>
        </w:rPr>
        <w:t xml:space="preserve">a shorter separation would </w:t>
      </w:r>
      <w:r w:rsidR="0031014C" w:rsidRPr="0031014C">
        <w:rPr>
          <w:rFonts w:ascii="Book Antiqua" w:hAnsi="Book Antiqua" w:cs="Arial"/>
        </w:rPr>
        <w:t>improve the appellant’s situation in circumstances where the partner did not have settled status</w:t>
      </w:r>
      <w:r w:rsidRPr="0031014C">
        <w:rPr>
          <w:rFonts w:ascii="Book Antiqua" w:hAnsi="Book Antiqua" w:cs="Arial"/>
        </w:rPr>
        <w:t>. The Judge factored in the possibility the appellant and partner/child would have to suffer a period of separation but concluded that was not disproportionate.</w:t>
      </w:r>
      <w:r w:rsidR="0031014C" w:rsidRPr="0031014C">
        <w:rPr>
          <w:rFonts w:ascii="Book Antiqua" w:hAnsi="Book Antiqua" w:cs="Arial"/>
        </w:rPr>
        <w:t xml:space="preserve"> There is no error in this approach.</w:t>
      </w:r>
    </w:p>
    <w:p w:rsidR="001B0056" w:rsidRDefault="001B0056" w:rsidP="00892884">
      <w:pPr>
        <w:numPr>
          <w:ilvl w:val="0"/>
          <w:numId w:val="3"/>
        </w:numPr>
        <w:spacing w:before="240"/>
        <w:jc w:val="both"/>
        <w:rPr>
          <w:rFonts w:ascii="Book Antiqua" w:hAnsi="Book Antiqua" w:cs="Arial"/>
        </w:rPr>
      </w:pPr>
      <w:r>
        <w:rPr>
          <w:rFonts w:ascii="Book Antiqua" w:hAnsi="Book Antiqua" w:cs="Arial"/>
        </w:rPr>
        <w:t xml:space="preserve">The second point taken by Mr Hussain was that the Judge concluded it would be reasonable for the whole family to go and live in Ethiopia. </w:t>
      </w:r>
      <w:r w:rsidR="0031014C">
        <w:rPr>
          <w:rFonts w:ascii="Book Antiqua" w:hAnsi="Book Antiqua" w:cs="Arial"/>
        </w:rPr>
        <w:t>This was not the primary finding of the Judge. I</w:t>
      </w:r>
      <w:r>
        <w:rPr>
          <w:rFonts w:ascii="Book Antiqua" w:hAnsi="Book Antiqua" w:cs="Arial"/>
        </w:rPr>
        <w:t xml:space="preserve">t is clear from the Judge’s assessment that the Judge concluded the child could remain with the appellant’s partner </w:t>
      </w:r>
      <w:r w:rsidR="0031014C">
        <w:rPr>
          <w:rFonts w:ascii="Book Antiqua" w:hAnsi="Book Antiqua" w:cs="Arial"/>
        </w:rPr>
        <w:t xml:space="preserve">in the United Kingdom </w:t>
      </w:r>
      <w:r>
        <w:rPr>
          <w:rFonts w:ascii="Book Antiqua" w:hAnsi="Book Antiqua" w:cs="Arial"/>
        </w:rPr>
        <w:t>for as long as she had leave to remain in the United Kingdom</w:t>
      </w:r>
      <w:r w:rsidR="0031014C">
        <w:rPr>
          <w:rFonts w:ascii="Book Antiqua" w:hAnsi="Book Antiqua" w:cs="Arial"/>
        </w:rPr>
        <w:t xml:space="preserve">. The finding they could live together in Ethiopia was an alternative but not a requirement. </w:t>
      </w:r>
      <w:r>
        <w:rPr>
          <w:rFonts w:ascii="Book Antiqua" w:hAnsi="Book Antiqua" w:cs="Arial"/>
        </w:rPr>
        <w:t xml:space="preserve">The Judge did not state that was what </w:t>
      </w:r>
      <w:r w:rsidR="0031014C">
        <w:rPr>
          <w:rFonts w:ascii="Book Antiqua" w:hAnsi="Book Antiqua" w:cs="Arial"/>
        </w:rPr>
        <w:t xml:space="preserve">the partner </w:t>
      </w:r>
      <w:r>
        <w:rPr>
          <w:rFonts w:ascii="Book Antiqua" w:hAnsi="Book Antiqua" w:cs="Arial"/>
        </w:rPr>
        <w:t xml:space="preserve">would have to do but </w:t>
      </w:r>
      <w:r w:rsidR="0031014C">
        <w:rPr>
          <w:rFonts w:ascii="Book Antiqua" w:hAnsi="Book Antiqua" w:cs="Arial"/>
        </w:rPr>
        <w:t xml:space="preserve">she </w:t>
      </w:r>
      <w:r>
        <w:rPr>
          <w:rFonts w:ascii="Book Antiqua" w:hAnsi="Book Antiqua" w:cs="Arial"/>
        </w:rPr>
        <w:t xml:space="preserve">was obliged to consider it as an option </w:t>
      </w:r>
      <w:proofErr w:type="gramStart"/>
      <w:r>
        <w:rPr>
          <w:rFonts w:ascii="Book Antiqua" w:hAnsi="Book Antiqua" w:cs="Arial"/>
        </w:rPr>
        <w:t>in light of</w:t>
      </w:r>
      <w:proofErr w:type="gramEnd"/>
      <w:r>
        <w:rPr>
          <w:rFonts w:ascii="Book Antiqua" w:hAnsi="Book Antiqua" w:cs="Arial"/>
        </w:rPr>
        <w:t xml:space="preserve"> the partner</w:t>
      </w:r>
      <w:r w:rsidR="0031014C">
        <w:rPr>
          <w:rFonts w:ascii="Book Antiqua" w:hAnsi="Book Antiqua" w:cs="Arial"/>
        </w:rPr>
        <w:t>’</w:t>
      </w:r>
      <w:r>
        <w:rPr>
          <w:rFonts w:ascii="Book Antiqua" w:hAnsi="Book Antiqua" w:cs="Arial"/>
        </w:rPr>
        <w:t xml:space="preserve">s limited status at the date of Hearing. </w:t>
      </w:r>
      <w:r w:rsidR="008D648D">
        <w:rPr>
          <w:rFonts w:ascii="Book Antiqua" w:hAnsi="Book Antiqua" w:cs="Arial"/>
        </w:rPr>
        <w:t xml:space="preserve">Linked to this submission was the fact that she was a refugee but as Ms </w:t>
      </w:r>
      <w:proofErr w:type="spellStart"/>
      <w:r w:rsidR="008D648D">
        <w:rPr>
          <w:rFonts w:ascii="Book Antiqua" w:hAnsi="Book Antiqua" w:cs="Arial"/>
        </w:rPr>
        <w:t>Aboni</w:t>
      </w:r>
      <w:proofErr w:type="spellEnd"/>
      <w:r w:rsidR="008D648D">
        <w:rPr>
          <w:rFonts w:ascii="Book Antiqua" w:hAnsi="Book Antiqua" w:cs="Arial"/>
        </w:rPr>
        <w:t xml:space="preserve"> properly pointed out </w:t>
      </w:r>
      <w:r w:rsidR="0031014C">
        <w:rPr>
          <w:rFonts w:ascii="Book Antiqua" w:hAnsi="Book Antiqua" w:cs="Arial"/>
        </w:rPr>
        <w:t xml:space="preserve">the partner had not fled from </w:t>
      </w:r>
      <w:r w:rsidR="008D648D">
        <w:rPr>
          <w:rFonts w:ascii="Book Antiqua" w:hAnsi="Book Antiqua" w:cs="Arial"/>
        </w:rPr>
        <w:t xml:space="preserve">Ethiopia but was </w:t>
      </w:r>
      <w:r w:rsidR="0031014C">
        <w:rPr>
          <w:rFonts w:ascii="Book Antiqua" w:hAnsi="Book Antiqua" w:cs="Arial"/>
        </w:rPr>
        <w:t xml:space="preserve">someone </w:t>
      </w:r>
      <w:r w:rsidR="008D648D">
        <w:rPr>
          <w:rFonts w:ascii="Book Antiqua" w:hAnsi="Book Antiqua" w:cs="Arial"/>
        </w:rPr>
        <w:t>who had fled Eritrea. The fact she had been residing in this country for at least six years was a factor the Judge had regard to.</w:t>
      </w:r>
    </w:p>
    <w:p w:rsidR="0031014C" w:rsidRDefault="001B0056" w:rsidP="00892884">
      <w:pPr>
        <w:numPr>
          <w:ilvl w:val="0"/>
          <w:numId w:val="3"/>
        </w:numPr>
        <w:spacing w:before="240"/>
        <w:jc w:val="both"/>
        <w:rPr>
          <w:rFonts w:ascii="Book Antiqua" w:hAnsi="Book Antiqua" w:cs="Arial"/>
        </w:rPr>
      </w:pPr>
      <w:r>
        <w:rPr>
          <w:rFonts w:ascii="Book Antiqua" w:hAnsi="Book Antiqua" w:cs="Arial"/>
        </w:rPr>
        <w:t>The final point raised by Mr Hussain</w:t>
      </w:r>
      <w:r w:rsidR="008D648D">
        <w:rPr>
          <w:rFonts w:ascii="Book Antiqua" w:hAnsi="Book Antiqua" w:cs="Arial"/>
        </w:rPr>
        <w:t xml:space="preserve"> was that the Judge failed to give weight to the support the appellant gave his partner especially bearing in mind she was heavily pregnant at the date of Hearing. The Judge</w:t>
      </w:r>
      <w:r w:rsidR="0031014C">
        <w:rPr>
          <w:rFonts w:ascii="Book Antiqua" w:hAnsi="Book Antiqua" w:cs="Arial"/>
        </w:rPr>
        <w:t>’</w:t>
      </w:r>
      <w:r w:rsidR="008D648D">
        <w:rPr>
          <w:rFonts w:ascii="Book Antiqua" w:hAnsi="Book Antiqua" w:cs="Arial"/>
        </w:rPr>
        <w:t>s assessment under article 8 ECHR commence</w:t>
      </w:r>
      <w:r w:rsidR="0031014C">
        <w:rPr>
          <w:rFonts w:ascii="Book Antiqua" w:hAnsi="Book Antiqua" w:cs="Arial"/>
        </w:rPr>
        <w:t>d</w:t>
      </w:r>
      <w:r w:rsidR="008D648D">
        <w:rPr>
          <w:rFonts w:ascii="Book Antiqua" w:hAnsi="Book Antiqua" w:cs="Arial"/>
        </w:rPr>
        <w:t xml:space="preserve"> at paragraph 46 and I am satisfied that the Judge did have regard to all factors</w:t>
      </w:r>
      <w:r w:rsidR="0031014C">
        <w:rPr>
          <w:rFonts w:ascii="Book Antiqua" w:hAnsi="Book Antiqua" w:cs="Arial"/>
        </w:rPr>
        <w:t>. F</w:t>
      </w:r>
      <w:r w:rsidR="008D648D">
        <w:rPr>
          <w:rFonts w:ascii="Book Antiqua" w:hAnsi="Book Antiqua" w:cs="Arial"/>
        </w:rPr>
        <w:t xml:space="preserve">rom paragraph 59 onwards the Judge considered section 117B of the 2002 Act. None of the findings under this section can be criticised. </w:t>
      </w:r>
    </w:p>
    <w:p w:rsidR="001B0056" w:rsidRDefault="008D648D" w:rsidP="00892884">
      <w:pPr>
        <w:numPr>
          <w:ilvl w:val="0"/>
          <w:numId w:val="3"/>
        </w:numPr>
        <w:spacing w:before="240"/>
        <w:jc w:val="both"/>
        <w:rPr>
          <w:rFonts w:ascii="Book Antiqua" w:hAnsi="Book Antiqua" w:cs="Arial"/>
        </w:rPr>
      </w:pPr>
      <w:r>
        <w:rPr>
          <w:rFonts w:ascii="Book Antiqua" w:hAnsi="Book Antiqua" w:cs="Arial"/>
        </w:rPr>
        <w:t>Importantly, the Immigration Rules were not met and the relationship had been formed whilst the appellant was here unlawfully</w:t>
      </w:r>
      <w:r w:rsidR="0031014C">
        <w:rPr>
          <w:rFonts w:ascii="Book Antiqua" w:hAnsi="Book Antiqua" w:cs="Arial"/>
        </w:rPr>
        <w:t xml:space="preserve"> and g</w:t>
      </w:r>
      <w:r>
        <w:rPr>
          <w:rFonts w:ascii="Book Antiqua" w:hAnsi="Book Antiqua" w:cs="Arial"/>
        </w:rPr>
        <w:t>iven the status of the partner and child</w:t>
      </w:r>
      <w:r w:rsidR="0031014C">
        <w:rPr>
          <w:rFonts w:ascii="Book Antiqua" w:hAnsi="Book Antiqua" w:cs="Arial"/>
        </w:rPr>
        <w:t xml:space="preserve">, at the date of the Hearing, </w:t>
      </w:r>
      <w:r>
        <w:rPr>
          <w:rFonts w:ascii="Book Antiqua" w:hAnsi="Book Antiqua" w:cs="Arial"/>
        </w:rPr>
        <w:t>I am satisfied that the Judge’s conclusions were open to her.</w:t>
      </w:r>
    </w:p>
    <w:p w:rsidR="008D648D" w:rsidRPr="0031014C" w:rsidRDefault="008D648D" w:rsidP="00F85AEE">
      <w:pPr>
        <w:numPr>
          <w:ilvl w:val="0"/>
          <w:numId w:val="3"/>
        </w:numPr>
        <w:spacing w:before="240"/>
        <w:jc w:val="both"/>
        <w:rPr>
          <w:rFonts w:ascii="Book Antiqua" w:hAnsi="Book Antiqua" w:cs="Arial"/>
        </w:rPr>
      </w:pPr>
      <w:r w:rsidRPr="0031014C">
        <w:rPr>
          <w:rFonts w:ascii="Book Antiqua" w:hAnsi="Book Antiqua" w:cs="Arial"/>
        </w:rPr>
        <w:t xml:space="preserve">In reaching this decision I have attached no weight to the fact that the appellant’s partner now has indefinite leave to remain </w:t>
      </w:r>
      <w:r w:rsidR="0031014C" w:rsidRPr="0031014C">
        <w:rPr>
          <w:rFonts w:ascii="Book Antiqua" w:hAnsi="Book Antiqua" w:cs="Arial"/>
        </w:rPr>
        <w:t>or</w:t>
      </w:r>
      <w:r w:rsidRPr="0031014C">
        <w:rPr>
          <w:rFonts w:ascii="Book Antiqua" w:hAnsi="Book Antiqua" w:cs="Arial"/>
        </w:rPr>
        <w:t xml:space="preserve"> that she has given birth to a second child is neither fact was before the original Judge.</w:t>
      </w:r>
      <w:r w:rsidR="0031014C" w:rsidRPr="0031014C">
        <w:rPr>
          <w:rFonts w:ascii="Book Antiqua" w:hAnsi="Book Antiqua" w:cs="Arial"/>
        </w:rPr>
        <w:t xml:space="preserve"> </w:t>
      </w:r>
      <w:r w:rsidRPr="0031014C">
        <w:rPr>
          <w:rFonts w:ascii="Book Antiqua" w:hAnsi="Book Antiqua" w:cs="Arial"/>
        </w:rPr>
        <w:t>In the circumstances, I do not find there has been any error in law.</w:t>
      </w:r>
    </w:p>
    <w:p w:rsidR="009C37C7" w:rsidRPr="009C37C7" w:rsidRDefault="009C37C7" w:rsidP="009C37C7">
      <w:pPr>
        <w:spacing w:before="240"/>
        <w:ind w:left="567"/>
        <w:jc w:val="both"/>
        <w:rPr>
          <w:rFonts w:ascii="Book Antiqua" w:hAnsi="Book Antiqua" w:cs="Arial"/>
          <w:b/>
          <w:u w:val="single"/>
        </w:rPr>
      </w:pPr>
      <w:r w:rsidRPr="009C37C7">
        <w:rPr>
          <w:rFonts w:ascii="Book Antiqua" w:hAnsi="Book Antiqua" w:cs="Arial"/>
          <w:b/>
          <w:u w:val="single"/>
        </w:rPr>
        <w:t xml:space="preserve">DECISION </w:t>
      </w:r>
    </w:p>
    <w:p w:rsidR="00845317" w:rsidRDefault="00BC6D9E" w:rsidP="00911478">
      <w:pPr>
        <w:numPr>
          <w:ilvl w:val="0"/>
          <w:numId w:val="3"/>
        </w:numPr>
        <w:spacing w:before="240"/>
        <w:jc w:val="both"/>
        <w:rPr>
          <w:rFonts w:ascii="Book Antiqua" w:hAnsi="Book Antiqua" w:cs="Arial"/>
        </w:rPr>
      </w:pPr>
      <w:r>
        <w:rPr>
          <w:rFonts w:ascii="Book Antiqua" w:hAnsi="Book Antiqua" w:cs="Arial"/>
        </w:rPr>
        <w:t xml:space="preserve">There is no error in law and the original decision shall stand. </w:t>
      </w:r>
    </w:p>
    <w:p w:rsidR="00864126" w:rsidRDefault="00864126" w:rsidP="000369F5">
      <w:pPr>
        <w:tabs>
          <w:tab w:val="left" w:pos="2520"/>
        </w:tabs>
        <w:jc w:val="both"/>
        <w:rPr>
          <w:rFonts w:ascii="Book Antiqua" w:hAnsi="Book Antiqua" w:cs="Arial"/>
        </w:rPr>
      </w:pPr>
    </w:p>
    <w:p w:rsidR="00864126" w:rsidRPr="00F5664C" w:rsidRDefault="00864126" w:rsidP="00864126">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502F93">
        <w:rPr>
          <w:rFonts w:ascii="Book Antiqua" w:hAnsi="Book Antiqua" w:cs="Arial"/>
        </w:rPr>
        <w:tab/>
      </w:r>
      <w:r w:rsidR="00C65368">
        <w:rPr>
          <w:rFonts w:ascii="Book Antiqua" w:hAnsi="Book Antiqua" w:cs="Arial"/>
        </w:rPr>
        <w:t>03</w:t>
      </w:r>
      <w:r w:rsidR="00941D3B">
        <w:rPr>
          <w:rFonts w:ascii="Book Antiqua" w:hAnsi="Book Antiqua" w:cs="Arial"/>
        </w:rPr>
        <w:t>/</w:t>
      </w:r>
      <w:r w:rsidR="00C65368">
        <w:rPr>
          <w:rFonts w:ascii="Book Antiqua" w:hAnsi="Book Antiqua" w:cs="Arial"/>
        </w:rPr>
        <w:t>07</w:t>
      </w:r>
      <w:r w:rsidR="00941D3B">
        <w:rPr>
          <w:rFonts w:ascii="Book Antiqua" w:hAnsi="Book Antiqua" w:cs="Arial"/>
        </w:rPr>
        <w:t>/2018</w:t>
      </w:r>
    </w:p>
    <w:p w:rsidR="00F90160" w:rsidRDefault="00F90160" w:rsidP="00864126">
      <w:pPr>
        <w:tabs>
          <w:tab w:val="left" w:pos="2520"/>
        </w:tabs>
        <w:jc w:val="both"/>
        <w:rPr>
          <w:rFonts w:ascii="Book Antiqua" w:hAnsi="Book Antiqua" w:cs="Arial"/>
        </w:rPr>
      </w:pPr>
    </w:p>
    <w:p w:rsidR="00F90160" w:rsidRDefault="00BF2E2F" w:rsidP="00864126">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8225" cy="571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rsidR="00864126" w:rsidRDefault="00864126" w:rsidP="000369F5">
      <w:pPr>
        <w:tabs>
          <w:tab w:val="left" w:pos="2520"/>
        </w:tabs>
        <w:jc w:val="both"/>
        <w:rPr>
          <w:rFonts w:ascii="Book Antiqua" w:hAnsi="Book Antiqua" w:cs="Arial"/>
        </w:rPr>
      </w:pPr>
      <w:r>
        <w:rPr>
          <w:rFonts w:ascii="Book Antiqua" w:hAnsi="Book Antiqua" w:cs="Arial"/>
        </w:rPr>
        <w:t xml:space="preserve">Deputy Upper </w:t>
      </w:r>
      <w:r w:rsidR="00C156C3">
        <w:rPr>
          <w:rFonts w:ascii="Book Antiqua" w:hAnsi="Book Antiqua" w:cs="Arial"/>
        </w:rPr>
        <w:t>Tribunal</w:t>
      </w:r>
      <w:r>
        <w:rPr>
          <w:rFonts w:ascii="Book Antiqua" w:hAnsi="Book Antiqua" w:cs="Arial"/>
        </w:rPr>
        <w:t xml:space="preserve"> </w:t>
      </w:r>
      <w:r w:rsidR="00E1324B">
        <w:rPr>
          <w:rFonts w:ascii="Book Antiqua" w:hAnsi="Book Antiqua" w:cs="Arial"/>
        </w:rPr>
        <w:t>Judge</w:t>
      </w:r>
      <w:r w:rsidRPr="00F5664C">
        <w:rPr>
          <w:rFonts w:ascii="Book Antiqua" w:hAnsi="Book Antiqua" w:cs="Arial"/>
        </w:rPr>
        <w:t xml:space="preserve"> </w:t>
      </w:r>
      <w:r w:rsidR="00376F8F">
        <w:rPr>
          <w:rFonts w:ascii="Book Antiqua" w:hAnsi="Book Antiqua" w:cs="Arial"/>
        </w:rPr>
        <w:t>Alis</w:t>
      </w:r>
    </w:p>
    <w:p w:rsidR="00BC6D9E" w:rsidRDefault="00BC6D9E" w:rsidP="000369F5">
      <w:pPr>
        <w:tabs>
          <w:tab w:val="left" w:pos="2520"/>
        </w:tabs>
        <w:jc w:val="both"/>
        <w:rPr>
          <w:rFonts w:ascii="Book Antiqua" w:hAnsi="Book Antiqua" w:cs="Arial"/>
        </w:rPr>
      </w:pPr>
    </w:p>
    <w:p w:rsidR="0031014C" w:rsidRDefault="0031014C" w:rsidP="000369F5">
      <w:pPr>
        <w:tabs>
          <w:tab w:val="left" w:pos="2520"/>
        </w:tabs>
        <w:jc w:val="both"/>
        <w:rPr>
          <w:rFonts w:ascii="Book Antiqua" w:hAnsi="Book Antiqua" w:cs="Arial"/>
          <w:b/>
          <w:u w:val="single"/>
        </w:rPr>
      </w:pPr>
    </w:p>
    <w:p w:rsidR="0031014C" w:rsidRDefault="0031014C" w:rsidP="000369F5">
      <w:pPr>
        <w:tabs>
          <w:tab w:val="left" w:pos="2520"/>
        </w:tabs>
        <w:jc w:val="both"/>
        <w:rPr>
          <w:rFonts w:ascii="Book Antiqua" w:hAnsi="Book Antiqua" w:cs="Arial"/>
          <w:b/>
          <w:u w:val="single"/>
        </w:rPr>
      </w:pPr>
    </w:p>
    <w:p w:rsidR="0031014C" w:rsidRDefault="0031014C" w:rsidP="000369F5">
      <w:pPr>
        <w:tabs>
          <w:tab w:val="left" w:pos="2520"/>
        </w:tabs>
        <w:jc w:val="both"/>
        <w:rPr>
          <w:rFonts w:ascii="Book Antiqua" w:hAnsi="Book Antiqua" w:cs="Arial"/>
          <w:b/>
          <w:u w:val="single"/>
        </w:rPr>
      </w:pPr>
    </w:p>
    <w:p w:rsidR="00BC6D9E" w:rsidRDefault="00BC6D9E" w:rsidP="000369F5">
      <w:pPr>
        <w:tabs>
          <w:tab w:val="left" w:pos="2520"/>
        </w:tabs>
        <w:jc w:val="both"/>
        <w:rPr>
          <w:rFonts w:ascii="Book Antiqua" w:hAnsi="Book Antiqua" w:cs="Arial"/>
          <w:b/>
          <w:u w:val="single"/>
        </w:rPr>
      </w:pPr>
      <w:r>
        <w:rPr>
          <w:rFonts w:ascii="Book Antiqua" w:hAnsi="Book Antiqua" w:cs="Arial"/>
          <w:b/>
          <w:u w:val="single"/>
        </w:rPr>
        <w:t>TO THE RESPONDENT</w:t>
      </w:r>
    </w:p>
    <w:p w:rsidR="00BC6D9E" w:rsidRDefault="00BC6D9E" w:rsidP="000369F5">
      <w:pPr>
        <w:tabs>
          <w:tab w:val="left" w:pos="2520"/>
        </w:tabs>
        <w:jc w:val="both"/>
        <w:rPr>
          <w:rFonts w:ascii="Book Antiqua" w:hAnsi="Book Antiqua" w:cs="Arial"/>
        </w:rPr>
      </w:pPr>
      <w:r>
        <w:rPr>
          <w:rFonts w:ascii="Book Antiqua" w:hAnsi="Book Antiqua" w:cs="Arial"/>
          <w:b/>
          <w:u w:val="single"/>
        </w:rPr>
        <w:t>FEE AWARD</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r>
        <w:rPr>
          <w:rFonts w:ascii="Book Antiqua" w:hAnsi="Book Antiqua" w:cs="Arial"/>
        </w:rPr>
        <w:t xml:space="preserve">I make no fee award as I </w:t>
      </w:r>
      <w:r w:rsidR="0031014C">
        <w:rPr>
          <w:rFonts w:ascii="Book Antiqua" w:hAnsi="Book Antiqua" w:cs="Arial"/>
        </w:rPr>
        <w:t>have upheld the decision</w:t>
      </w:r>
      <w:r>
        <w:rPr>
          <w:rFonts w:ascii="Book Antiqua" w:hAnsi="Book Antiqua" w:cs="Arial"/>
        </w:rPr>
        <w:t>.</w:t>
      </w:r>
    </w:p>
    <w:p w:rsidR="00BC6D9E" w:rsidRDefault="00BC6D9E" w:rsidP="000369F5">
      <w:pPr>
        <w:tabs>
          <w:tab w:val="left" w:pos="2520"/>
        </w:tabs>
        <w:jc w:val="both"/>
        <w:rPr>
          <w:rFonts w:ascii="Book Antiqua" w:hAnsi="Book Antiqua" w:cs="Arial"/>
        </w:rPr>
      </w:pPr>
    </w:p>
    <w:p w:rsidR="00BC6D9E" w:rsidRDefault="00BC6D9E" w:rsidP="000369F5">
      <w:pPr>
        <w:tabs>
          <w:tab w:val="left" w:pos="2520"/>
        </w:tabs>
        <w:jc w:val="both"/>
        <w:rPr>
          <w:rFonts w:ascii="Book Antiqua" w:hAnsi="Book Antiqua" w:cs="Arial"/>
        </w:rPr>
      </w:pPr>
    </w:p>
    <w:p w:rsidR="00BC6D9E" w:rsidRPr="00F5664C" w:rsidRDefault="00BC6D9E" w:rsidP="00BC6D9E">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ab/>
      </w:r>
      <w:r w:rsidR="00C65368">
        <w:rPr>
          <w:rFonts w:ascii="Book Antiqua" w:hAnsi="Book Antiqua" w:cs="Arial"/>
        </w:rPr>
        <w:t>03</w:t>
      </w:r>
      <w:r>
        <w:rPr>
          <w:rFonts w:ascii="Book Antiqua" w:hAnsi="Book Antiqua" w:cs="Arial"/>
        </w:rPr>
        <w:t>/</w:t>
      </w:r>
      <w:r w:rsidR="00C65368">
        <w:rPr>
          <w:rFonts w:ascii="Book Antiqua" w:hAnsi="Book Antiqua" w:cs="Arial"/>
        </w:rPr>
        <w:t>07</w:t>
      </w:r>
      <w:r>
        <w:rPr>
          <w:rFonts w:ascii="Book Antiqua" w:hAnsi="Book Antiqua" w:cs="Arial"/>
        </w:rPr>
        <w:t>/2018</w:t>
      </w:r>
    </w:p>
    <w:p w:rsidR="00BC6D9E" w:rsidRDefault="00BC6D9E" w:rsidP="00BC6D9E">
      <w:pPr>
        <w:tabs>
          <w:tab w:val="left" w:pos="2520"/>
        </w:tabs>
        <w:jc w:val="both"/>
        <w:rPr>
          <w:rFonts w:ascii="Book Antiqua" w:hAnsi="Book Antiqua" w:cs="Arial"/>
        </w:rPr>
      </w:pPr>
    </w:p>
    <w:p w:rsidR="00BC6D9E" w:rsidRDefault="00BF2E2F" w:rsidP="00BC6D9E">
      <w:pPr>
        <w:tabs>
          <w:tab w:val="left" w:pos="2520"/>
        </w:tabs>
        <w:jc w:val="both"/>
        <w:rPr>
          <w:rFonts w:ascii="Book Antiqua" w:hAnsi="Book Antiqua" w:cs="Arial"/>
        </w:rPr>
      </w:pPr>
      <w:r w:rsidRPr="004C05FD">
        <w:rPr>
          <w:rFonts w:ascii="Book Antiqua" w:hAnsi="Book Antiqua"/>
          <w:noProof/>
          <w:color w:val="000000"/>
          <w:sz w:val="22"/>
          <w:szCs w:val="22"/>
        </w:rPr>
        <w:drawing>
          <wp:inline distT="0" distB="0" distL="0" distR="0">
            <wp:extent cx="1038225" cy="5715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38225" cy="571500"/>
                    </a:xfrm>
                    <a:prstGeom prst="rect">
                      <a:avLst/>
                    </a:prstGeom>
                    <a:noFill/>
                    <a:ln>
                      <a:noFill/>
                    </a:ln>
                  </pic:spPr>
                </pic:pic>
              </a:graphicData>
            </a:graphic>
          </wp:inline>
        </w:drawing>
      </w:r>
    </w:p>
    <w:p w:rsidR="00BC6D9E" w:rsidRPr="00BC6D9E" w:rsidRDefault="00BC6D9E" w:rsidP="00BC6D9E">
      <w:pPr>
        <w:tabs>
          <w:tab w:val="left" w:pos="2520"/>
        </w:tabs>
        <w:jc w:val="both"/>
        <w:rPr>
          <w:rFonts w:ascii="Book Antiqua" w:hAnsi="Book Antiqua" w:cs="Arial"/>
        </w:rPr>
      </w:pPr>
      <w:r>
        <w:rPr>
          <w:rFonts w:ascii="Book Antiqua" w:hAnsi="Book Antiqua" w:cs="Arial"/>
        </w:rPr>
        <w:t>Deputy Upper Tribunal Judge</w:t>
      </w:r>
      <w:r w:rsidRPr="00F5664C">
        <w:rPr>
          <w:rFonts w:ascii="Book Antiqua" w:hAnsi="Book Antiqua" w:cs="Arial"/>
        </w:rPr>
        <w:t xml:space="preserve"> </w:t>
      </w:r>
      <w:r>
        <w:rPr>
          <w:rFonts w:ascii="Book Antiqua" w:hAnsi="Book Antiqua" w:cs="Arial"/>
        </w:rPr>
        <w:t>Alis</w:t>
      </w:r>
    </w:p>
    <w:sectPr w:rsidR="00BC6D9E" w:rsidRPr="00BC6D9E" w:rsidSect="007145A2">
      <w:headerReference w:type="default" r:id="rId10"/>
      <w:footerReference w:type="default" r:id="rId11"/>
      <w:headerReference w:type="first" r:id="rId12"/>
      <w:footerReference w:type="first" r:id="rId13"/>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5AEE" w:rsidRDefault="00F85AEE">
      <w:r>
        <w:separator/>
      </w:r>
    </w:p>
  </w:endnote>
  <w:endnote w:type="continuationSeparator" w:id="0">
    <w:p w:rsidR="00F85AEE" w:rsidRDefault="00F85A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7145A2" w:rsidRDefault="00941D3B" w:rsidP="00593795">
    <w:pPr>
      <w:pStyle w:val="Footer"/>
      <w:jc w:val="center"/>
      <w:rPr>
        <w:rFonts w:ascii="Book Antiqua" w:hAnsi="Book Antiqua" w:cs="Arial"/>
      </w:rPr>
    </w:pPr>
    <w:r w:rsidRPr="007145A2">
      <w:rPr>
        <w:rStyle w:val="PageNumber"/>
        <w:rFonts w:ascii="Book Antiqua" w:hAnsi="Book Antiqua" w:cs="Arial"/>
      </w:rPr>
      <w:fldChar w:fldCharType="begin"/>
    </w:r>
    <w:r w:rsidRPr="007145A2">
      <w:rPr>
        <w:rStyle w:val="PageNumber"/>
        <w:rFonts w:ascii="Book Antiqua" w:hAnsi="Book Antiqua" w:cs="Arial"/>
      </w:rPr>
      <w:instrText xml:space="preserve"> PAGE </w:instrText>
    </w:r>
    <w:r w:rsidRPr="007145A2">
      <w:rPr>
        <w:rStyle w:val="PageNumber"/>
        <w:rFonts w:ascii="Book Antiqua" w:hAnsi="Book Antiqua" w:cs="Arial"/>
      </w:rPr>
      <w:fldChar w:fldCharType="separate"/>
    </w:r>
    <w:r w:rsidR="00610757">
      <w:rPr>
        <w:rStyle w:val="PageNumber"/>
        <w:rFonts w:ascii="Book Antiqua" w:hAnsi="Book Antiqua" w:cs="Arial"/>
        <w:noProof/>
      </w:rPr>
      <w:t>4</w:t>
    </w:r>
    <w:r w:rsidRPr="007145A2">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5AEE" w:rsidRDefault="00F85AEE">
      <w:r>
        <w:separator/>
      </w:r>
    </w:p>
  </w:footnote>
  <w:footnote w:type="continuationSeparator" w:id="0">
    <w:p w:rsidR="00F85AEE" w:rsidRDefault="00F85A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Default="00941D3B"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Pr>
        <w:rFonts w:ascii="Book Antiqua" w:hAnsi="Book Antiqua" w:cs="Arial"/>
        <w:sz w:val="16"/>
        <w:szCs w:val="16"/>
      </w:rPr>
      <w:t>PA</w:t>
    </w:r>
    <w:r w:rsidRPr="00D97AF0">
      <w:rPr>
        <w:rFonts w:ascii="Book Antiqua" w:hAnsi="Book Antiqua" w:cs="Arial"/>
        <w:sz w:val="16"/>
        <w:szCs w:val="16"/>
      </w:rPr>
      <w:t>/</w:t>
    </w:r>
    <w:r w:rsidR="00C20D7B">
      <w:rPr>
        <w:rFonts w:ascii="Book Antiqua" w:hAnsi="Book Antiqua" w:cs="Arial"/>
        <w:sz w:val="16"/>
        <w:szCs w:val="16"/>
      </w:rPr>
      <w:t>12255</w:t>
    </w:r>
    <w:r>
      <w:rPr>
        <w:rFonts w:ascii="Book Antiqua" w:hAnsi="Book Antiqua" w:cs="Arial"/>
        <w:sz w:val="16"/>
        <w:szCs w:val="16"/>
      </w:rPr>
      <w:t>/201</w:t>
    </w:r>
    <w:r w:rsidR="00E246FD">
      <w:rPr>
        <w:rFonts w:ascii="Book Antiqua" w:hAnsi="Book Antiqua" w:cs="Arial"/>
        <w:sz w:val="16"/>
        <w:szCs w:val="16"/>
      </w:rPr>
      <w:t>7</w:t>
    </w:r>
  </w:p>
  <w:p w:rsidR="007145A2" w:rsidRPr="00D97AF0" w:rsidRDefault="007145A2"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D3B" w:rsidRPr="00F5664C" w:rsidRDefault="00941D3B">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D4962E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89D01D5"/>
    <w:multiLevelType w:val="hybridMultilevel"/>
    <w:tmpl w:val="776857A4"/>
    <w:lvl w:ilvl="0" w:tplc="B9EE77DA">
      <w:start w:val="1"/>
      <w:numFmt w:val="decimal"/>
      <w:lvlText w:val="%1."/>
      <w:lvlJc w:val="left"/>
      <w:pPr>
        <w:ind w:left="920" w:hanging="5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3292343"/>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88C63B3"/>
    <w:multiLevelType w:val="multilevel"/>
    <w:tmpl w:val="E1422E2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2"/>
  </w:num>
  <w:num w:numId="4">
    <w:abstractNumId w:val="11"/>
  </w:num>
  <w:num w:numId="5">
    <w:abstractNumId w:val="20"/>
  </w:num>
  <w:num w:numId="6">
    <w:abstractNumId w:val="12"/>
  </w:num>
  <w:num w:numId="7">
    <w:abstractNumId w:val="19"/>
  </w:num>
  <w:num w:numId="8">
    <w:abstractNumId w:val="8"/>
  </w:num>
  <w:num w:numId="9">
    <w:abstractNumId w:val="7"/>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9"/>
  </w:num>
  <w:num w:numId="19">
    <w:abstractNumId w:val="10"/>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C94"/>
    <w:rsid w:val="00000412"/>
    <w:rsid w:val="00000621"/>
    <w:rsid w:val="000008B1"/>
    <w:rsid w:val="00002241"/>
    <w:rsid w:val="000036C2"/>
    <w:rsid w:val="0000577C"/>
    <w:rsid w:val="00033D3D"/>
    <w:rsid w:val="000369F5"/>
    <w:rsid w:val="00060A81"/>
    <w:rsid w:val="00071A7E"/>
    <w:rsid w:val="000746C0"/>
    <w:rsid w:val="00074D1D"/>
    <w:rsid w:val="00080FDA"/>
    <w:rsid w:val="00087037"/>
    <w:rsid w:val="00087B4B"/>
    <w:rsid w:val="00092580"/>
    <w:rsid w:val="00095513"/>
    <w:rsid w:val="000A32A2"/>
    <w:rsid w:val="000A55F8"/>
    <w:rsid w:val="000D5D94"/>
    <w:rsid w:val="000E483B"/>
    <w:rsid w:val="000E79C1"/>
    <w:rsid w:val="000F1FBC"/>
    <w:rsid w:val="001165A7"/>
    <w:rsid w:val="00132F1C"/>
    <w:rsid w:val="00151BB7"/>
    <w:rsid w:val="00167D3A"/>
    <w:rsid w:val="001A1E2C"/>
    <w:rsid w:val="001A2421"/>
    <w:rsid w:val="001B0056"/>
    <w:rsid w:val="001B67F3"/>
    <w:rsid w:val="001C1452"/>
    <w:rsid w:val="001E12F7"/>
    <w:rsid w:val="001F2716"/>
    <w:rsid w:val="001F4C3C"/>
    <w:rsid w:val="0020133A"/>
    <w:rsid w:val="00203454"/>
    <w:rsid w:val="00207617"/>
    <w:rsid w:val="00283659"/>
    <w:rsid w:val="00284E94"/>
    <w:rsid w:val="002865D5"/>
    <w:rsid w:val="00291D5E"/>
    <w:rsid w:val="002A1EC1"/>
    <w:rsid w:val="002A2720"/>
    <w:rsid w:val="002A2AFF"/>
    <w:rsid w:val="002A437B"/>
    <w:rsid w:val="002A5F30"/>
    <w:rsid w:val="002C009E"/>
    <w:rsid w:val="002C25AF"/>
    <w:rsid w:val="002C4E73"/>
    <w:rsid w:val="002D68BF"/>
    <w:rsid w:val="002F05A0"/>
    <w:rsid w:val="002F1559"/>
    <w:rsid w:val="00305FBC"/>
    <w:rsid w:val="0031014C"/>
    <w:rsid w:val="0033030E"/>
    <w:rsid w:val="00334945"/>
    <w:rsid w:val="0033509F"/>
    <w:rsid w:val="00336CBF"/>
    <w:rsid w:val="00337EBB"/>
    <w:rsid w:val="0035239B"/>
    <w:rsid w:val="003546C8"/>
    <w:rsid w:val="00364F67"/>
    <w:rsid w:val="003756EF"/>
    <w:rsid w:val="00376F8F"/>
    <w:rsid w:val="00392D87"/>
    <w:rsid w:val="003A5739"/>
    <w:rsid w:val="003A7CF2"/>
    <w:rsid w:val="003B50F0"/>
    <w:rsid w:val="003C0DF3"/>
    <w:rsid w:val="003C0FE8"/>
    <w:rsid w:val="003C5CE5"/>
    <w:rsid w:val="003D3D7D"/>
    <w:rsid w:val="003E267B"/>
    <w:rsid w:val="003E36BE"/>
    <w:rsid w:val="003E4B44"/>
    <w:rsid w:val="003E7CD1"/>
    <w:rsid w:val="00402B9E"/>
    <w:rsid w:val="00423932"/>
    <w:rsid w:val="004249CB"/>
    <w:rsid w:val="0044127D"/>
    <w:rsid w:val="00442A49"/>
    <w:rsid w:val="004448DB"/>
    <w:rsid w:val="00446C9A"/>
    <w:rsid w:val="00456521"/>
    <w:rsid w:val="00464E5B"/>
    <w:rsid w:val="00465231"/>
    <w:rsid w:val="00477193"/>
    <w:rsid w:val="004852B5"/>
    <w:rsid w:val="004A1848"/>
    <w:rsid w:val="004B4552"/>
    <w:rsid w:val="004B7003"/>
    <w:rsid w:val="004D0B09"/>
    <w:rsid w:val="004E4682"/>
    <w:rsid w:val="00502F93"/>
    <w:rsid w:val="00507FEC"/>
    <w:rsid w:val="00510F0E"/>
    <w:rsid w:val="0051321B"/>
    <w:rsid w:val="00516E48"/>
    <w:rsid w:val="00541D19"/>
    <w:rsid w:val="005479E1"/>
    <w:rsid w:val="005570FD"/>
    <w:rsid w:val="005575EA"/>
    <w:rsid w:val="00564626"/>
    <w:rsid w:val="00564C2A"/>
    <w:rsid w:val="0057790C"/>
    <w:rsid w:val="00593795"/>
    <w:rsid w:val="005A45CC"/>
    <w:rsid w:val="005A75FF"/>
    <w:rsid w:val="005B4942"/>
    <w:rsid w:val="005B7789"/>
    <w:rsid w:val="005C04A8"/>
    <w:rsid w:val="005C3A83"/>
    <w:rsid w:val="006059EF"/>
    <w:rsid w:val="00610757"/>
    <w:rsid w:val="00622725"/>
    <w:rsid w:val="00640E14"/>
    <w:rsid w:val="00641A27"/>
    <w:rsid w:val="0064774D"/>
    <w:rsid w:val="0065791C"/>
    <w:rsid w:val="00677176"/>
    <w:rsid w:val="00690B8A"/>
    <w:rsid w:val="006A5EDB"/>
    <w:rsid w:val="006D1DFA"/>
    <w:rsid w:val="006D506B"/>
    <w:rsid w:val="006D5949"/>
    <w:rsid w:val="006D79F6"/>
    <w:rsid w:val="006E3C90"/>
    <w:rsid w:val="006F08DA"/>
    <w:rsid w:val="006F6265"/>
    <w:rsid w:val="00704B61"/>
    <w:rsid w:val="007105F4"/>
    <w:rsid w:val="007145A2"/>
    <w:rsid w:val="007164CA"/>
    <w:rsid w:val="00742A8D"/>
    <w:rsid w:val="00744B61"/>
    <w:rsid w:val="0075191E"/>
    <w:rsid w:val="007552A9"/>
    <w:rsid w:val="00761858"/>
    <w:rsid w:val="00767D59"/>
    <w:rsid w:val="007742F1"/>
    <w:rsid w:val="00774A81"/>
    <w:rsid w:val="00776E97"/>
    <w:rsid w:val="00780FD7"/>
    <w:rsid w:val="00781BA7"/>
    <w:rsid w:val="00784A6D"/>
    <w:rsid w:val="0079074F"/>
    <w:rsid w:val="007912AD"/>
    <w:rsid w:val="007A1F28"/>
    <w:rsid w:val="007A3ED6"/>
    <w:rsid w:val="007B0824"/>
    <w:rsid w:val="007B0892"/>
    <w:rsid w:val="007E544D"/>
    <w:rsid w:val="007F2507"/>
    <w:rsid w:val="008303B8"/>
    <w:rsid w:val="00833DCE"/>
    <w:rsid w:val="00836A93"/>
    <w:rsid w:val="00841581"/>
    <w:rsid w:val="00842418"/>
    <w:rsid w:val="00845317"/>
    <w:rsid w:val="008464A9"/>
    <w:rsid w:val="00864126"/>
    <w:rsid w:val="0087166E"/>
    <w:rsid w:val="00871D34"/>
    <w:rsid w:val="00876A5B"/>
    <w:rsid w:val="00882779"/>
    <w:rsid w:val="00892884"/>
    <w:rsid w:val="008B270C"/>
    <w:rsid w:val="008C3D3D"/>
    <w:rsid w:val="008D4131"/>
    <w:rsid w:val="008D648D"/>
    <w:rsid w:val="008F1932"/>
    <w:rsid w:val="008F294D"/>
    <w:rsid w:val="00911478"/>
    <w:rsid w:val="00916A58"/>
    <w:rsid w:val="00921062"/>
    <w:rsid w:val="0093083E"/>
    <w:rsid w:val="00941D3B"/>
    <w:rsid w:val="009451FF"/>
    <w:rsid w:val="009553DD"/>
    <w:rsid w:val="00955B0E"/>
    <w:rsid w:val="00966B05"/>
    <w:rsid w:val="00966ECF"/>
    <w:rsid w:val="009727A3"/>
    <w:rsid w:val="00987774"/>
    <w:rsid w:val="009936D5"/>
    <w:rsid w:val="009A11E8"/>
    <w:rsid w:val="009A43A1"/>
    <w:rsid w:val="009C37C7"/>
    <w:rsid w:val="009D1549"/>
    <w:rsid w:val="009E4E62"/>
    <w:rsid w:val="009F5220"/>
    <w:rsid w:val="009F7C4D"/>
    <w:rsid w:val="00A01A21"/>
    <w:rsid w:val="00A15234"/>
    <w:rsid w:val="00A201AB"/>
    <w:rsid w:val="00A25C94"/>
    <w:rsid w:val="00A31C8B"/>
    <w:rsid w:val="00A54733"/>
    <w:rsid w:val="00A75B2C"/>
    <w:rsid w:val="00A845DC"/>
    <w:rsid w:val="00A97AEE"/>
    <w:rsid w:val="00AC5CF6"/>
    <w:rsid w:val="00AC7862"/>
    <w:rsid w:val="00B144FA"/>
    <w:rsid w:val="00B14D3A"/>
    <w:rsid w:val="00B16B53"/>
    <w:rsid w:val="00B16F58"/>
    <w:rsid w:val="00B30648"/>
    <w:rsid w:val="00B322F4"/>
    <w:rsid w:val="00B3524D"/>
    <w:rsid w:val="00B35843"/>
    <w:rsid w:val="00B40F69"/>
    <w:rsid w:val="00B46616"/>
    <w:rsid w:val="00B57A65"/>
    <w:rsid w:val="00B610E3"/>
    <w:rsid w:val="00B61205"/>
    <w:rsid w:val="00B617C4"/>
    <w:rsid w:val="00B626FA"/>
    <w:rsid w:val="00B66D87"/>
    <w:rsid w:val="00B7040A"/>
    <w:rsid w:val="00B947BF"/>
    <w:rsid w:val="00B96FA0"/>
    <w:rsid w:val="00BB2AA8"/>
    <w:rsid w:val="00BC45A7"/>
    <w:rsid w:val="00BC6D9E"/>
    <w:rsid w:val="00BD4196"/>
    <w:rsid w:val="00BE2210"/>
    <w:rsid w:val="00BE4FE1"/>
    <w:rsid w:val="00BE57DB"/>
    <w:rsid w:val="00BF22CA"/>
    <w:rsid w:val="00BF2E2F"/>
    <w:rsid w:val="00BF3FF7"/>
    <w:rsid w:val="00C156C3"/>
    <w:rsid w:val="00C20D7B"/>
    <w:rsid w:val="00C26032"/>
    <w:rsid w:val="00C265B0"/>
    <w:rsid w:val="00C321B5"/>
    <w:rsid w:val="00C345E1"/>
    <w:rsid w:val="00C41559"/>
    <w:rsid w:val="00C42C62"/>
    <w:rsid w:val="00C4370C"/>
    <w:rsid w:val="00C5263A"/>
    <w:rsid w:val="00C65368"/>
    <w:rsid w:val="00C74D85"/>
    <w:rsid w:val="00C8281B"/>
    <w:rsid w:val="00C9551E"/>
    <w:rsid w:val="00C977BA"/>
    <w:rsid w:val="00CB6E35"/>
    <w:rsid w:val="00CD4902"/>
    <w:rsid w:val="00CE1A46"/>
    <w:rsid w:val="00CE79DB"/>
    <w:rsid w:val="00CF253F"/>
    <w:rsid w:val="00CF56B4"/>
    <w:rsid w:val="00D1444B"/>
    <w:rsid w:val="00D20F09"/>
    <w:rsid w:val="00D22636"/>
    <w:rsid w:val="00D24AD7"/>
    <w:rsid w:val="00D2684C"/>
    <w:rsid w:val="00D40FD9"/>
    <w:rsid w:val="00D42256"/>
    <w:rsid w:val="00D53769"/>
    <w:rsid w:val="00D65BCA"/>
    <w:rsid w:val="00D67604"/>
    <w:rsid w:val="00D74CFD"/>
    <w:rsid w:val="00D82D08"/>
    <w:rsid w:val="00D85C13"/>
    <w:rsid w:val="00D91BE3"/>
    <w:rsid w:val="00D94AFC"/>
    <w:rsid w:val="00D97AF0"/>
    <w:rsid w:val="00DB5F63"/>
    <w:rsid w:val="00DB70AE"/>
    <w:rsid w:val="00DB7231"/>
    <w:rsid w:val="00DC04BF"/>
    <w:rsid w:val="00DC303C"/>
    <w:rsid w:val="00DC7975"/>
    <w:rsid w:val="00DD07FC"/>
    <w:rsid w:val="00DD5071"/>
    <w:rsid w:val="00DD5C39"/>
    <w:rsid w:val="00DE26AF"/>
    <w:rsid w:val="00DE4868"/>
    <w:rsid w:val="00DE7DB7"/>
    <w:rsid w:val="00DF3CB8"/>
    <w:rsid w:val="00E00A0A"/>
    <w:rsid w:val="00E07601"/>
    <w:rsid w:val="00E07F57"/>
    <w:rsid w:val="00E1324B"/>
    <w:rsid w:val="00E246FD"/>
    <w:rsid w:val="00E352ED"/>
    <w:rsid w:val="00E4586A"/>
    <w:rsid w:val="00E50456"/>
    <w:rsid w:val="00E50BCE"/>
    <w:rsid w:val="00E61292"/>
    <w:rsid w:val="00E649A1"/>
    <w:rsid w:val="00E76309"/>
    <w:rsid w:val="00E77C4D"/>
    <w:rsid w:val="00E81D01"/>
    <w:rsid w:val="00E90C08"/>
    <w:rsid w:val="00EA4F85"/>
    <w:rsid w:val="00EB4047"/>
    <w:rsid w:val="00EB62BE"/>
    <w:rsid w:val="00EC2927"/>
    <w:rsid w:val="00EC656B"/>
    <w:rsid w:val="00EC73E3"/>
    <w:rsid w:val="00EE45D8"/>
    <w:rsid w:val="00EF63DD"/>
    <w:rsid w:val="00F004CD"/>
    <w:rsid w:val="00F12507"/>
    <w:rsid w:val="00F17EF5"/>
    <w:rsid w:val="00F22EDA"/>
    <w:rsid w:val="00F26555"/>
    <w:rsid w:val="00F3224D"/>
    <w:rsid w:val="00F33E0E"/>
    <w:rsid w:val="00F3723B"/>
    <w:rsid w:val="00F42F8D"/>
    <w:rsid w:val="00F472AE"/>
    <w:rsid w:val="00F5664C"/>
    <w:rsid w:val="00F64613"/>
    <w:rsid w:val="00F72B81"/>
    <w:rsid w:val="00F77A3E"/>
    <w:rsid w:val="00F85AEE"/>
    <w:rsid w:val="00F90160"/>
    <w:rsid w:val="00F9182B"/>
    <w:rsid w:val="00FB050B"/>
    <w:rsid w:val="00FB7E80"/>
    <w:rsid w:val="00FE0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9D5C56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84E94"/>
    <w:rPr>
      <w:sz w:val="24"/>
      <w:szCs w:val="24"/>
    </w:rPr>
  </w:style>
  <w:style w:type="paragraph" w:styleId="Heading2">
    <w:name w:val="heading 2"/>
    <w:basedOn w:val="Normal"/>
    <w:link w:val="Heading2Char"/>
    <w:uiPriority w:val="9"/>
    <w:qFormat/>
    <w:rsid w:val="007B089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character" w:customStyle="1" w:styleId="Heading2Char">
    <w:name w:val="Heading 2 Char"/>
    <w:link w:val="Heading2"/>
    <w:uiPriority w:val="9"/>
    <w:rsid w:val="007B0892"/>
    <w:rPr>
      <w:b/>
      <w:bCs/>
      <w:sz w:val="36"/>
      <w:szCs w:val="36"/>
    </w:rPr>
  </w:style>
  <w:style w:type="character" w:styleId="Emphasis">
    <w:name w:val="Emphasis"/>
    <w:uiPriority w:val="20"/>
    <w:qFormat/>
    <w:rsid w:val="002A1EC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92571">
      <w:bodyDiv w:val="1"/>
      <w:marLeft w:val="0"/>
      <w:marRight w:val="0"/>
      <w:marTop w:val="0"/>
      <w:marBottom w:val="0"/>
      <w:divBdr>
        <w:top w:val="none" w:sz="0" w:space="0" w:color="auto"/>
        <w:left w:val="none" w:sz="0" w:space="0" w:color="auto"/>
        <w:bottom w:val="none" w:sz="0" w:space="0" w:color="auto"/>
        <w:right w:val="none" w:sz="0" w:space="0" w:color="auto"/>
      </w:divBdr>
      <w:divsChild>
        <w:div w:id="1429887523">
          <w:marLeft w:val="0"/>
          <w:marRight w:val="0"/>
          <w:marTop w:val="0"/>
          <w:marBottom w:val="225"/>
          <w:divBdr>
            <w:top w:val="none" w:sz="0" w:space="0" w:color="auto"/>
            <w:left w:val="none" w:sz="0" w:space="0" w:color="auto"/>
            <w:bottom w:val="none" w:sz="0" w:space="0" w:color="auto"/>
            <w:right w:val="none" w:sz="0" w:space="0" w:color="auto"/>
          </w:divBdr>
        </w:div>
      </w:divsChild>
    </w:div>
    <w:div w:id="174224379">
      <w:bodyDiv w:val="1"/>
      <w:marLeft w:val="0"/>
      <w:marRight w:val="0"/>
      <w:marTop w:val="0"/>
      <w:marBottom w:val="0"/>
      <w:divBdr>
        <w:top w:val="none" w:sz="0" w:space="0" w:color="auto"/>
        <w:left w:val="none" w:sz="0" w:space="0" w:color="auto"/>
        <w:bottom w:val="none" w:sz="0" w:space="0" w:color="auto"/>
        <w:right w:val="none" w:sz="0" w:space="0" w:color="auto"/>
      </w:divBdr>
    </w:div>
    <w:div w:id="435752350">
      <w:bodyDiv w:val="1"/>
      <w:marLeft w:val="0"/>
      <w:marRight w:val="0"/>
      <w:marTop w:val="0"/>
      <w:marBottom w:val="0"/>
      <w:divBdr>
        <w:top w:val="none" w:sz="0" w:space="0" w:color="auto"/>
        <w:left w:val="none" w:sz="0" w:space="0" w:color="auto"/>
        <w:bottom w:val="none" w:sz="0" w:space="0" w:color="auto"/>
        <w:right w:val="none" w:sz="0" w:space="0" w:color="auto"/>
      </w:divBdr>
    </w:div>
    <w:div w:id="788940031">
      <w:bodyDiv w:val="1"/>
      <w:marLeft w:val="0"/>
      <w:marRight w:val="0"/>
      <w:marTop w:val="0"/>
      <w:marBottom w:val="0"/>
      <w:divBdr>
        <w:top w:val="none" w:sz="0" w:space="0" w:color="auto"/>
        <w:left w:val="none" w:sz="0" w:space="0" w:color="auto"/>
        <w:bottom w:val="none" w:sz="0" w:space="0" w:color="auto"/>
        <w:right w:val="none" w:sz="0" w:space="0" w:color="auto"/>
      </w:divBdr>
    </w:div>
    <w:div w:id="1130783560">
      <w:bodyDiv w:val="1"/>
      <w:marLeft w:val="0"/>
      <w:marRight w:val="0"/>
      <w:marTop w:val="0"/>
      <w:marBottom w:val="0"/>
      <w:divBdr>
        <w:top w:val="none" w:sz="0" w:space="0" w:color="auto"/>
        <w:left w:val="none" w:sz="0" w:space="0" w:color="auto"/>
        <w:bottom w:val="none" w:sz="0" w:space="0" w:color="auto"/>
        <w:right w:val="none" w:sz="0" w:space="0" w:color="auto"/>
      </w:divBdr>
      <w:divsChild>
        <w:div w:id="1012147734">
          <w:marLeft w:val="0"/>
          <w:marRight w:val="0"/>
          <w:marTop w:val="0"/>
          <w:marBottom w:val="225"/>
          <w:divBdr>
            <w:top w:val="none" w:sz="0" w:space="0" w:color="auto"/>
            <w:left w:val="none" w:sz="0" w:space="0" w:color="auto"/>
            <w:bottom w:val="none" w:sz="0" w:space="0" w:color="auto"/>
            <w:right w:val="none" w:sz="0" w:space="0" w:color="auto"/>
          </w:divBdr>
        </w:div>
      </w:divsChild>
    </w:div>
    <w:div w:id="14789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62212-DBA1-4F5F-82A0-E7A1720E8F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1517</Words>
  <Characters>7300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2018-07-20T13:01:00Z</dcterms:created>
  <dcterms:modified xsi:type="dcterms:W3CDTF">2018-07-20T13:01:00Z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