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F97703" w:rsidRDefault="00933B65" w:rsidP="00933B65">
      <w:pPr>
        <w:rPr>
          <w:rFonts w:ascii="Book Antiqua" w:hAnsi="Book Antiqua" w:cs="Arial"/>
          <w:color w:val="000000"/>
          <w:sz w:val="16"/>
          <w:szCs w:val="16"/>
        </w:rPr>
      </w:pPr>
    </w:p>
    <w:p w:rsidR="00933B65" w:rsidRDefault="00FE0046" w:rsidP="00933B65">
      <w:pPr>
        <w:jc w:val="center"/>
        <w:rPr>
          <w:rFonts w:ascii="Book Antiqua" w:hAnsi="Book Antiqua" w:cs="Arial"/>
          <w:color w:val="000000"/>
        </w:rPr>
      </w:pPr>
      <w:r>
        <w:rPr>
          <w:noProof/>
        </w:rPr>
        <w:drawing>
          <wp:inline distT="0" distB="0" distL="0" distR="0" wp14:anchorId="334D9F49" wp14:editId="334D9F4A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933B65" w:rsidRPr="00BC4BBD" w:rsidRDefault="00933B65" w:rsidP="008A64A7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</w:t>
      </w:r>
      <w:r w:rsidR="00BC4BBD">
        <w:rPr>
          <w:rFonts w:ascii="Book Antiqua" w:hAnsi="Book Antiqua" w:cs="Arial"/>
          <w:b/>
          <w:color w:val="000000"/>
        </w:rPr>
        <w:t xml:space="preserve">Immigration and Asylum </w:t>
      </w:r>
      <w:proofErr w:type="gramStart"/>
      <w:r w:rsidR="00BC4BBD">
        <w:rPr>
          <w:rFonts w:ascii="Book Antiqua" w:hAnsi="Book Antiqua" w:cs="Arial"/>
          <w:b/>
          <w:color w:val="000000"/>
        </w:rPr>
        <w:t xml:space="preserve">Chamber)   </w:t>
      </w:r>
      <w:proofErr w:type="gramEnd"/>
      <w:r w:rsidR="00BC4BBD">
        <w:rPr>
          <w:rFonts w:ascii="Book Antiqua" w:hAnsi="Book Antiqua" w:cs="Arial"/>
          <w:b/>
          <w:color w:val="000000"/>
        </w:rPr>
        <w:t xml:space="preserve">                    </w:t>
      </w:r>
      <w:r w:rsidRPr="00BC4BBD">
        <w:rPr>
          <w:rFonts w:ascii="Book Antiqua" w:hAnsi="Book Antiqua" w:cs="Arial"/>
          <w:b/>
          <w:color w:val="000000"/>
        </w:rPr>
        <w:t xml:space="preserve">Appeal Number: </w:t>
      </w:r>
      <w:r w:rsidR="00C1182C" w:rsidRPr="00BC4BBD">
        <w:rPr>
          <w:rFonts w:ascii="Book Antiqua" w:hAnsi="Book Antiqua" w:cs="Arial"/>
          <w:b/>
          <w:caps/>
          <w:color w:val="000000"/>
        </w:rPr>
        <w:t>PA/12558/2017</w:t>
      </w:r>
    </w:p>
    <w:p w:rsidR="00933B65" w:rsidRPr="00BC4BBD" w:rsidRDefault="00933B65" w:rsidP="00933B65">
      <w:pPr>
        <w:jc w:val="center"/>
        <w:rPr>
          <w:rFonts w:ascii="Book Antiqua" w:hAnsi="Book Antiqua" w:cs="Arial"/>
          <w:b/>
          <w:color w:val="000000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5245"/>
        <w:gridCol w:w="667"/>
        <w:gridCol w:w="3726"/>
        <w:gridCol w:w="143"/>
      </w:tblGrid>
      <w:tr w:rsidR="00933B65" w:rsidRPr="002154EF" w:rsidTr="00BC4BBD">
        <w:tc>
          <w:tcPr>
            <w:tcW w:w="5245" w:type="dxa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Heard at </w:t>
            </w:r>
            <w:r w:rsidR="008B5B9B" w:rsidRPr="002154EF">
              <w:rPr>
                <w:rFonts w:ascii="Book Antiqua" w:hAnsi="Book Antiqua" w:cs="Arial"/>
                <w:b/>
              </w:rPr>
              <w:t xml:space="preserve">Glasgow </w:t>
            </w:r>
          </w:p>
        </w:tc>
        <w:tc>
          <w:tcPr>
            <w:tcW w:w="4536" w:type="dxa"/>
            <w:gridSpan w:val="3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2154EF">
              <w:rPr>
                <w:rFonts w:ascii="Book Antiqua" w:hAnsi="Book Antiqua" w:cs="Arial"/>
                <w:b/>
                <w:color w:val="000000"/>
              </w:rPr>
              <w:t xml:space="preserve">Determination </w:t>
            </w:r>
            <w:r w:rsidR="008013E7">
              <w:rPr>
                <w:rFonts w:ascii="Book Antiqua" w:hAnsi="Book Antiqua" w:cs="Arial"/>
                <w:b/>
                <w:color w:val="000000"/>
              </w:rPr>
              <w:t>&amp; Reasons Promulgated</w:t>
            </w:r>
          </w:p>
        </w:tc>
      </w:tr>
      <w:tr w:rsidR="00933B65" w:rsidRPr="002154EF" w:rsidTr="00BC4BBD">
        <w:tc>
          <w:tcPr>
            <w:tcW w:w="5245" w:type="dxa"/>
            <w:shd w:val="clear" w:color="auto" w:fill="auto"/>
          </w:tcPr>
          <w:p w:rsidR="00933B65" w:rsidRPr="002154EF" w:rsidRDefault="006D2D9A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>o</w:t>
            </w:r>
            <w:r w:rsidR="00933B65" w:rsidRPr="002154EF">
              <w:rPr>
                <w:rFonts w:ascii="Book Antiqua" w:hAnsi="Book Antiqua" w:cs="Arial"/>
                <w:b/>
              </w:rPr>
              <w:t xml:space="preserve">n </w:t>
            </w:r>
            <w:r w:rsidR="00C1182C">
              <w:rPr>
                <w:rFonts w:ascii="Book Antiqua" w:hAnsi="Book Antiqua" w:cs="Arial"/>
                <w:b/>
              </w:rPr>
              <w:t>31 August 201</w:t>
            </w:r>
            <w:r w:rsidR="008013E7">
              <w:rPr>
                <w:rFonts w:ascii="Book Antiqua" w:hAnsi="Book Antiqua" w:cs="Arial"/>
                <w:b/>
              </w:rPr>
              <w:t>8</w:t>
            </w:r>
          </w:p>
        </w:tc>
        <w:tc>
          <w:tcPr>
            <w:tcW w:w="4536" w:type="dxa"/>
            <w:gridSpan w:val="3"/>
            <w:shd w:val="clear" w:color="auto" w:fill="auto"/>
          </w:tcPr>
          <w:p w:rsidR="00933B65" w:rsidRPr="002154EF" w:rsidRDefault="008013E7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7 September</w:t>
            </w:r>
            <w:r w:rsidRPr="008013E7">
              <w:rPr>
                <w:rFonts w:ascii="Book Antiqua" w:hAnsi="Book Antiqua" w:cs="Arial"/>
                <w:b/>
              </w:rPr>
              <w:t xml:space="preserve"> 201</w:t>
            </w:r>
            <w:r>
              <w:rPr>
                <w:rFonts w:ascii="Book Antiqua" w:hAnsi="Book Antiqua" w:cs="Arial"/>
                <w:b/>
              </w:rPr>
              <w:t>8</w:t>
            </w:r>
          </w:p>
        </w:tc>
      </w:tr>
      <w:tr w:rsidR="00933B65" w:rsidRPr="002154EF" w:rsidTr="00BC4BBD">
        <w:trPr>
          <w:gridAfter w:val="1"/>
          <w:wAfter w:w="143" w:type="dxa"/>
        </w:trPr>
        <w:tc>
          <w:tcPr>
            <w:tcW w:w="5912" w:type="dxa"/>
            <w:gridSpan w:val="2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726" w:type="dxa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BC4BBD" w:rsidRDefault="00BC4BBD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8B5B9B">
        <w:rPr>
          <w:rFonts w:ascii="Book Antiqua" w:hAnsi="Book Antiqua" w:cs="Arial"/>
          <w:b/>
          <w:color w:val="000000"/>
        </w:rPr>
        <w:t>MACLEMAN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324C76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PARISA MAZBOOR</w:t>
      </w:r>
      <w:r w:rsidR="008B5B9B">
        <w:rPr>
          <w:rFonts w:ascii="Book Antiqua" w:hAnsi="Book Antiqua" w:cs="Arial"/>
          <w:b/>
        </w:rPr>
        <w:t xml:space="preserve"> </w:t>
      </w: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BC4BBD" w:rsidRPr="00F97703" w:rsidRDefault="00BC4BBD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933B65" w:rsidRPr="00F97703" w:rsidRDefault="00933B65" w:rsidP="008A64A7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933B65" w:rsidRPr="00F97703" w:rsidRDefault="00933B65" w:rsidP="00933B65">
      <w:pPr>
        <w:rPr>
          <w:rFonts w:ascii="Book Antiqua" w:hAnsi="Book Antiqua" w:cs="Arial"/>
        </w:rPr>
      </w:pPr>
    </w:p>
    <w:p w:rsidR="00BC4BBD" w:rsidRDefault="00BC4BBD" w:rsidP="00933B65">
      <w:pPr>
        <w:tabs>
          <w:tab w:val="left" w:pos="2520"/>
        </w:tabs>
        <w:rPr>
          <w:rFonts w:ascii="Book Antiqua" w:hAnsi="Book Antiqua" w:cs="Arial"/>
          <w:b/>
          <w:u w:val="single"/>
        </w:rPr>
      </w:pPr>
      <w:r w:rsidRPr="00BC4BBD">
        <w:rPr>
          <w:rFonts w:ascii="Book Antiqua" w:hAnsi="Book Antiqua" w:cs="Arial"/>
          <w:b/>
          <w:u w:val="single"/>
        </w:rPr>
        <w:t xml:space="preserve">Representation: </w:t>
      </w:r>
    </w:p>
    <w:p w:rsidR="00BC4BBD" w:rsidRPr="00BC4BBD" w:rsidRDefault="00BC4BBD" w:rsidP="00933B65">
      <w:pPr>
        <w:tabs>
          <w:tab w:val="left" w:pos="2520"/>
        </w:tabs>
        <w:rPr>
          <w:rFonts w:ascii="Book Antiqua" w:hAnsi="Book Antiqua" w:cs="Arial"/>
          <w:b/>
          <w:u w:val="single"/>
        </w:rPr>
      </w:pPr>
    </w:p>
    <w:p w:rsidR="00933B65" w:rsidRPr="00F97703" w:rsidRDefault="00933B65" w:rsidP="00933B65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Pr="00F97703">
        <w:rPr>
          <w:rFonts w:ascii="Book Antiqua" w:hAnsi="Book Antiqua" w:cs="Arial"/>
        </w:rPr>
        <w:tab/>
      </w:r>
      <w:r w:rsidR="00C6518B">
        <w:rPr>
          <w:rFonts w:ascii="Book Antiqua" w:hAnsi="Book Antiqua" w:cs="Arial"/>
        </w:rPr>
        <w:t xml:space="preserve">Ms H Cosgrove, of </w:t>
      </w:r>
      <w:r w:rsidR="00A73340">
        <w:rPr>
          <w:rFonts w:ascii="Book Antiqua" w:hAnsi="Book Antiqua" w:cs="Arial"/>
        </w:rPr>
        <w:t xml:space="preserve">Latta &amp; Co, </w:t>
      </w:r>
      <w:r w:rsidR="003D7D3D">
        <w:rPr>
          <w:rFonts w:ascii="Book Antiqua" w:hAnsi="Book Antiqua" w:cs="Arial"/>
        </w:rPr>
        <w:t>Solicitors</w:t>
      </w:r>
    </w:p>
    <w:p w:rsidR="00933B65" w:rsidRPr="00F97703" w:rsidRDefault="00933B65" w:rsidP="008A64A7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Pr="00F97703">
        <w:rPr>
          <w:rFonts w:ascii="Book Antiqua" w:hAnsi="Book Antiqua" w:cs="Arial"/>
        </w:rPr>
        <w:tab/>
      </w:r>
      <w:r w:rsidR="00C6518B">
        <w:rPr>
          <w:rFonts w:ascii="Book Antiqua" w:hAnsi="Book Antiqua" w:cs="Arial"/>
        </w:rPr>
        <w:t xml:space="preserve">Mrs M O’Brien, </w:t>
      </w:r>
      <w:r w:rsidR="003D7D3D">
        <w:rPr>
          <w:rFonts w:ascii="Book Antiqua" w:hAnsi="Book Antiqua" w:cs="Arial"/>
        </w:rPr>
        <w:t>Senior</w:t>
      </w:r>
      <w:r>
        <w:rPr>
          <w:rFonts w:ascii="Book Antiqua" w:hAnsi="Book Antiqua" w:cs="Arial"/>
        </w:rPr>
        <w:t xml:space="preserve"> Home Office Presenting Officer</w:t>
      </w:r>
    </w:p>
    <w:p w:rsidR="00933B65" w:rsidRPr="00F97703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321C6F" w:rsidRPr="002B54F9" w:rsidRDefault="00933B65" w:rsidP="00734D2D">
      <w:pPr>
        <w:tabs>
          <w:tab w:val="left" w:pos="2520"/>
        </w:tabs>
        <w:jc w:val="center"/>
        <w:rPr>
          <w:rFonts w:ascii="Book Antiqua" w:hAnsi="Book Antiqua" w:cs="Arial"/>
          <w:sz w:val="20"/>
          <w:szCs w:val="20"/>
        </w:rPr>
      </w:pPr>
      <w:r w:rsidRPr="00F97703">
        <w:rPr>
          <w:rFonts w:ascii="Book Antiqua" w:hAnsi="Book Antiqua" w:cs="Arial"/>
          <w:b/>
          <w:u w:val="single"/>
        </w:rPr>
        <w:t>DETERMINATION AND REASONS</w:t>
      </w:r>
    </w:p>
    <w:p w:rsidR="00B75015" w:rsidRDefault="00A73340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FtT </w:t>
      </w:r>
      <w:r w:rsidR="0098562C">
        <w:rPr>
          <w:rFonts w:ascii="Book Antiqua" w:hAnsi="Book Antiqua" w:cs="Arial"/>
        </w:rPr>
        <w:t xml:space="preserve">Judge </w:t>
      </w:r>
      <w:bookmarkStart w:id="0" w:name="_Hlk523487673"/>
      <w:r w:rsidR="00B75015">
        <w:rPr>
          <w:rFonts w:ascii="Book Antiqua" w:hAnsi="Book Antiqua" w:cs="Arial"/>
        </w:rPr>
        <w:t>P A Grant-Hutchison</w:t>
      </w:r>
      <w:bookmarkEnd w:id="0"/>
      <w:r w:rsidR="00B75015">
        <w:rPr>
          <w:rFonts w:ascii="Book Antiqua" w:hAnsi="Book Antiqua" w:cs="Arial"/>
        </w:rPr>
        <w:t xml:space="preserve"> dismissed the appellant’s appeal for reasons given in his decision promulgated on 26 April 2018.</w:t>
      </w:r>
    </w:p>
    <w:p w:rsidR="005B2387" w:rsidRDefault="00B75015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has permission to appeal to the UT</w:t>
      </w:r>
      <w:r w:rsidR="00B21715">
        <w:rPr>
          <w:rFonts w:ascii="Book Antiqua" w:hAnsi="Book Antiqua" w:cs="Arial"/>
        </w:rPr>
        <w:t xml:space="preserve"> on grounds set out in her application dated</w:t>
      </w:r>
      <w:r w:rsidR="005B2387">
        <w:rPr>
          <w:rFonts w:ascii="Book Antiqua" w:hAnsi="Book Antiqua" w:cs="Arial"/>
        </w:rPr>
        <w:t xml:space="preserve"> 9 May 2018</w:t>
      </w:r>
      <w:r w:rsidR="0073689B">
        <w:rPr>
          <w:rFonts w:ascii="Book Antiqua" w:hAnsi="Book Antiqua" w:cs="Arial"/>
        </w:rPr>
        <w:t xml:space="preserve">: (1) </w:t>
      </w:r>
      <w:r w:rsidR="002F2E01">
        <w:rPr>
          <w:rFonts w:ascii="Book Antiqua" w:hAnsi="Book Antiqua" w:cs="Arial"/>
        </w:rPr>
        <w:t>re</w:t>
      </w:r>
      <w:r w:rsidR="001203B3">
        <w:rPr>
          <w:rFonts w:ascii="Book Antiqua" w:hAnsi="Book Antiqua" w:cs="Arial"/>
        </w:rPr>
        <w:t>garding</w:t>
      </w:r>
      <w:r w:rsidR="004515AB">
        <w:rPr>
          <w:rFonts w:ascii="Book Antiqua" w:hAnsi="Book Antiqua" w:cs="Arial"/>
        </w:rPr>
        <w:t xml:space="preserve"> delay in action by the authorities, </w:t>
      </w:r>
      <w:r w:rsidR="0073689B">
        <w:rPr>
          <w:rFonts w:ascii="Book Antiqua" w:hAnsi="Book Antiqua" w:cs="Arial"/>
        </w:rPr>
        <w:t>failure to take acco</w:t>
      </w:r>
      <w:r w:rsidR="004515AB">
        <w:rPr>
          <w:rFonts w:ascii="Book Antiqua" w:hAnsi="Book Antiqua" w:cs="Arial"/>
        </w:rPr>
        <w:t>unt of an expert report</w:t>
      </w:r>
      <w:r w:rsidR="000E14BB">
        <w:rPr>
          <w:rFonts w:ascii="Book Antiqua" w:hAnsi="Book Antiqua" w:cs="Arial"/>
        </w:rPr>
        <w:t xml:space="preserve">, and (2) </w:t>
      </w:r>
      <w:r w:rsidR="002F2E01">
        <w:rPr>
          <w:rFonts w:ascii="Book Antiqua" w:hAnsi="Book Antiqua" w:cs="Arial"/>
        </w:rPr>
        <w:t>re</w:t>
      </w:r>
      <w:r w:rsidR="001203B3">
        <w:rPr>
          <w:rFonts w:ascii="Book Antiqua" w:hAnsi="Book Antiqua" w:cs="Arial"/>
        </w:rPr>
        <w:t>garding</w:t>
      </w:r>
      <w:r w:rsidR="000E14BB">
        <w:rPr>
          <w:rFonts w:ascii="Book Antiqua" w:hAnsi="Book Antiqua" w:cs="Arial"/>
        </w:rPr>
        <w:t xml:space="preserve"> deceit about arrival in the UK, failure to take account of the appellant’s explanation.  Ms Cosgrove sought a remit to the FtT.</w:t>
      </w:r>
    </w:p>
    <w:p w:rsidR="000E14BB" w:rsidRDefault="003D6E0F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Mrs O’Brien conceded that the decision failed to make it clear whether significant evidence had been </w:t>
      </w:r>
      <w:r w:rsidR="001203B3">
        <w:rPr>
          <w:rFonts w:ascii="Book Antiqua" w:hAnsi="Book Antiqua" w:cs="Arial"/>
        </w:rPr>
        <w:t>considered</w:t>
      </w:r>
      <w:r w:rsidR="00B179E6">
        <w:rPr>
          <w:rFonts w:ascii="Book Antiqua" w:hAnsi="Book Antiqua" w:cs="Arial"/>
        </w:rPr>
        <w:t xml:space="preserve">, and that the outcome should be as sought for the appellant. </w:t>
      </w:r>
    </w:p>
    <w:p w:rsidR="002804FF" w:rsidRDefault="002804FF" w:rsidP="002804F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FtT is </w:t>
      </w:r>
      <w:r w:rsidRPr="0023596F">
        <w:rPr>
          <w:rFonts w:ascii="Book Antiqua" w:hAnsi="Book Antiqua" w:cs="Arial"/>
          <w:b/>
        </w:rPr>
        <w:t>set aside</w:t>
      </w:r>
      <w:r>
        <w:rPr>
          <w:rFonts w:ascii="Book Antiqua" w:hAnsi="Book Antiqua" w:cs="Arial"/>
        </w:rPr>
        <w:t>. It stands only as a record of what was said at the hearing.</w:t>
      </w:r>
    </w:p>
    <w:p w:rsidR="002804FF" w:rsidRDefault="008370B8" w:rsidP="002804FF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T</w:t>
      </w:r>
      <w:r w:rsidR="002804FF">
        <w:rPr>
          <w:rFonts w:ascii="Book Antiqua" w:hAnsi="Book Antiqua"/>
        </w:rPr>
        <w:t>he nature of th</w:t>
      </w:r>
      <w:r>
        <w:rPr>
          <w:rFonts w:ascii="Book Antiqua" w:hAnsi="Book Antiqua"/>
        </w:rPr>
        <w:t>e</w:t>
      </w:r>
      <w:r w:rsidR="002804FF">
        <w:rPr>
          <w:rFonts w:ascii="Book Antiqua" w:hAnsi="Book Antiqua"/>
        </w:rPr>
        <w:t xml:space="preserve"> case is such that it is appropriate under section 12 of the 2002 Act and Practice Statement 7.2 to remit to the FtT for an entirely fresh hearing.  </w:t>
      </w:r>
    </w:p>
    <w:p w:rsidR="002804FF" w:rsidRDefault="002804FF" w:rsidP="002804F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member(s) of the FtT chosen to consider the case are not to include Judge </w:t>
      </w:r>
      <w:r w:rsidR="008370B8">
        <w:rPr>
          <w:rFonts w:ascii="Book Antiqua" w:hAnsi="Book Antiqua" w:cs="Arial"/>
        </w:rPr>
        <w:t>P A Grant-Hutchison.</w:t>
      </w:r>
    </w:p>
    <w:p w:rsidR="00321C6F" w:rsidRPr="00C67169" w:rsidRDefault="00321C6F" w:rsidP="00321C6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C67169">
        <w:rPr>
          <w:rFonts w:ascii="Book Antiqua" w:hAnsi="Book Antiqua" w:cs="Arial"/>
        </w:rPr>
        <w:t>No</w:t>
      </w:r>
      <w:r w:rsidRPr="00C67169">
        <w:rPr>
          <w:rFonts w:ascii="Book Antiqua" w:hAnsi="Book Antiqua"/>
        </w:rPr>
        <w:t xml:space="preserve"> anonymity direction has been requested or made.  </w:t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0046" w:rsidRPr="009445D2">
        <w:rPr>
          <w:noProof/>
          <w:sz w:val="22"/>
          <w:szCs w:val="22"/>
        </w:rPr>
        <w:drawing>
          <wp:inline distT="0" distB="0" distL="0" distR="0" wp14:anchorId="334D9F4B" wp14:editId="334D9F4C">
            <wp:extent cx="1533525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C67169">
        <w:rPr>
          <w:rFonts w:ascii="Book Antiqua" w:hAnsi="Book Antiqua" w:cs="Arial"/>
        </w:rPr>
        <w:t xml:space="preserve">31 August </w:t>
      </w:r>
      <w:r w:rsidR="000B442A">
        <w:rPr>
          <w:rFonts w:ascii="Book Antiqua" w:hAnsi="Book Antiqua" w:cs="Arial"/>
        </w:rPr>
        <w:t>20</w:t>
      </w:r>
      <w:r w:rsidR="00A810D2">
        <w:rPr>
          <w:rFonts w:ascii="Book Antiqua" w:hAnsi="Book Antiqua" w:cs="Arial"/>
        </w:rPr>
        <w:t>1</w:t>
      </w:r>
      <w:r w:rsidR="00B170ED">
        <w:rPr>
          <w:rFonts w:ascii="Book Antiqua" w:hAnsi="Book Antiqua" w:cs="Arial"/>
        </w:rPr>
        <w:t>8</w:t>
      </w:r>
      <w:r>
        <w:rPr>
          <w:rFonts w:ascii="Book Antiqua" w:hAnsi="Book Antiqua" w:cs="Arial"/>
        </w:rPr>
        <w:t xml:space="preserve"> </w:t>
      </w:r>
    </w:p>
    <w:p w:rsidR="00321C6F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Upper Tribunal Judge Macleman</w:t>
      </w:r>
    </w:p>
    <w:p w:rsidR="00933B65" w:rsidRPr="00F97703" w:rsidRDefault="00933B65" w:rsidP="00933B65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:rsidR="00266FFE" w:rsidRDefault="00266FFE"/>
    <w:p w:rsidR="006D2D9A" w:rsidRDefault="006D2D9A">
      <w:bookmarkStart w:id="1" w:name="_GoBack"/>
      <w:bookmarkEnd w:id="1"/>
    </w:p>
    <w:sectPr w:rsidR="006D2D9A" w:rsidSect="00BC4BBD">
      <w:headerReference w:type="default" r:id="rId10"/>
      <w:footerReference w:type="default" r:id="rId11"/>
      <w:footerReference w:type="first" r:id="rId12"/>
      <w:pgSz w:w="11906" w:h="16838"/>
      <w:pgMar w:top="709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213" w:rsidRDefault="00850213">
      <w:r>
        <w:separator/>
      </w:r>
    </w:p>
  </w:endnote>
  <w:endnote w:type="continuationSeparator" w:id="0">
    <w:p w:rsidR="00850213" w:rsidRDefault="0085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C72A35" w:rsidRDefault="008D4782" w:rsidP="00614E94">
    <w:pPr>
      <w:pStyle w:val="Footer"/>
      <w:jc w:val="center"/>
      <w:rPr>
        <w:rFonts w:ascii="Book Antiqua" w:hAnsi="Book Antiqua" w:cs="Arial"/>
      </w:rPr>
    </w:pPr>
    <w:r w:rsidRPr="00C72A35">
      <w:rPr>
        <w:rStyle w:val="PageNumber"/>
        <w:rFonts w:ascii="Book Antiqua" w:hAnsi="Book Antiqua" w:cs="Arial"/>
      </w:rPr>
      <w:fldChar w:fldCharType="begin"/>
    </w:r>
    <w:r w:rsidRPr="00C72A35">
      <w:rPr>
        <w:rStyle w:val="PageNumber"/>
        <w:rFonts w:ascii="Book Antiqua" w:hAnsi="Book Antiqua" w:cs="Arial"/>
      </w:rPr>
      <w:instrText xml:space="preserve"> PAGE </w:instrText>
    </w:r>
    <w:r w:rsidRPr="00C72A35">
      <w:rPr>
        <w:rStyle w:val="PageNumber"/>
        <w:rFonts w:ascii="Book Antiqua" w:hAnsi="Book Antiqua" w:cs="Arial"/>
      </w:rPr>
      <w:fldChar w:fldCharType="separate"/>
    </w:r>
    <w:r w:rsidR="00B86E88">
      <w:rPr>
        <w:rStyle w:val="PageNumber"/>
        <w:rFonts w:ascii="Book Antiqua" w:hAnsi="Book Antiqua" w:cs="Arial"/>
        <w:noProof/>
      </w:rPr>
      <w:t>2</w:t>
    </w:r>
    <w:r w:rsidRPr="00C72A35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A55D78" w:rsidRDefault="008D4782" w:rsidP="00614E94">
    <w:pPr>
      <w:jc w:val="center"/>
      <w:rPr>
        <w:rFonts w:ascii="Book Antiqua" w:hAnsi="Book Antiqua" w:cs="Arial"/>
        <w:b/>
      </w:rPr>
    </w:pPr>
    <w:r w:rsidRPr="00A55D78">
      <w:rPr>
        <w:rFonts w:ascii="Book Antiqua" w:hAnsi="Book Antiqua" w:cs="Arial"/>
        <w:b/>
        <w:spacing w:val="-6"/>
      </w:rPr>
      <w:t>©</w:t>
    </w:r>
    <w:r w:rsidRPr="00A55D78">
      <w:rPr>
        <w:rFonts w:ascii="Book Antiqua" w:hAnsi="Book Antiqua" w:cs="Arial"/>
        <w:b/>
      </w:rPr>
      <w:t xml:space="preserve"> CROWN COPYRIGHT</w:t>
    </w:r>
    <w:r w:rsidR="005863D2" w:rsidRPr="00A55D78">
      <w:rPr>
        <w:rFonts w:ascii="Book Antiqua" w:hAnsi="Book Antiqua" w:cs="Arial"/>
        <w:b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213" w:rsidRDefault="00850213">
      <w:r>
        <w:separator/>
      </w:r>
    </w:p>
  </w:footnote>
  <w:footnote w:type="continuationSeparator" w:id="0">
    <w:p w:rsidR="00850213" w:rsidRDefault="00850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Default="008D4782" w:rsidP="00614E94">
    <w:pPr>
      <w:pStyle w:val="Header"/>
      <w:jc w:val="right"/>
      <w:rPr>
        <w:rFonts w:ascii="Book Antiqua" w:hAnsi="Book Antiqua" w:cs="Arial"/>
        <w:sz w:val="16"/>
        <w:szCs w:val="16"/>
      </w:rPr>
    </w:pPr>
    <w:r w:rsidRPr="00A55D78">
      <w:rPr>
        <w:rFonts w:ascii="Book Antiqua" w:hAnsi="Book Antiqua" w:cs="Arial"/>
        <w:sz w:val="16"/>
        <w:szCs w:val="16"/>
      </w:rPr>
      <w:t xml:space="preserve">Appeal Number: </w:t>
    </w:r>
    <w:r w:rsidR="005863D2" w:rsidRPr="00A55D78">
      <w:rPr>
        <w:rFonts w:ascii="Book Antiqua" w:hAnsi="Book Antiqua" w:cs="Arial"/>
        <w:sz w:val="16"/>
        <w:szCs w:val="16"/>
      </w:rPr>
      <w:t>PA/12558/2017</w:t>
    </w:r>
  </w:p>
  <w:p w:rsidR="00A55D78" w:rsidRPr="00A55D78" w:rsidRDefault="00A55D78" w:rsidP="00614E94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5FA1FA8A-20A2-4EB7-BD63-50788A184702}"/>
    <w:docVar w:name="dgnword-eventsink" w:val="801098800"/>
  </w:docVars>
  <w:rsids>
    <w:rsidRoot w:val="00933B65"/>
    <w:rsid w:val="00005159"/>
    <w:rsid w:val="00007BAC"/>
    <w:rsid w:val="00050F40"/>
    <w:rsid w:val="000777B7"/>
    <w:rsid w:val="00087C41"/>
    <w:rsid w:val="000B442A"/>
    <w:rsid w:val="000E14BB"/>
    <w:rsid w:val="000F5CA0"/>
    <w:rsid w:val="001103E2"/>
    <w:rsid w:val="00117089"/>
    <w:rsid w:val="001203B3"/>
    <w:rsid w:val="00172233"/>
    <w:rsid w:val="00184269"/>
    <w:rsid w:val="001D6343"/>
    <w:rsid w:val="001E0145"/>
    <w:rsid w:val="001F3A81"/>
    <w:rsid w:val="002065B8"/>
    <w:rsid w:val="002135A6"/>
    <w:rsid w:val="002154EF"/>
    <w:rsid w:val="00224440"/>
    <w:rsid w:val="0026261B"/>
    <w:rsid w:val="00266FFE"/>
    <w:rsid w:val="00274F92"/>
    <w:rsid w:val="002804FF"/>
    <w:rsid w:val="002C683E"/>
    <w:rsid w:val="002E3CF7"/>
    <w:rsid w:val="002F2E01"/>
    <w:rsid w:val="00321C6F"/>
    <w:rsid w:val="00324C76"/>
    <w:rsid w:val="003812EE"/>
    <w:rsid w:val="003C1934"/>
    <w:rsid w:val="003D6E0F"/>
    <w:rsid w:val="003D7D3D"/>
    <w:rsid w:val="003D7F34"/>
    <w:rsid w:val="003E6445"/>
    <w:rsid w:val="003F5F63"/>
    <w:rsid w:val="004171D0"/>
    <w:rsid w:val="00441640"/>
    <w:rsid w:val="00450E4F"/>
    <w:rsid w:val="004515AB"/>
    <w:rsid w:val="004541E5"/>
    <w:rsid w:val="0046122D"/>
    <w:rsid w:val="00470675"/>
    <w:rsid w:val="004A012D"/>
    <w:rsid w:val="00513527"/>
    <w:rsid w:val="0057020B"/>
    <w:rsid w:val="005863D2"/>
    <w:rsid w:val="00590CEE"/>
    <w:rsid w:val="00594CA2"/>
    <w:rsid w:val="00595C55"/>
    <w:rsid w:val="005A1712"/>
    <w:rsid w:val="005B2387"/>
    <w:rsid w:val="005F6D40"/>
    <w:rsid w:val="00614020"/>
    <w:rsid w:val="00614E94"/>
    <w:rsid w:val="0063091E"/>
    <w:rsid w:val="0065091A"/>
    <w:rsid w:val="00657E4A"/>
    <w:rsid w:val="006D2D9A"/>
    <w:rsid w:val="006D7C16"/>
    <w:rsid w:val="006E3DE1"/>
    <w:rsid w:val="00734D2D"/>
    <w:rsid w:val="0073689B"/>
    <w:rsid w:val="007412E0"/>
    <w:rsid w:val="00774C7C"/>
    <w:rsid w:val="007D4FBB"/>
    <w:rsid w:val="007F7538"/>
    <w:rsid w:val="008013E7"/>
    <w:rsid w:val="0080239D"/>
    <w:rsid w:val="00810338"/>
    <w:rsid w:val="008370B8"/>
    <w:rsid w:val="0084433E"/>
    <w:rsid w:val="00850213"/>
    <w:rsid w:val="00861DE2"/>
    <w:rsid w:val="008832E8"/>
    <w:rsid w:val="008A64A7"/>
    <w:rsid w:val="008B5B9B"/>
    <w:rsid w:val="008C2761"/>
    <w:rsid w:val="008D4782"/>
    <w:rsid w:val="008F2CE1"/>
    <w:rsid w:val="00923BA9"/>
    <w:rsid w:val="00926DE2"/>
    <w:rsid w:val="00933B65"/>
    <w:rsid w:val="009701EB"/>
    <w:rsid w:val="0098562C"/>
    <w:rsid w:val="009E3D21"/>
    <w:rsid w:val="009F361B"/>
    <w:rsid w:val="00A55D78"/>
    <w:rsid w:val="00A73340"/>
    <w:rsid w:val="00A810D2"/>
    <w:rsid w:val="00A86A8D"/>
    <w:rsid w:val="00AA199C"/>
    <w:rsid w:val="00AA25A1"/>
    <w:rsid w:val="00AA5502"/>
    <w:rsid w:val="00B170ED"/>
    <w:rsid w:val="00B179E6"/>
    <w:rsid w:val="00B21715"/>
    <w:rsid w:val="00B52844"/>
    <w:rsid w:val="00B75015"/>
    <w:rsid w:val="00B86E88"/>
    <w:rsid w:val="00BB2B34"/>
    <w:rsid w:val="00BB470C"/>
    <w:rsid w:val="00BB69F4"/>
    <w:rsid w:val="00BC0611"/>
    <w:rsid w:val="00BC220A"/>
    <w:rsid w:val="00BC4BBD"/>
    <w:rsid w:val="00BE34CF"/>
    <w:rsid w:val="00C01F6A"/>
    <w:rsid w:val="00C1182C"/>
    <w:rsid w:val="00C15A7E"/>
    <w:rsid w:val="00C51B29"/>
    <w:rsid w:val="00C6098F"/>
    <w:rsid w:val="00C628F1"/>
    <w:rsid w:val="00C6518B"/>
    <w:rsid w:val="00C67169"/>
    <w:rsid w:val="00C72A35"/>
    <w:rsid w:val="00CD5AEE"/>
    <w:rsid w:val="00CF0FE6"/>
    <w:rsid w:val="00D31D54"/>
    <w:rsid w:val="00D44C2B"/>
    <w:rsid w:val="00DA3D04"/>
    <w:rsid w:val="00DC699D"/>
    <w:rsid w:val="00EA3D98"/>
    <w:rsid w:val="00EE6CE7"/>
    <w:rsid w:val="00F125AD"/>
    <w:rsid w:val="00F40619"/>
    <w:rsid w:val="00F47052"/>
    <w:rsid w:val="00F648C0"/>
    <w:rsid w:val="00F85C8A"/>
    <w:rsid w:val="00FA0A2E"/>
    <w:rsid w:val="00FA2A43"/>
    <w:rsid w:val="00FA7FC0"/>
    <w:rsid w:val="00FB0516"/>
    <w:rsid w:val="00FE0046"/>
    <w:rsid w:val="00FF48B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A563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3F5F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F5F63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8AFD0-F85F-40A8-B865-EF181B49A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2018-09-27T15:30:00Z</dcterms:created>
  <dcterms:modified xsi:type="dcterms:W3CDTF">2018-09-27T15:32:00Z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