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551811" w:rsidP="0050388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DE23A0"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F3250C">
        <w:rPr>
          <w:rFonts w:ascii="Book Antiqua" w:hAnsi="Book Antiqua" w:cs="Arial"/>
          <w:b/>
          <w:color w:val="000000"/>
        </w:rPr>
        <w:t xml:space="preserve">   </w:t>
      </w:r>
      <w:proofErr w:type="gramEnd"/>
      <w:r w:rsidR="00F3250C">
        <w:rPr>
          <w:rFonts w:ascii="Book Antiqua" w:hAnsi="Book Antiqua" w:cs="Arial"/>
          <w:b/>
          <w:color w:val="000000"/>
        </w:rPr>
        <w:t xml:space="preserve">                    </w:t>
      </w:r>
      <w:r w:rsidR="00B3524D" w:rsidRPr="00F3250C">
        <w:rPr>
          <w:rFonts w:ascii="Book Antiqua" w:hAnsi="Book Antiqua" w:cs="Arial"/>
          <w:b/>
          <w:color w:val="000000"/>
        </w:rPr>
        <w:t>Appeal Number</w:t>
      </w:r>
      <w:r w:rsidR="00D53769" w:rsidRPr="00F3250C">
        <w:rPr>
          <w:rFonts w:ascii="Book Antiqua" w:hAnsi="Book Antiqua" w:cs="Arial"/>
          <w:b/>
          <w:color w:val="000000"/>
        </w:rPr>
        <w:t>:</w:t>
      </w:r>
      <w:r w:rsidR="00B3524D" w:rsidRPr="00F3250C">
        <w:rPr>
          <w:rFonts w:ascii="Book Antiqua" w:hAnsi="Book Antiqua" w:cs="Arial"/>
          <w:b/>
          <w:color w:val="000000"/>
        </w:rPr>
        <w:t xml:space="preserve"> </w:t>
      </w:r>
      <w:r w:rsidR="00DE23A0" w:rsidRPr="00F3250C">
        <w:rPr>
          <w:rFonts w:ascii="Book Antiqua" w:hAnsi="Book Antiqua" w:cs="Arial"/>
          <w:b/>
          <w:caps/>
          <w:color w:val="000000"/>
        </w:rPr>
        <w:t>PA/12567/2017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67300D" w:rsidTr="00F3250C">
        <w:tc>
          <w:tcPr>
            <w:tcW w:w="5245" w:type="dxa"/>
            <w:shd w:val="clear" w:color="auto" w:fill="auto"/>
          </w:tcPr>
          <w:p w:rsidR="00D22636" w:rsidRPr="0067300D" w:rsidRDefault="00D22636" w:rsidP="0067300D">
            <w:pPr>
              <w:jc w:val="both"/>
              <w:rPr>
                <w:rFonts w:ascii="Book Antiqua" w:hAnsi="Book Antiqua" w:cs="Arial"/>
                <w:b/>
              </w:rPr>
            </w:pPr>
            <w:r w:rsidRPr="0067300D">
              <w:rPr>
                <w:rFonts w:ascii="Book Antiqua" w:hAnsi="Book Antiqua" w:cs="Arial"/>
                <w:b/>
              </w:rPr>
              <w:t xml:space="preserve">Heard at </w:t>
            </w:r>
            <w:r w:rsidR="00DE23A0" w:rsidRPr="0067300D">
              <w:rPr>
                <w:rFonts w:ascii="Book Antiqua" w:hAnsi="Book Antiqua" w:cs="Arial"/>
                <w:b/>
              </w:rPr>
              <w:t>Field House</w:t>
            </w:r>
          </w:p>
        </w:tc>
        <w:tc>
          <w:tcPr>
            <w:tcW w:w="4393" w:type="dxa"/>
            <w:shd w:val="clear" w:color="auto" w:fill="auto"/>
          </w:tcPr>
          <w:p w:rsidR="00D22636" w:rsidRPr="0067300D" w:rsidRDefault="00847259" w:rsidP="0067300D">
            <w:pPr>
              <w:jc w:val="both"/>
              <w:rPr>
                <w:rFonts w:ascii="Book Antiqua" w:hAnsi="Book Antiqua" w:cs="Arial"/>
                <w:b/>
                <w:color w:val="000000"/>
              </w:rPr>
            </w:pPr>
            <w:r w:rsidRPr="0067300D">
              <w:rPr>
                <w:rFonts w:ascii="Book Antiqua" w:hAnsi="Book Antiqua" w:cs="Arial"/>
                <w:b/>
                <w:color w:val="000000"/>
              </w:rPr>
              <w:t>Decision &amp; Reasons</w:t>
            </w:r>
            <w:r w:rsidR="00283659" w:rsidRPr="0067300D">
              <w:rPr>
                <w:rFonts w:ascii="Book Antiqua" w:hAnsi="Book Antiqua" w:cs="Arial"/>
                <w:b/>
                <w:color w:val="000000"/>
              </w:rPr>
              <w:t xml:space="preserve"> Promulgated</w:t>
            </w:r>
          </w:p>
        </w:tc>
      </w:tr>
      <w:tr w:rsidR="00D22636" w:rsidRPr="0067300D" w:rsidTr="00F3250C">
        <w:tc>
          <w:tcPr>
            <w:tcW w:w="5245" w:type="dxa"/>
            <w:shd w:val="clear" w:color="auto" w:fill="auto"/>
          </w:tcPr>
          <w:p w:rsidR="00D22636" w:rsidRPr="0067300D" w:rsidRDefault="00D22636" w:rsidP="0067300D">
            <w:pPr>
              <w:jc w:val="both"/>
              <w:rPr>
                <w:rFonts w:ascii="Book Antiqua" w:hAnsi="Book Antiqua" w:cs="Arial"/>
                <w:b/>
              </w:rPr>
            </w:pPr>
            <w:r w:rsidRPr="0067300D">
              <w:rPr>
                <w:rFonts w:ascii="Book Antiqua" w:hAnsi="Book Antiqua" w:cs="Arial"/>
                <w:b/>
              </w:rPr>
              <w:t xml:space="preserve">On </w:t>
            </w:r>
            <w:r w:rsidR="005A3022" w:rsidRPr="0067300D">
              <w:rPr>
                <w:rFonts w:ascii="Book Antiqua" w:hAnsi="Book Antiqua" w:cs="Arial"/>
                <w:b/>
              </w:rPr>
              <w:t>12 June 2018</w:t>
            </w:r>
          </w:p>
        </w:tc>
        <w:tc>
          <w:tcPr>
            <w:tcW w:w="4393" w:type="dxa"/>
            <w:shd w:val="clear" w:color="auto" w:fill="auto"/>
          </w:tcPr>
          <w:p w:rsidR="00D22636" w:rsidRPr="0067300D" w:rsidRDefault="001D7BC2" w:rsidP="0067300D">
            <w:pPr>
              <w:jc w:val="both"/>
              <w:rPr>
                <w:rFonts w:ascii="Book Antiqua" w:hAnsi="Book Antiqua" w:cs="Arial"/>
                <w:b/>
              </w:rPr>
            </w:pPr>
            <w:r>
              <w:rPr>
                <w:rFonts w:ascii="Book Antiqua" w:hAnsi="Book Antiqua" w:cs="Arial"/>
                <w:b/>
              </w:rPr>
              <w:t>On 27 June 2018</w:t>
            </w:r>
          </w:p>
        </w:tc>
      </w:tr>
      <w:tr w:rsidR="00D22636" w:rsidRPr="0067300D" w:rsidTr="00F3250C">
        <w:tc>
          <w:tcPr>
            <w:tcW w:w="5245" w:type="dxa"/>
            <w:shd w:val="clear" w:color="auto" w:fill="auto"/>
          </w:tcPr>
          <w:p w:rsidR="00D22636" w:rsidRPr="0067300D" w:rsidRDefault="00D22636" w:rsidP="0067300D">
            <w:pPr>
              <w:jc w:val="both"/>
              <w:rPr>
                <w:rFonts w:ascii="Book Antiqua" w:hAnsi="Book Antiqua" w:cs="Arial"/>
                <w:b/>
              </w:rPr>
            </w:pPr>
          </w:p>
        </w:tc>
        <w:tc>
          <w:tcPr>
            <w:tcW w:w="4393" w:type="dxa"/>
            <w:shd w:val="clear" w:color="auto" w:fill="auto"/>
          </w:tcPr>
          <w:p w:rsidR="00D22636" w:rsidRPr="0067300D" w:rsidRDefault="00D22636" w:rsidP="0067300D">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120418">
        <w:rPr>
          <w:rFonts w:ascii="Book Antiqua" w:hAnsi="Book Antiqua" w:cs="Arial"/>
          <w:b/>
          <w:color w:val="000000"/>
        </w:rPr>
        <w:t>JUDGE</w:t>
      </w:r>
      <w:r>
        <w:rPr>
          <w:rFonts w:ascii="Book Antiqua" w:hAnsi="Book Antiqua" w:cs="Arial"/>
          <w:b/>
          <w:color w:val="000000"/>
        </w:rPr>
        <w:t xml:space="preserve"> </w:t>
      </w:r>
      <w:r w:rsidR="00C520FF">
        <w:rPr>
          <w:rFonts w:ascii="Book Antiqua" w:hAnsi="Book Antiqua" w:cs="Arial"/>
          <w:b/>
          <w:color w:val="000000"/>
        </w:rPr>
        <w:t>CHAMBERLAIN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0409F2" w:rsidP="00A15234">
      <w:pPr>
        <w:jc w:val="center"/>
        <w:rPr>
          <w:rFonts w:ascii="Book Antiqua" w:hAnsi="Book Antiqua" w:cs="Arial"/>
          <w:b/>
          <w:caps/>
        </w:rPr>
      </w:pPr>
      <w:r>
        <w:rPr>
          <w:rFonts w:ascii="Book Antiqua" w:hAnsi="Book Antiqua" w:cs="Arial"/>
          <w:b/>
          <w:caps/>
        </w:rPr>
        <w:t>AS</w:t>
      </w:r>
    </w:p>
    <w:p w:rsidR="00704B61" w:rsidRPr="00F3250C" w:rsidRDefault="00847259" w:rsidP="00A15234">
      <w:pPr>
        <w:jc w:val="center"/>
        <w:rPr>
          <w:rFonts w:ascii="Book Antiqua" w:hAnsi="Book Antiqua" w:cs="Arial"/>
        </w:rPr>
      </w:pPr>
      <w:r w:rsidRPr="00F3250C">
        <w:rPr>
          <w:rFonts w:ascii="Book Antiqua" w:hAnsi="Book Antiqua" w:cs="Arial"/>
          <w:caps/>
        </w:rPr>
        <w:t>(anonymity direction</w:t>
      </w:r>
      <w:r w:rsidR="00291A96" w:rsidRPr="00F3250C">
        <w:rPr>
          <w:rFonts w:ascii="Book Antiqua" w:hAnsi="Book Antiqua" w:cs="Arial"/>
          <w:caps/>
        </w:rPr>
        <w:t xml:space="preserve"> MADE</w:t>
      </w:r>
      <w:r w:rsidRPr="00F3250C">
        <w:rPr>
          <w:rFonts w:ascii="Book Antiqua" w:hAnsi="Book Antiqua" w:cs="Arial"/>
          <w:caps/>
        </w:rPr>
        <w:t>)</w:t>
      </w:r>
    </w:p>
    <w:p w:rsidR="00704B61" w:rsidRPr="00AE6DDE" w:rsidRDefault="00120418" w:rsidP="00704B61">
      <w:pPr>
        <w:jc w:val="right"/>
        <w:rPr>
          <w:rFonts w:ascii="Book Antiqua" w:hAnsi="Book Antiqua" w:cs="Arial"/>
          <w:u w:val="single"/>
        </w:rPr>
      </w:pPr>
      <w:r>
        <w:rPr>
          <w:rFonts w:ascii="Book Antiqua" w:hAnsi="Book Antiqua" w:cs="Arial"/>
          <w:u w:val="single"/>
        </w:rPr>
        <w:t>Appellant</w:t>
      </w:r>
    </w:p>
    <w:p w:rsidR="00F3250C" w:rsidRDefault="00F3250C"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F3250C" w:rsidRPr="00AE6DDE" w:rsidRDefault="00F3250C"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120418"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120418">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83178F">
        <w:rPr>
          <w:rFonts w:ascii="Book Antiqua" w:hAnsi="Book Antiqua" w:cs="Arial"/>
        </w:rPr>
        <w:t>Ms</w:t>
      </w:r>
      <w:r w:rsidR="004751F9">
        <w:rPr>
          <w:rFonts w:ascii="Book Antiqua" w:hAnsi="Book Antiqua" w:cs="Arial"/>
        </w:rPr>
        <w:t>. A. Lahore</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120418">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5A3022">
        <w:rPr>
          <w:rFonts w:ascii="Book Antiqua" w:hAnsi="Book Antiqua" w:cs="Arial"/>
        </w:rPr>
        <w:t>Mr</w:t>
      </w:r>
      <w:r w:rsidR="00120418">
        <w:rPr>
          <w:rFonts w:ascii="Book Antiqua" w:hAnsi="Book Antiqua" w:cs="Arial"/>
        </w:rPr>
        <w:t>.</w:t>
      </w:r>
      <w:r w:rsidR="005A3022">
        <w:rPr>
          <w:rFonts w:ascii="Book Antiqua" w:hAnsi="Book Antiqua" w:cs="Arial"/>
        </w:rPr>
        <w:t xml:space="preserve"> T</w:t>
      </w:r>
      <w:r w:rsidR="00120418">
        <w:rPr>
          <w:rFonts w:ascii="Book Antiqua" w:hAnsi="Book Antiqua" w:cs="Arial"/>
        </w:rPr>
        <w:t>.</w:t>
      </w:r>
      <w:r w:rsidR="005A3022">
        <w:rPr>
          <w:rFonts w:ascii="Book Antiqua" w:hAnsi="Book Antiqua" w:cs="Arial"/>
        </w:rPr>
        <w:t xml:space="preserve"> Melvin,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F3250C" w:rsidRDefault="00120418" w:rsidP="00120418">
      <w:pPr>
        <w:numPr>
          <w:ilvl w:val="0"/>
          <w:numId w:val="1"/>
        </w:numPr>
        <w:ind w:left="579" w:hanging="573"/>
        <w:jc w:val="both"/>
        <w:rPr>
          <w:rFonts w:ascii="Book Antiqua" w:hAnsi="Book Antiqua"/>
        </w:rPr>
      </w:pPr>
      <w:r w:rsidRPr="00120418">
        <w:rPr>
          <w:rFonts w:ascii="Book Antiqua" w:hAnsi="Book Antiqua"/>
        </w:rPr>
        <w:t xml:space="preserve">This is an appeal by the </w:t>
      </w:r>
      <w:r>
        <w:rPr>
          <w:rFonts w:ascii="Book Antiqua" w:hAnsi="Book Antiqua"/>
        </w:rPr>
        <w:t>Appellant</w:t>
      </w:r>
      <w:r w:rsidRPr="00120418">
        <w:rPr>
          <w:rFonts w:ascii="Book Antiqua" w:hAnsi="Book Antiqua"/>
        </w:rPr>
        <w:t xml:space="preserve"> against the decision of First-tier Tribunal </w:t>
      </w:r>
      <w:r>
        <w:rPr>
          <w:rFonts w:ascii="Book Antiqua" w:hAnsi="Book Antiqua"/>
        </w:rPr>
        <w:t>Judge</w:t>
      </w:r>
      <w:r w:rsidRPr="00120418">
        <w:rPr>
          <w:rFonts w:ascii="Book Antiqua" w:hAnsi="Book Antiqua"/>
        </w:rPr>
        <w:t xml:space="preserve"> Young</w:t>
      </w:r>
      <w:r>
        <w:rPr>
          <w:rFonts w:ascii="Book Antiqua" w:hAnsi="Book Antiqua"/>
        </w:rPr>
        <w:t>,</w:t>
      </w:r>
      <w:r w:rsidRPr="00120418">
        <w:rPr>
          <w:rFonts w:ascii="Book Antiqua" w:hAnsi="Book Antiqua"/>
        </w:rPr>
        <w:t xml:space="preserve"> promulgated on 16 March 2018</w:t>
      </w:r>
      <w:r>
        <w:rPr>
          <w:rFonts w:ascii="Book Antiqua" w:hAnsi="Book Antiqua"/>
        </w:rPr>
        <w:t>,</w:t>
      </w:r>
      <w:r w:rsidRPr="00120418">
        <w:rPr>
          <w:rFonts w:ascii="Book Antiqua" w:hAnsi="Book Antiqua"/>
        </w:rPr>
        <w:t xml:space="preserve"> in which he dismissed the </w:t>
      </w:r>
      <w:r>
        <w:rPr>
          <w:rFonts w:ascii="Book Antiqua" w:hAnsi="Book Antiqua"/>
        </w:rPr>
        <w:t>Appellant</w:t>
      </w:r>
      <w:r w:rsidRPr="00120418">
        <w:rPr>
          <w:rFonts w:ascii="Book Antiqua" w:hAnsi="Book Antiqua"/>
        </w:rPr>
        <w:t xml:space="preserve">’s appeal against the </w:t>
      </w:r>
      <w:r>
        <w:rPr>
          <w:rFonts w:ascii="Book Antiqua" w:hAnsi="Book Antiqua"/>
        </w:rPr>
        <w:t>Respondent</w:t>
      </w:r>
      <w:r w:rsidRPr="00120418">
        <w:rPr>
          <w:rFonts w:ascii="Book Antiqua" w:hAnsi="Book Antiqua"/>
        </w:rPr>
        <w:t xml:space="preserve">’s decision to refuse to grant asylum. </w:t>
      </w:r>
    </w:p>
    <w:p w:rsidR="00120418" w:rsidRDefault="00120418" w:rsidP="00F3250C">
      <w:pPr>
        <w:ind w:left="6"/>
        <w:jc w:val="both"/>
        <w:rPr>
          <w:rFonts w:ascii="Book Antiqua" w:hAnsi="Book Antiqua"/>
        </w:rPr>
      </w:pPr>
      <w:r w:rsidRPr="00120418">
        <w:rPr>
          <w:rFonts w:ascii="Book Antiqua" w:hAnsi="Book Antiqua"/>
        </w:rPr>
        <w:t xml:space="preserve"> </w:t>
      </w:r>
    </w:p>
    <w:p w:rsidR="00120418" w:rsidRDefault="00120418" w:rsidP="00120418">
      <w:pPr>
        <w:numPr>
          <w:ilvl w:val="0"/>
          <w:numId w:val="1"/>
        </w:numPr>
        <w:ind w:left="579" w:hanging="573"/>
        <w:jc w:val="both"/>
        <w:rPr>
          <w:rFonts w:ascii="Book Antiqua" w:hAnsi="Book Antiqua"/>
        </w:rPr>
      </w:pPr>
      <w:r w:rsidRPr="00120418">
        <w:rPr>
          <w:rFonts w:ascii="Book Antiqua" w:hAnsi="Book Antiqua"/>
        </w:rPr>
        <w:t>As this is an asylum appeal I make an anonymity direction</w:t>
      </w:r>
      <w:r>
        <w:rPr>
          <w:rFonts w:ascii="Book Antiqua" w:hAnsi="Book Antiqua"/>
        </w:rPr>
        <w:t>.</w:t>
      </w:r>
    </w:p>
    <w:p w:rsidR="00120418" w:rsidRDefault="00120418" w:rsidP="00120418">
      <w:pPr>
        <w:ind w:left="579"/>
        <w:jc w:val="both"/>
        <w:rPr>
          <w:rFonts w:ascii="Book Antiqua" w:hAnsi="Book Antiqua"/>
        </w:rPr>
      </w:pPr>
    </w:p>
    <w:p w:rsidR="00120418" w:rsidRPr="00120418" w:rsidRDefault="00B80B72" w:rsidP="00120418">
      <w:pPr>
        <w:numPr>
          <w:ilvl w:val="0"/>
          <w:numId w:val="1"/>
        </w:numPr>
        <w:ind w:left="579" w:hanging="573"/>
        <w:jc w:val="both"/>
        <w:rPr>
          <w:rFonts w:ascii="Book Antiqua" w:hAnsi="Book Antiqua"/>
        </w:rPr>
      </w:pPr>
      <w:r w:rsidRPr="00120418">
        <w:rPr>
          <w:rFonts w:ascii="Book Antiqua" w:hAnsi="Book Antiqua"/>
        </w:rPr>
        <w:t>Permission to appeal was granted as follows:</w:t>
      </w:r>
    </w:p>
    <w:p w:rsidR="00120418" w:rsidRPr="00120418" w:rsidRDefault="00120418" w:rsidP="00120418">
      <w:pPr>
        <w:pStyle w:val="ListParagraph"/>
        <w:rPr>
          <w:rFonts w:ascii="Book Antiqua" w:hAnsi="Book Antiqua"/>
        </w:rPr>
      </w:pPr>
    </w:p>
    <w:p w:rsidR="00120418" w:rsidRDefault="00D5113F" w:rsidP="00120418">
      <w:pPr>
        <w:ind w:left="579"/>
        <w:jc w:val="both"/>
        <w:rPr>
          <w:rFonts w:ascii="Book Antiqua" w:hAnsi="Book Antiqua"/>
        </w:rPr>
      </w:pPr>
      <w:r w:rsidRPr="00120418">
        <w:rPr>
          <w:rFonts w:ascii="Book Antiqua" w:hAnsi="Book Antiqua"/>
        </w:rPr>
        <w:t xml:space="preserve">“There is some arguable merit in the grounds because the </w:t>
      </w:r>
      <w:r w:rsidR="00120418" w:rsidRPr="00120418">
        <w:rPr>
          <w:rFonts w:ascii="Book Antiqua" w:hAnsi="Book Antiqua"/>
        </w:rPr>
        <w:t>Judge</w:t>
      </w:r>
      <w:r w:rsidRPr="00120418">
        <w:rPr>
          <w:rFonts w:ascii="Book Antiqua" w:hAnsi="Book Antiqua"/>
        </w:rPr>
        <w:t xml:space="preserve"> does not m</w:t>
      </w:r>
      <w:r w:rsidR="000409F2">
        <w:rPr>
          <w:rFonts w:ascii="Book Antiqua" w:hAnsi="Book Antiqua"/>
        </w:rPr>
        <w:t xml:space="preserve">ake findings on whether or not </w:t>
      </w:r>
      <w:r w:rsidRPr="00120418">
        <w:rPr>
          <w:rFonts w:ascii="Book Antiqua" w:hAnsi="Book Antiqua"/>
        </w:rPr>
        <w:t xml:space="preserve">he found the </w:t>
      </w:r>
      <w:r w:rsidR="00120418" w:rsidRPr="00120418">
        <w:rPr>
          <w:rFonts w:ascii="Book Antiqua" w:hAnsi="Book Antiqua"/>
        </w:rPr>
        <w:t>Appellant</w:t>
      </w:r>
      <w:r w:rsidRPr="00120418">
        <w:rPr>
          <w:rFonts w:ascii="Book Antiqua" w:hAnsi="Book Antiqua"/>
        </w:rPr>
        <w:t>’s wit</w:t>
      </w:r>
      <w:r w:rsidR="00120418">
        <w:rPr>
          <w:rFonts w:ascii="Book Antiqua" w:hAnsi="Book Antiqua"/>
        </w:rPr>
        <w:t>nes</w:t>
      </w:r>
      <w:r w:rsidR="000409F2">
        <w:rPr>
          <w:rFonts w:ascii="Book Antiqua" w:hAnsi="Book Antiqua"/>
        </w:rPr>
        <w:t>ses</w:t>
      </w:r>
      <w:r w:rsidR="00120418">
        <w:rPr>
          <w:rFonts w:ascii="Book Antiqua" w:hAnsi="Book Antiqua"/>
        </w:rPr>
        <w:t xml:space="preserve"> </w:t>
      </w:r>
      <w:proofErr w:type="gramStart"/>
      <w:r w:rsidR="00120418">
        <w:rPr>
          <w:rFonts w:ascii="Book Antiqua" w:hAnsi="Book Antiqua"/>
        </w:rPr>
        <w:t xml:space="preserve">credible; </w:t>
      </w:r>
      <w:r w:rsidRPr="00120418">
        <w:rPr>
          <w:rFonts w:ascii="Book Antiqua" w:hAnsi="Book Antiqua"/>
        </w:rPr>
        <w:t xml:space="preserve"> As</w:t>
      </w:r>
      <w:proofErr w:type="gramEnd"/>
      <w:r w:rsidRPr="00120418">
        <w:rPr>
          <w:rFonts w:ascii="Book Antiqua" w:hAnsi="Book Antiqua"/>
        </w:rPr>
        <w:t xml:space="preserve"> to </w:t>
      </w:r>
      <w:r w:rsidR="000409F2">
        <w:rPr>
          <w:rFonts w:ascii="Book Antiqua" w:hAnsi="Book Antiqua"/>
        </w:rPr>
        <w:t>I-L</w:t>
      </w:r>
      <w:r w:rsidRPr="00120418">
        <w:rPr>
          <w:rFonts w:ascii="Book Antiqua" w:hAnsi="Book Antiqua"/>
        </w:rPr>
        <w:t xml:space="preserve">D, the implication is that she may not be an objective, independent witness but this is not </w:t>
      </w:r>
      <w:r w:rsidRPr="00120418">
        <w:rPr>
          <w:rFonts w:ascii="Book Antiqua" w:hAnsi="Book Antiqua"/>
        </w:rPr>
        <w:lastRenderedPageBreak/>
        <w:t xml:space="preserve">stated (see </w:t>
      </w:r>
      <w:r w:rsidR="004D0C82" w:rsidRPr="00120418">
        <w:rPr>
          <w:rFonts w:ascii="Book Antiqua" w:hAnsi="Book Antiqua"/>
        </w:rPr>
        <w:t>[</w:t>
      </w:r>
      <w:r w:rsidRPr="00120418">
        <w:rPr>
          <w:rFonts w:ascii="Book Antiqua" w:hAnsi="Book Antiqua"/>
        </w:rPr>
        <w:t>88</w:t>
      </w:r>
      <w:r w:rsidR="004D0C82" w:rsidRPr="00120418">
        <w:rPr>
          <w:rFonts w:ascii="Book Antiqua" w:hAnsi="Book Antiqua"/>
        </w:rPr>
        <w:t>]</w:t>
      </w:r>
      <w:r w:rsidRPr="00120418">
        <w:rPr>
          <w:rFonts w:ascii="Book Antiqua" w:hAnsi="Book Antiqua"/>
        </w:rPr>
        <w:t xml:space="preserve">).  As to </w:t>
      </w:r>
      <w:r w:rsidR="000409F2">
        <w:rPr>
          <w:rFonts w:ascii="Book Antiqua" w:hAnsi="Book Antiqua"/>
        </w:rPr>
        <w:t>S</w:t>
      </w:r>
      <w:r w:rsidR="001B63CB" w:rsidRPr="00120418">
        <w:rPr>
          <w:rFonts w:ascii="Book Antiqua" w:hAnsi="Book Antiqua"/>
        </w:rPr>
        <w:t>C</w:t>
      </w:r>
      <w:r w:rsidR="00120418">
        <w:rPr>
          <w:rFonts w:ascii="Book Antiqua" w:hAnsi="Book Antiqua"/>
        </w:rPr>
        <w:t>,</w:t>
      </w:r>
      <w:r w:rsidRPr="00120418">
        <w:rPr>
          <w:rFonts w:ascii="Book Antiqua" w:hAnsi="Book Antiqua"/>
        </w:rPr>
        <w:t xml:space="preserve"> the </w:t>
      </w:r>
      <w:r w:rsidR="00120418" w:rsidRPr="00120418">
        <w:rPr>
          <w:rFonts w:ascii="Book Antiqua" w:hAnsi="Book Antiqua"/>
        </w:rPr>
        <w:t>Judge</w:t>
      </w:r>
      <w:r w:rsidRPr="00120418">
        <w:rPr>
          <w:rFonts w:ascii="Book Antiqua" w:hAnsi="Book Antiqua"/>
        </w:rPr>
        <w:t xml:space="preserve"> does not state </w:t>
      </w:r>
      <w:proofErr w:type="gramStart"/>
      <w:r w:rsidRPr="00120418">
        <w:rPr>
          <w:rFonts w:ascii="Book Antiqua" w:hAnsi="Book Antiqua"/>
        </w:rPr>
        <w:t>whether or not</w:t>
      </w:r>
      <w:proofErr w:type="gramEnd"/>
      <w:r w:rsidRPr="00120418">
        <w:rPr>
          <w:rFonts w:ascii="Book Antiqua" w:hAnsi="Book Antiqua"/>
        </w:rPr>
        <w:t xml:space="preserve"> he found </w:t>
      </w:r>
      <w:r w:rsidR="000409F2">
        <w:rPr>
          <w:rFonts w:ascii="Book Antiqua" w:hAnsi="Book Antiqua"/>
        </w:rPr>
        <w:t>S</w:t>
      </w:r>
      <w:r w:rsidR="00120418">
        <w:rPr>
          <w:rFonts w:ascii="Book Antiqua" w:hAnsi="Book Antiqua"/>
        </w:rPr>
        <w:t xml:space="preserve">C’s </w:t>
      </w:r>
      <w:r w:rsidRPr="00120418">
        <w:rPr>
          <w:rFonts w:ascii="Book Antiqua" w:hAnsi="Book Antiqua"/>
        </w:rPr>
        <w:t>evidence credible and if so why his evidence did not carry weight.</w:t>
      </w:r>
      <w:r w:rsidR="00C01304" w:rsidRPr="00120418">
        <w:rPr>
          <w:rFonts w:ascii="Book Antiqua" w:hAnsi="Book Antiqua"/>
        </w:rPr>
        <w:t xml:space="preserve">  Permission to appeal is granted.</w:t>
      </w:r>
      <w:r w:rsidRPr="00120418">
        <w:rPr>
          <w:rFonts w:ascii="Book Antiqua" w:hAnsi="Book Antiqua"/>
        </w:rPr>
        <w:t>”</w:t>
      </w:r>
    </w:p>
    <w:p w:rsidR="00120418" w:rsidRDefault="00120418" w:rsidP="00120418">
      <w:pPr>
        <w:pStyle w:val="ListParagraph"/>
        <w:rPr>
          <w:rFonts w:ascii="Book Antiqua" w:hAnsi="Book Antiqua"/>
        </w:rPr>
      </w:pPr>
    </w:p>
    <w:p w:rsidR="00120418" w:rsidRDefault="00120418" w:rsidP="00C01304">
      <w:pPr>
        <w:numPr>
          <w:ilvl w:val="0"/>
          <w:numId w:val="1"/>
        </w:numPr>
        <w:ind w:left="579" w:hanging="573"/>
        <w:jc w:val="both"/>
        <w:rPr>
          <w:rFonts w:ascii="Book Antiqua" w:hAnsi="Book Antiqua"/>
        </w:rPr>
      </w:pPr>
      <w:r w:rsidRPr="00120418">
        <w:rPr>
          <w:rFonts w:ascii="Book Antiqua" w:hAnsi="Book Antiqua"/>
        </w:rPr>
        <w:t>The Appellant attended the hearing</w:t>
      </w:r>
      <w:r>
        <w:rPr>
          <w:rFonts w:ascii="Book Antiqua" w:hAnsi="Book Antiqua"/>
        </w:rPr>
        <w:t xml:space="preserve">.  </w:t>
      </w:r>
      <w:r w:rsidR="00C01304" w:rsidRPr="00120418">
        <w:rPr>
          <w:rFonts w:ascii="Book Antiqua" w:hAnsi="Book Antiqua"/>
        </w:rPr>
        <w:t xml:space="preserve">I heard submissions from both representatives following which I reserved my decision.  </w:t>
      </w:r>
    </w:p>
    <w:p w:rsidR="00120418" w:rsidRPr="00120418" w:rsidRDefault="00120418" w:rsidP="00120418">
      <w:pPr>
        <w:ind w:left="579"/>
        <w:jc w:val="both"/>
        <w:rPr>
          <w:rFonts w:ascii="Book Antiqua" w:hAnsi="Book Antiqua"/>
        </w:rPr>
      </w:pPr>
    </w:p>
    <w:p w:rsidR="00120418" w:rsidRPr="000409F2" w:rsidRDefault="00C01304" w:rsidP="00120418">
      <w:pPr>
        <w:jc w:val="both"/>
        <w:rPr>
          <w:rFonts w:ascii="Book Antiqua" w:hAnsi="Book Antiqua"/>
          <w:b/>
          <w:u w:val="single"/>
        </w:rPr>
      </w:pPr>
      <w:r w:rsidRPr="000409F2">
        <w:rPr>
          <w:rFonts w:ascii="Book Antiqua" w:hAnsi="Book Antiqua"/>
          <w:b/>
          <w:u w:val="single"/>
        </w:rPr>
        <w:t>Error of Law</w:t>
      </w:r>
    </w:p>
    <w:p w:rsidR="009F5879" w:rsidRDefault="009F5879" w:rsidP="009F5879">
      <w:pPr>
        <w:ind w:left="579"/>
        <w:jc w:val="both"/>
        <w:rPr>
          <w:rFonts w:ascii="Book Antiqua" w:hAnsi="Book Antiqua"/>
        </w:rPr>
      </w:pPr>
    </w:p>
    <w:p w:rsidR="00120418" w:rsidRPr="00120418" w:rsidRDefault="001B63CB" w:rsidP="00120418">
      <w:pPr>
        <w:numPr>
          <w:ilvl w:val="0"/>
          <w:numId w:val="1"/>
        </w:numPr>
        <w:ind w:left="579" w:hanging="573"/>
        <w:jc w:val="both"/>
        <w:rPr>
          <w:rFonts w:ascii="Book Antiqua" w:hAnsi="Book Antiqua"/>
        </w:rPr>
      </w:pPr>
      <w:r w:rsidRPr="00120418">
        <w:rPr>
          <w:rFonts w:ascii="Book Antiqua" w:hAnsi="Book Antiqua"/>
        </w:rPr>
        <w:t xml:space="preserve">The evidence of </w:t>
      </w:r>
      <w:r w:rsidR="009F5879">
        <w:rPr>
          <w:rFonts w:ascii="Book Antiqua" w:hAnsi="Book Antiqua"/>
        </w:rPr>
        <w:t xml:space="preserve">SC </w:t>
      </w:r>
      <w:r w:rsidRPr="00120418">
        <w:rPr>
          <w:rFonts w:ascii="Book Antiqua" w:hAnsi="Book Antiqua"/>
        </w:rPr>
        <w:t xml:space="preserve">is set out from </w:t>
      </w:r>
      <w:r w:rsidR="004D0C82" w:rsidRPr="00120418">
        <w:rPr>
          <w:rFonts w:ascii="Book Antiqua" w:hAnsi="Book Antiqua"/>
        </w:rPr>
        <w:t>[</w:t>
      </w:r>
      <w:r w:rsidRPr="00120418">
        <w:rPr>
          <w:rFonts w:ascii="Book Antiqua" w:hAnsi="Book Antiqua"/>
        </w:rPr>
        <w:t>45</w:t>
      </w:r>
      <w:r w:rsidR="004D0C82" w:rsidRPr="00120418">
        <w:rPr>
          <w:rFonts w:ascii="Book Antiqua" w:hAnsi="Book Antiqua"/>
        </w:rPr>
        <w:t>]</w:t>
      </w:r>
      <w:r w:rsidRPr="00120418">
        <w:rPr>
          <w:rFonts w:ascii="Book Antiqua" w:hAnsi="Book Antiqua"/>
        </w:rPr>
        <w:t xml:space="preserve"> to </w:t>
      </w:r>
      <w:r w:rsidR="004D0C82" w:rsidRPr="00120418">
        <w:rPr>
          <w:rFonts w:ascii="Book Antiqua" w:hAnsi="Book Antiqua"/>
        </w:rPr>
        <w:t>[</w:t>
      </w:r>
      <w:r w:rsidRPr="00120418">
        <w:rPr>
          <w:rFonts w:ascii="Book Antiqua" w:hAnsi="Book Antiqua"/>
        </w:rPr>
        <w:t>53</w:t>
      </w:r>
      <w:r w:rsidR="004D0C82" w:rsidRPr="00120418">
        <w:rPr>
          <w:rFonts w:ascii="Book Antiqua" w:hAnsi="Book Antiqua"/>
        </w:rPr>
        <w:t>]</w:t>
      </w:r>
      <w:r w:rsidR="00120418">
        <w:t>,</w:t>
      </w:r>
      <w:r w:rsidRPr="00120418">
        <w:rPr>
          <w:rFonts w:ascii="Book Antiqua" w:hAnsi="Book Antiqua"/>
        </w:rPr>
        <w:t xml:space="preserve"> and </w:t>
      </w:r>
      <w:r w:rsidR="009F5879">
        <w:rPr>
          <w:rFonts w:ascii="Book Antiqua" w:hAnsi="Book Antiqua"/>
        </w:rPr>
        <w:t xml:space="preserve">that of I-LD </w:t>
      </w:r>
      <w:r w:rsidRPr="00120418">
        <w:rPr>
          <w:rFonts w:ascii="Book Antiqua" w:hAnsi="Book Antiqua"/>
        </w:rPr>
        <w:t xml:space="preserve">at </w:t>
      </w:r>
      <w:r w:rsidR="004D0C82" w:rsidRPr="00120418">
        <w:rPr>
          <w:rFonts w:ascii="Book Antiqua" w:hAnsi="Book Antiqua"/>
        </w:rPr>
        <w:t>[</w:t>
      </w:r>
      <w:r w:rsidRPr="00120418">
        <w:rPr>
          <w:rFonts w:ascii="Book Antiqua" w:hAnsi="Book Antiqua"/>
        </w:rPr>
        <w:t>54</w:t>
      </w:r>
      <w:r w:rsidR="004D0C82" w:rsidRPr="00120418">
        <w:rPr>
          <w:rFonts w:ascii="Book Antiqua" w:hAnsi="Book Antiqua"/>
        </w:rPr>
        <w:t xml:space="preserve">] to [62].  An assessment of their evidence in the conclusions is set out in relation to </w:t>
      </w:r>
      <w:r w:rsidR="009F5879">
        <w:rPr>
          <w:rFonts w:ascii="Book Antiqua" w:hAnsi="Book Antiqua"/>
        </w:rPr>
        <w:t xml:space="preserve">I-LD </w:t>
      </w:r>
      <w:r w:rsidR="004D0C82" w:rsidRPr="00120418">
        <w:rPr>
          <w:rFonts w:ascii="Book Antiqua" w:hAnsi="Book Antiqua"/>
        </w:rPr>
        <w:t xml:space="preserve">at [88] and </w:t>
      </w:r>
      <w:r w:rsidR="009F5879">
        <w:rPr>
          <w:rFonts w:ascii="Book Antiqua" w:hAnsi="Book Antiqua"/>
        </w:rPr>
        <w:t>S</w:t>
      </w:r>
      <w:r w:rsidR="004D0C82" w:rsidRPr="00120418">
        <w:rPr>
          <w:rFonts w:ascii="Book Antiqua" w:hAnsi="Book Antiqua"/>
        </w:rPr>
        <w:t xml:space="preserve">C at [90].  The conclusions of the </w:t>
      </w:r>
      <w:r w:rsidR="00120418" w:rsidRPr="00120418">
        <w:rPr>
          <w:rFonts w:ascii="Book Antiqua" w:hAnsi="Book Antiqua"/>
        </w:rPr>
        <w:t>Judge</w:t>
      </w:r>
      <w:r w:rsidR="004D0C82" w:rsidRPr="00120418">
        <w:rPr>
          <w:rFonts w:ascii="Book Antiqua" w:hAnsi="Book Antiqua"/>
        </w:rPr>
        <w:t xml:space="preserve"> start </w:t>
      </w:r>
      <w:r w:rsidR="000409F2">
        <w:rPr>
          <w:rFonts w:ascii="Book Antiqua" w:hAnsi="Book Antiqua"/>
        </w:rPr>
        <w:t>at [</w:t>
      </w:r>
      <w:r w:rsidR="004D0C82" w:rsidRPr="00120418">
        <w:rPr>
          <w:rFonts w:ascii="Book Antiqua" w:hAnsi="Book Antiqua"/>
        </w:rPr>
        <w:t>83</w:t>
      </w:r>
      <w:r w:rsidR="000409F2">
        <w:rPr>
          <w:rFonts w:ascii="Book Antiqua" w:hAnsi="Book Antiqua"/>
        </w:rPr>
        <w:t>]</w:t>
      </w:r>
      <w:r w:rsidR="004D0C82" w:rsidRPr="00120418">
        <w:rPr>
          <w:rFonts w:ascii="Book Antiqua" w:hAnsi="Book Antiqua"/>
        </w:rPr>
        <w:t xml:space="preserve"> and fini</w:t>
      </w:r>
      <w:r w:rsidR="00120418" w:rsidRPr="00120418">
        <w:rPr>
          <w:rFonts w:ascii="Book Antiqua" w:hAnsi="Book Antiqua"/>
        </w:rPr>
        <w:t xml:space="preserve">sh at [91] where he </w:t>
      </w:r>
      <w:r w:rsidR="000409F2">
        <w:rPr>
          <w:rFonts w:ascii="Book Antiqua" w:hAnsi="Book Antiqua"/>
        </w:rPr>
        <w:t>states</w:t>
      </w:r>
      <w:r w:rsidR="00120418" w:rsidRPr="00120418">
        <w:rPr>
          <w:rFonts w:ascii="Book Antiqua" w:hAnsi="Book Antiqua"/>
        </w:rPr>
        <w:t>:</w:t>
      </w:r>
    </w:p>
    <w:p w:rsidR="00120418" w:rsidRPr="00120418" w:rsidRDefault="00120418" w:rsidP="00120418">
      <w:pPr>
        <w:ind w:left="579"/>
        <w:jc w:val="both"/>
        <w:rPr>
          <w:rFonts w:ascii="Book Antiqua" w:hAnsi="Book Antiqua"/>
        </w:rPr>
      </w:pPr>
    </w:p>
    <w:p w:rsidR="00120418" w:rsidRDefault="004D0C82" w:rsidP="009F5879">
      <w:pPr>
        <w:ind w:left="579"/>
        <w:jc w:val="both"/>
        <w:rPr>
          <w:rFonts w:ascii="Book Antiqua" w:hAnsi="Book Antiqua"/>
        </w:rPr>
      </w:pPr>
      <w:r w:rsidRPr="00120418">
        <w:rPr>
          <w:rFonts w:ascii="Book Antiqua" w:hAnsi="Book Antiqua"/>
        </w:rPr>
        <w:t>“In the round and in considering the above issues</w:t>
      </w:r>
      <w:r w:rsidR="006005F4" w:rsidRPr="00120418">
        <w:rPr>
          <w:rFonts w:ascii="Book Antiqua" w:hAnsi="Book Antiqua"/>
        </w:rPr>
        <w:t xml:space="preserve"> I was not able to find that the </w:t>
      </w:r>
      <w:r w:rsidR="00120418">
        <w:rPr>
          <w:rFonts w:ascii="Book Antiqua" w:hAnsi="Book Antiqua"/>
        </w:rPr>
        <w:t>a</w:t>
      </w:r>
      <w:r w:rsidR="00120418" w:rsidRPr="00120418">
        <w:rPr>
          <w:rFonts w:ascii="Book Antiqua" w:hAnsi="Book Antiqua"/>
        </w:rPr>
        <w:t>ppellant</w:t>
      </w:r>
      <w:r w:rsidR="006005F4" w:rsidRPr="00120418">
        <w:rPr>
          <w:rFonts w:ascii="Book Antiqua" w:hAnsi="Book Antiqua"/>
        </w:rPr>
        <w:t xml:space="preserve"> was a gay person even on the low standard of proof.  The matter that weighed most heavily in that assessment was the failure of the </w:t>
      </w:r>
      <w:r w:rsidR="00120418">
        <w:rPr>
          <w:rFonts w:ascii="Book Antiqua" w:hAnsi="Book Antiqua"/>
        </w:rPr>
        <w:t>a</w:t>
      </w:r>
      <w:r w:rsidR="00120418" w:rsidRPr="00120418">
        <w:rPr>
          <w:rFonts w:ascii="Book Antiqua" w:hAnsi="Book Antiqua"/>
        </w:rPr>
        <w:t>ppellant</w:t>
      </w:r>
      <w:r w:rsidR="006005F4" w:rsidRPr="00120418">
        <w:rPr>
          <w:rFonts w:ascii="Book Antiqua" w:hAnsi="Book Antiqua"/>
        </w:rPr>
        <w:t xml:space="preserve"> to make any claim regarding his sexuality since arrival in the UK in 2008 albeit he says he knew at that time that he was gay.  As indicated I consider that there were very strong indications that he well knew of the position in Pakistan</w:t>
      </w:r>
      <w:r w:rsidR="00EE0364" w:rsidRPr="00120418">
        <w:rPr>
          <w:rFonts w:ascii="Book Antiqua" w:hAnsi="Book Antiqua"/>
        </w:rPr>
        <w:t xml:space="preserve"> and that he was not truthful when he said he only became aware of the position in May 2017.  There was ample opportunity to make his claim had he truly been a gay person.  I consider that he makes this claim because he has run out of other options.  </w:t>
      </w:r>
      <w:proofErr w:type="gramStart"/>
      <w:r w:rsidR="00EE0364" w:rsidRPr="00120418">
        <w:rPr>
          <w:rFonts w:ascii="Book Antiqua" w:hAnsi="Book Antiqua"/>
        </w:rPr>
        <w:t>Thus</w:t>
      </w:r>
      <w:proofErr w:type="gramEnd"/>
      <w:r w:rsidR="00EE0364" w:rsidRPr="00120418">
        <w:rPr>
          <w:rFonts w:ascii="Book Antiqua" w:hAnsi="Book Antiqua"/>
        </w:rPr>
        <w:t xml:space="preserve"> I do not think he is able to avail himself of the protection of the Refugee Convention.</w:t>
      </w:r>
      <w:r w:rsidRPr="00120418">
        <w:rPr>
          <w:rFonts w:ascii="Book Antiqua" w:hAnsi="Book Antiqua"/>
        </w:rPr>
        <w:t>”</w:t>
      </w:r>
    </w:p>
    <w:p w:rsidR="00120418" w:rsidRDefault="00120418" w:rsidP="00120418">
      <w:pPr>
        <w:pStyle w:val="ListParagraph"/>
        <w:rPr>
          <w:rFonts w:ascii="Book Antiqua" w:hAnsi="Book Antiqua"/>
        </w:rPr>
      </w:pPr>
    </w:p>
    <w:p w:rsidR="000409F2" w:rsidRDefault="00DC4298" w:rsidP="000409F2">
      <w:pPr>
        <w:numPr>
          <w:ilvl w:val="0"/>
          <w:numId w:val="1"/>
        </w:numPr>
        <w:ind w:left="579" w:hanging="573"/>
        <w:jc w:val="both"/>
        <w:rPr>
          <w:rFonts w:ascii="Book Antiqua" w:hAnsi="Book Antiqua"/>
        </w:rPr>
      </w:pPr>
      <w:r w:rsidRPr="00120418">
        <w:rPr>
          <w:rFonts w:ascii="Book Antiqua" w:hAnsi="Book Antiqua"/>
        </w:rPr>
        <w:t xml:space="preserve">At [85] </w:t>
      </w:r>
      <w:r w:rsidR="00120418">
        <w:rPr>
          <w:rFonts w:ascii="Book Antiqua" w:hAnsi="Book Antiqua"/>
        </w:rPr>
        <w:t xml:space="preserve">the Judge </w:t>
      </w:r>
      <w:r w:rsidRPr="00120418">
        <w:rPr>
          <w:rFonts w:ascii="Book Antiqua" w:hAnsi="Book Antiqua"/>
        </w:rPr>
        <w:t xml:space="preserve">states that a significant issue was the fact that the </w:t>
      </w:r>
      <w:r w:rsidR="00120418" w:rsidRPr="00120418">
        <w:rPr>
          <w:rFonts w:ascii="Book Antiqua" w:hAnsi="Book Antiqua"/>
        </w:rPr>
        <w:t>Appellant</w:t>
      </w:r>
      <w:r w:rsidRPr="00120418">
        <w:rPr>
          <w:rFonts w:ascii="Book Antiqua" w:hAnsi="Book Antiqua"/>
        </w:rPr>
        <w:t xml:space="preserve"> </w:t>
      </w:r>
      <w:r w:rsidR="00120418">
        <w:rPr>
          <w:rFonts w:ascii="Book Antiqua" w:hAnsi="Book Antiqua"/>
        </w:rPr>
        <w:t>had not mad</w:t>
      </w:r>
      <w:r w:rsidRPr="00120418">
        <w:rPr>
          <w:rFonts w:ascii="Book Antiqua" w:hAnsi="Book Antiqua"/>
        </w:rPr>
        <w:t>e his claim for asylum earlier</w:t>
      </w:r>
      <w:r w:rsidR="00120418">
        <w:rPr>
          <w:rFonts w:ascii="Book Antiqua" w:hAnsi="Book Antiqua"/>
        </w:rPr>
        <w:t>.  A</w:t>
      </w:r>
      <w:r w:rsidRPr="00120418">
        <w:rPr>
          <w:rFonts w:ascii="Book Antiqua" w:hAnsi="Book Antiqua"/>
        </w:rPr>
        <w:t xml:space="preserve">t [86] he set out detailed reasons for why he did not accept the </w:t>
      </w:r>
      <w:r w:rsidR="00120418" w:rsidRPr="00120418">
        <w:rPr>
          <w:rFonts w:ascii="Book Antiqua" w:hAnsi="Book Antiqua"/>
        </w:rPr>
        <w:t>Appellant</w:t>
      </w:r>
      <w:r w:rsidRPr="00120418">
        <w:rPr>
          <w:rFonts w:ascii="Book Antiqua" w:hAnsi="Book Antiqua"/>
        </w:rPr>
        <w:t xml:space="preserve">’s claim that he did not realise </w:t>
      </w:r>
      <w:r w:rsidR="00120418">
        <w:rPr>
          <w:rFonts w:ascii="Book Antiqua" w:hAnsi="Book Antiqua"/>
        </w:rPr>
        <w:t xml:space="preserve">that </w:t>
      </w:r>
      <w:r w:rsidRPr="00120418">
        <w:rPr>
          <w:rFonts w:ascii="Book Antiqua" w:hAnsi="Book Antiqua"/>
        </w:rPr>
        <w:t>there was persecution in Pakistan until he spoke with his friend in May 2017.</w:t>
      </w:r>
      <w:r w:rsidR="00C638CA" w:rsidRPr="00120418">
        <w:rPr>
          <w:rFonts w:ascii="Book Antiqua" w:hAnsi="Book Antiqua"/>
        </w:rPr>
        <w:t xml:space="preserve">  </w:t>
      </w:r>
      <w:r w:rsidR="00C638CA" w:rsidRPr="000409F2">
        <w:rPr>
          <w:rFonts w:ascii="Book Antiqua" w:hAnsi="Book Antiqua"/>
        </w:rPr>
        <w:t xml:space="preserve">At [87] he set out the difficulties in the evidence regarding </w:t>
      </w:r>
      <w:r w:rsidR="000409F2">
        <w:rPr>
          <w:rFonts w:ascii="Book Antiqua" w:hAnsi="Book Antiqua"/>
        </w:rPr>
        <w:t>M</w:t>
      </w:r>
      <w:r w:rsidR="00C638CA" w:rsidRPr="000409F2">
        <w:rPr>
          <w:rFonts w:ascii="Book Antiqua" w:hAnsi="Book Antiqua"/>
        </w:rPr>
        <w:t xml:space="preserve">T and </w:t>
      </w:r>
      <w:r w:rsidR="000409F2">
        <w:rPr>
          <w:rFonts w:ascii="Book Antiqua" w:hAnsi="Book Antiqua"/>
        </w:rPr>
        <w:t>M</w:t>
      </w:r>
      <w:r w:rsidR="00C638CA" w:rsidRPr="000409F2">
        <w:rPr>
          <w:rFonts w:ascii="Book Antiqua" w:hAnsi="Book Antiqua"/>
        </w:rPr>
        <w:t xml:space="preserve">T’s age.  </w:t>
      </w:r>
    </w:p>
    <w:p w:rsidR="000409F2" w:rsidRDefault="000409F2" w:rsidP="000409F2">
      <w:pPr>
        <w:ind w:left="579"/>
        <w:jc w:val="both"/>
        <w:rPr>
          <w:rFonts w:ascii="Book Antiqua" w:hAnsi="Book Antiqua"/>
        </w:rPr>
      </w:pPr>
    </w:p>
    <w:p w:rsidR="00120418" w:rsidRPr="000409F2" w:rsidRDefault="000409F2" w:rsidP="00A462C9">
      <w:pPr>
        <w:numPr>
          <w:ilvl w:val="0"/>
          <w:numId w:val="1"/>
        </w:numPr>
        <w:ind w:left="579" w:hanging="573"/>
        <w:jc w:val="both"/>
        <w:rPr>
          <w:rFonts w:ascii="Book Antiqua" w:hAnsi="Book Antiqua"/>
        </w:rPr>
      </w:pPr>
      <w:r w:rsidRPr="000409F2">
        <w:rPr>
          <w:rFonts w:ascii="Book Antiqua" w:hAnsi="Book Antiqua"/>
        </w:rPr>
        <w:t xml:space="preserve">At [88] he made findings regarding I-LD’s evidence.  I will turn to this later.  </w:t>
      </w:r>
      <w:r w:rsidR="00C638CA" w:rsidRPr="000409F2">
        <w:rPr>
          <w:rFonts w:ascii="Book Antiqua" w:hAnsi="Book Antiqua"/>
        </w:rPr>
        <w:t xml:space="preserve">At [89] he set out the evidence from NAZ and found that this was not supported by any witness. </w:t>
      </w:r>
      <w:r w:rsidRPr="000409F2">
        <w:rPr>
          <w:rFonts w:ascii="Book Antiqua" w:hAnsi="Book Antiqua"/>
        </w:rPr>
        <w:t xml:space="preserve"> </w:t>
      </w:r>
      <w:r w:rsidR="00C638CA" w:rsidRPr="000409F2">
        <w:rPr>
          <w:rFonts w:ascii="Book Antiqua" w:hAnsi="Book Antiqua"/>
        </w:rPr>
        <w:t xml:space="preserve">The evidence of </w:t>
      </w:r>
      <w:r w:rsidR="009F5879" w:rsidRPr="000409F2">
        <w:rPr>
          <w:rFonts w:ascii="Book Antiqua" w:hAnsi="Book Antiqua"/>
        </w:rPr>
        <w:t>SC</w:t>
      </w:r>
      <w:r w:rsidR="00C638CA" w:rsidRPr="000409F2">
        <w:rPr>
          <w:rFonts w:ascii="Book Antiqua" w:hAnsi="Book Antiqua"/>
        </w:rPr>
        <w:t xml:space="preserve"> is considered at [90], which states:</w:t>
      </w:r>
    </w:p>
    <w:p w:rsidR="00120418" w:rsidRPr="00120418" w:rsidRDefault="00120418" w:rsidP="00120418">
      <w:pPr>
        <w:pStyle w:val="ListParagraph"/>
        <w:rPr>
          <w:rFonts w:ascii="Book Antiqua" w:hAnsi="Book Antiqua"/>
        </w:rPr>
      </w:pPr>
    </w:p>
    <w:p w:rsidR="00120418" w:rsidRDefault="00C638CA" w:rsidP="009F5879">
      <w:pPr>
        <w:ind w:left="579"/>
        <w:jc w:val="both"/>
        <w:rPr>
          <w:rFonts w:ascii="Book Antiqua" w:hAnsi="Book Antiqua"/>
        </w:rPr>
      </w:pPr>
      <w:r w:rsidRPr="00120418">
        <w:rPr>
          <w:rFonts w:ascii="Book Antiqua" w:hAnsi="Book Antiqua"/>
        </w:rPr>
        <w:t xml:space="preserve">“Evidence from </w:t>
      </w:r>
      <w:r w:rsidR="009F5879">
        <w:rPr>
          <w:rFonts w:ascii="Book Antiqua" w:hAnsi="Book Antiqua"/>
        </w:rPr>
        <w:t>S</w:t>
      </w:r>
      <w:r w:rsidRPr="00120418">
        <w:rPr>
          <w:rFonts w:ascii="Book Antiqua" w:hAnsi="Book Antiqua"/>
        </w:rPr>
        <w:t xml:space="preserve">C indicated that he met the </w:t>
      </w:r>
      <w:r w:rsidR="00120418">
        <w:rPr>
          <w:rFonts w:ascii="Book Antiqua" w:hAnsi="Book Antiqua"/>
        </w:rPr>
        <w:t>a</w:t>
      </w:r>
      <w:r w:rsidR="00120418" w:rsidRPr="00120418">
        <w:rPr>
          <w:rFonts w:ascii="Book Antiqua" w:hAnsi="Book Antiqua"/>
        </w:rPr>
        <w:t>ppellant</w:t>
      </w:r>
      <w:r w:rsidRPr="00120418">
        <w:rPr>
          <w:rFonts w:ascii="Book Antiqua" w:hAnsi="Book Antiqua"/>
        </w:rPr>
        <w:t xml:space="preserve"> in September 2016 and that he became friendly with him and he believes the </w:t>
      </w:r>
      <w:r w:rsidR="00120418">
        <w:rPr>
          <w:rFonts w:ascii="Book Antiqua" w:hAnsi="Book Antiqua"/>
        </w:rPr>
        <w:t>a</w:t>
      </w:r>
      <w:r w:rsidR="00120418" w:rsidRPr="00120418">
        <w:rPr>
          <w:rFonts w:ascii="Book Antiqua" w:hAnsi="Book Antiqua"/>
        </w:rPr>
        <w:t>ppellant</w:t>
      </w:r>
      <w:r w:rsidRPr="00120418">
        <w:rPr>
          <w:rFonts w:ascii="Book Antiqua" w:hAnsi="Book Antiqua"/>
        </w:rPr>
        <w:t xml:space="preserve"> to be a gay man.  He recounts one incident of him being in bed with the </w:t>
      </w:r>
      <w:r w:rsidR="00120418">
        <w:rPr>
          <w:rFonts w:ascii="Book Antiqua" w:hAnsi="Book Antiqua"/>
        </w:rPr>
        <w:t>a</w:t>
      </w:r>
      <w:r w:rsidR="00120418" w:rsidRPr="00120418">
        <w:rPr>
          <w:rFonts w:ascii="Book Antiqua" w:hAnsi="Book Antiqua"/>
        </w:rPr>
        <w:t>ppellant</w:t>
      </w:r>
      <w:r w:rsidRPr="00120418">
        <w:rPr>
          <w:rFonts w:ascii="Book Antiqua" w:hAnsi="Book Antiqua"/>
        </w:rPr>
        <w:t xml:space="preserve"> in June 2017 engaging in oral sex.  This of course would be after the </w:t>
      </w:r>
      <w:r w:rsidR="00120418">
        <w:rPr>
          <w:rFonts w:ascii="Book Antiqua" w:hAnsi="Book Antiqua"/>
        </w:rPr>
        <w:t>a</w:t>
      </w:r>
      <w:r w:rsidR="00120418" w:rsidRPr="00120418">
        <w:rPr>
          <w:rFonts w:ascii="Book Antiqua" w:hAnsi="Book Antiqua"/>
        </w:rPr>
        <w:t>ppellant</w:t>
      </w:r>
      <w:r w:rsidRPr="00120418">
        <w:rPr>
          <w:rFonts w:ascii="Book Antiqua" w:hAnsi="Book Antiqua"/>
        </w:rPr>
        <w:t xml:space="preserve"> made his asylum claim.  </w:t>
      </w:r>
      <w:r w:rsidR="009F5879">
        <w:rPr>
          <w:rFonts w:ascii="Book Antiqua" w:hAnsi="Book Antiqua"/>
        </w:rPr>
        <w:t>S</w:t>
      </w:r>
      <w:r w:rsidRPr="00120418">
        <w:rPr>
          <w:rFonts w:ascii="Book Antiqua" w:hAnsi="Book Antiqua"/>
        </w:rPr>
        <w:t xml:space="preserve">C had not been introduced to any other acquaintances of the </w:t>
      </w:r>
      <w:r w:rsidR="00120418">
        <w:rPr>
          <w:rFonts w:ascii="Book Antiqua" w:hAnsi="Book Antiqua"/>
        </w:rPr>
        <w:t>a</w:t>
      </w:r>
      <w:r w:rsidR="00120418" w:rsidRPr="00120418">
        <w:rPr>
          <w:rFonts w:ascii="Book Antiqua" w:hAnsi="Book Antiqua"/>
        </w:rPr>
        <w:t>ppellant</w:t>
      </w:r>
      <w:r w:rsidRPr="00120418">
        <w:rPr>
          <w:rFonts w:ascii="Book Antiqua" w:hAnsi="Book Antiqua"/>
        </w:rPr>
        <w:t xml:space="preserve"> and there was no ongoing physical relationship the parties having decided they would just be ‘friends’.”</w:t>
      </w:r>
    </w:p>
    <w:p w:rsidR="00120418" w:rsidRPr="00120418" w:rsidRDefault="00120418" w:rsidP="00120418">
      <w:pPr>
        <w:pStyle w:val="ListParagraph"/>
        <w:rPr>
          <w:rFonts w:ascii="Book Antiqua" w:hAnsi="Book Antiqua"/>
        </w:rPr>
      </w:pPr>
    </w:p>
    <w:p w:rsidR="00656B1D" w:rsidRDefault="00746BBA" w:rsidP="00656B1D">
      <w:pPr>
        <w:numPr>
          <w:ilvl w:val="0"/>
          <w:numId w:val="1"/>
        </w:numPr>
        <w:ind w:left="579" w:hanging="573"/>
        <w:jc w:val="both"/>
        <w:rPr>
          <w:rFonts w:ascii="Book Antiqua" w:hAnsi="Book Antiqua"/>
        </w:rPr>
      </w:pPr>
      <w:r w:rsidRPr="00120418">
        <w:rPr>
          <w:rFonts w:ascii="Book Antiqua" w:hAnsi="Book Antiqua"/>
        </w:rPr>
        <w:t xml:space="preserve">It was submitted on behalf of the </w:t>
      </w:r>
      <w:r w:rsidR="00120418" w:rsidRPr="00120418">
        <w:rPr>
          <w:rFonts w:ascii="Book Antiqua" w:hAnsi="Book Antiqua"/>
        </w:rPr>
        <w:t>Appellant</w:t>
      </w:r>
      <w:r w:rsidRPr="00120418">
        <w:rPr>
          <w:rFonts w:ascii="Book Antiqua" w:hAnsi="Book Antiqua"/>
        </w:rPr>
        <w:t xml:space="preserve"> that this was not an accur</w:t>
      </w:r>
      <w:r w:rsidR="00120418">
        <w:rPr>
          <w:rFonts w:ascii="Book Antiqua" w:hAnsi="Book Antiqua"/>
        </w:rPr>
        <w:t xml:space="preserve">ate summary of the evidence.  </w:t>
      </w:r>
      <w:r w:rsidR="009F5879">
        <w:rPr>
          <w:rFonts w:ascii="Book Antiqua" w:hAnsi="Book Antiqua"/>
        </w:rPr>
        <w:t>S</w:t>
      </w:r>
      <w:r w:rsidRPr="00120418">
        <w:rPr>
          <w:rFonts w:ascii="Book Antiqua" w:hAnsi="Book Antiqua"/>
        </w:rPr>
        <w:t xml:space="preserve">C had not said that he had not met any of the other acquaintances of the </w:t>
      </w:r>
      <w:r w:rsidR="00120418" w:rsidRPr="00120418">
        <w:rPr>
          <w:rFonts w:ascii="Book Antiqua" w:hAnsi="Book Antiqua"/>
        </w:rPr>
        <w:t>Appellant</w:t>
      </w:r>
      <w:r w:rsidR="00120418">
        <w:rPr>
          <w:rFonts w:ascii="Book Antiqua" w:hAnsi="Book Antiqua"/>
        </w:rPr>
        <w:t>,</w:t>
      </w:r>
      <w:r w:rsidRPr="00120418">
        <w:rPr>
          <w:rFonts w:ascii="Book Antiqua" w:hAnsi="Book Antiqua"/>
        </w:rPr>
        <w:t xml:space="preserve"> but that he had not met any acquaintances with whom the </w:t>
      </w:r>
      <w:r w:rsidR="00120418" w:rsidRPr="00120418">
        <w:rPr>
          <w:rFonts w:ascii="Book Antiqua" w:hAnsi="Book Antiqua"/>
        </w:rPr>
        <w:t>Appellant</w:t>
      </w:r>
      <w:r w:rsidRPr="00120418">
        <w:rPr>
          <w:rFonts w:ascii="Book Antiqua" w:hAnsi="Book Antiqua"/>
        </w:rPr>
        <w:t xml:space="preserve"> claimed to have had a relationship.  At [53], where the evidence is set out, it states: “He advised that he had not been introduced to any of the </w:t>
      </w:r>
      <w:r w:rsidR="00656B1D">
        <w:rPr>
          <w:rFonts w:ascii="Book Antiqua" w:hAnsi="Book Antiqua"/>
        </w:rPr>
        <w:t>a</w:t>
      </w:r>
      <w:r w:rsidR="00120418" w:rsidRPr="00120418">
        <w:rPr>
          <w:rFonts w:ascii="Book Antiqua" w:hAnsi="Book Antiqua"/>
        </w:rPr>
        <w:t>ppellant</w:t>
      </w:r>
      <w:r w:rsidRPr="00120418">
        <w:rPr>
          <w:rFonts w:ascii="Book Antiqua" w:hAnsi="Book Antiqua"/>
        </w:rPr>
        <w:t xml:space="preserve">’s friends with whom </w:t>
      </w:r>
      <w:r w:rsidRPr="00120418">
        <w:rPr>
          <w:rFonts w:ascii="Book Antiqua" w:hAnsi="Book Antiqua"/>
        </w:rPr>
        <w:lastRenderedPageBreak/>
        <w:t>he may have had a relationship but he knew that the gay community was small and he would be aware of the individuals.”</w:t>
      </w:r>
    </w:p>
    <w:p w:rsidR="00656B1D" w:rsidRDefault="00656B1D" w:rsidP="00656B1D">
      <w:pPr>
        <w:pStyle w:val="ListParagraph"/>
        <w:rPr>
          <w:rFonts w:ascii="Book Antiqua" w:hAnsi="Book Antiqua"/>
        </w:rPr>
      </w:pPr>
    </w:p>
    <w:p w:rsidR="00656B1D" w:rsidRDefault="005633A7" w:rsidP="00656B1D">
      <w:pPr>
        <w:numPr>
          <w:ilvl w:val="0"/>
          <w:numId w:val="1"/>
        </w:numPr>
        <w:ind w:left="579" w:hanging="573"/>
        <w:jc w:val="both"/>
        <w:rPr>
          <w:rFonts w:ascii="Book Antiqua" w:hAnsi="Book Antiqua"/>
        </w:rPr>
      </w:pPr>
      <w:r w:rsidRPr="00120418">
        <w:rPr>
          <w:rFonts w:ascii="Book Antiqua" w:hAnsi="Book Antiqua"/>
        </w:rPr>
        <w:t xml:space="preserve">I find that there is no material error </w:t>
      </w:r>
      <w:r w:rsidR="00656B1D">
        <w:rPr>
          <w:rFonts w:ascii="Book Antiqua" w:hAnsi="Book Antiqua"/>
        </w:rPr>
        <w:t>here.  T</w:t>
      </w:r>
      <w:r w:rsidR="00361613" w:rsidRPr="00120418">
        <w:rPr>
          <w:rFonts w:ascii="Book Antiqua" w:hAnsi="Book Antiqua"/>
        </w:rPr>
        <w:t>he</w:t>
      </w:r>
      <w:r w:rsidR="00432E6B" w:rsidRPr="00120418">
        <w:rPr>
          <w:rFonts w:ascii="Book Antiqua" w:hAnsi="Book Antiqua"/>
        </w:rPr>
        <w:t xml:space="preserve"> </w:t>
      </w:r>
      <w:r w:rsidRPr="00120418">
        <w:rPr>
          <w:rFonts w:ascii="Book Antiqua" w:hAnsi="Book Antiqua"/>
        </w:rPr>
        <w:t xml:space="preserve">finding </w:t>
      </w:r>
      <w:r w:rsidR="00656B1D">
        <w:rPr>
          <w:rFonts w:ascii="Book Antiqua" w:hAnsi="Book Antiqua"/>
        </w:rPr>
        <w:t xml:space="preserve">at </w:t>
      </w:r>
      <w:r w:rsidRPr="00120418">
        <w:rPr>
          <w:rFonts w:ascii="Book Antiqua" w:hAnsi="Book Antiqua"/>
        </w:rPr>
        <w:t xml:space="preserve">[90] </w:t>
      </w:r>
      <w:r w:rsidR="00432E6B" w:rsidRPr="00120418">
        <w:rPr>
          <w:rFonts w:ascii="Book Antiqua" w:hAnsi="Book Antiqua"/>
        </w:rPr>
        <w:t xml:space="preserve">is </w:t>
      </w:r>
      <w:r w:rsidRPr="00120418">
        <w:rPr>
          <w:rFonts w:ascii="Book Antiqua" w:hAnsi="Book Antiqua"/>
        </w:rPr>
        <w:t xml:space="preserve">that </w:t>
      </w:r>
      <w:r w:rsidR="00656B1D">
        <w:rPr>
          <w:rFonts w:ascii="Book Antiqua" w:hAnsi="Book Antiqua"/>
        </w:rPr>
        <w:t>S</w:t>
      </w:r>
      <w:r w:rsidR="00432E6B" w:rsidRPr="00120418">
        <w:rPr>
          <w:rFonts w:ascii="Book Antiqua" w:hAnsi="Book Antiqua"/>
        </w:rPr>
        <w:t xml:space="preserve">C had not been introduced to any other acquaintances of the </w:t>
      </w:r>
      <w:r w:rsidR="00120418" w:rsidRPr="00120418">
        <w:rPr>
          <w:rFonts w:ascii="Book Antiqua" w:hAnsi="Book Antiqua"/>
        </w:rPr>
        <w:t>Appellant</w:t>
      </w:r>
      <w:r w:rsidR="00432E6B" w:rsidRPr="00120418">
        <w:rPr>
          <w:rFonts w:ascii="Book Antiqua" w:hAnsi="Book Antiqua"/>
        </w:rPr>
        <w:t>.</w:t>
      </w:r>
      <w:r w:rsidR="00361613" w:rsidRPr="00120418">
        <w:rPr>
          <w:rFonts w:ascii="Book Antiqua" w:hAnsi="Book Antiqua"/>
        </w:rPr>
        <w:t xml:space="preserve">  With reference to the Record of Proceedings</w:t>
      </w:r>
      <w:r w:rsidR="00656B1D">
        <w:rPr>
          <w:rFonts w:ascii="Book Antiqua" w:hAnsi="Book Antiqua"/>
        </w:rPr>
        <w:t>,</w:t>
      </w:r>
      <w:r w:rsidR="00361613" w:rsidRPr="00120418">
        <w:rPr>
          <w:rFonts w:ascii="Book Antiqua" w:hAnsi="Book Antiqua"/>
        </w:rPr>
        <w:t xml:space="preserve"> </w:t>
      </w:r>
      <w:r w:rsidR="00656B1D">
        <w:rPr>
          <w:rFonts w:ascii="Book Antiqua" w:hAnsi="Book Antiqua"/>
        </w:rPr>
        <w:t>S</w:t>
      </w:r>
      <w:r w:rsidR="00361613" w:rsidRPr="00120418">
        <w:rPr>
          <w:rFonts w:ascii="Book Antiqua" w:hAnsi="Book Antiqua"/>
        </w:rPr>
        <w:t xml:space="preserve">C was asked whether he had met any of the </w:t>
      </w:r>
      <w:r w:rsidR="00120418" w:rsidRPr="00120418">
        <w:rPr>
          <w:rFonts w:ascii="Book Antiqua" w:hAnsi="Book Antiqua"/>
        </w:rPr>
        <w:t>Appellant</w:t>
      </w:r>
      <w:r w:rsidR="00361613" w:rsidRPr="00120418">
        <w:rPr>
          <w:rFonts w:ascii="Book Antiqua" w:hAnsi="Book Antiqua"/>
        </w:rPr>
        <w:t xml:space="preserve">’s friends with whom he had a relationship.  The fact that </w:t>
      </w:r>
      <w:r w:rsidR="00656B1D">
        <w:rPr>
          <w:rFonts w:ascii="Book Antiqua" w:hAnsi="Book Antiqua"/>
        </w:rPr>
        <w:t xml:space="preserve">the Judge </w:t>
      </w:r>
      <w:r w:rsidR="00361613" w:rsidRPr="00120418">
        <w:rPr>
          <w:rFonts w:ascii="Book Antiqua" w:hAnsi="Book Antiqua"/>
        </w:rPr>
        <w:t>has stated at [90] that he had not met any other acquaintance</w:t>
      </w:r>
      <w:r w:rsidR="00656B1D">
        <w:rPr>
          <w:rFonts w:ascii="Book Antiqua" w:hAnsi="Book Antiqua"/>
        </w:rPr>
        <w:t>s</w:t>
      </w:r>
      <w:r w:rsidR="00361613" w:rsidRPr="00120418">
        <w:rPr>
          <w:rFonts w:ascii="Book Antiqua" w:hAnsi="Book Antiqua"/>
        </w:rPr>
        <w:t xml:space="preserve"> of the </w:t>
      </w:r>
      <w:r w:rsidR="00120418" w:rsidRPr="00120418">
        <w:rPr>
          <w:rFonts w:ascii="Book Antiqua" w:hAnsi="Book Antiqua"/>
        </w:rPr>
        <w:t>Appellant</w:t>
      </w:r>
      <w:r w:rsidR="00361613" w:rsidRPr="00120418">
        <w:rPr>
          <w:rFonts w:ascii="Book Antiqua" w:hAnsi="Book Antiqua"/>
        </w:rPr>
        <w:t xml:space="preserve"> is not material to </w:t>
      </w:r>
      <w:proofErr w:type="gramStart"/>
      <w:r w:rsidR="00361613" w:rsidRPr="00120418">
        <w:rPr>
          <w:rFonts w:ascii="Book Antiqua" w:hAnsi="Book Antiqua"/>
        </w:rPr>
        <w:t>whether or not</w:t>
      </w:r>
      <w:proofErr w:type="gramEnd"/>
      <w:r w:rsidR="00361613" w:rsidRPr="00120418">
        <w:rPr>
          <w:rFonts w:ascii="Book Antiqua" w:hAnsi="Book Antiqua"/>
        </w:rPr>
        <w:t xml:space="preserve"> the </w:t>
      </w:r>
      <w:r w:rsidR="00120418" w:rsidRPr="00120418">
        <w:rPr>
          <w:rFonts w:ascii="Book Antiqua" w:hAnsi="Book Antiqua"/>
        </w:rPr>
        <w:t>Appellant</w:t>
      </w:r>
      <w:r w:rsidR="00361613" w:rsidRPr="00120418">
        <w:rPr>
          <w:rFonts w:ascii="Book Antiqua" w:hAnsi="Book Antiqua"/>
        </w:rPr>
        <w:t xml:space="preserve"> is a gay man.</w:t>
      </w:r>
    </w:p>
    <w:p w:rsidR="00656B1D" w:rsidRPr="009F5879" w:rsidRDefault="00656B1D" w:rsidP="00656B1D">
      <w:pPr>
        <w:pStyle w:val="ListParagraph"/>
        <w:rPr>
          <w:rFonts w:ascii="Book Antiqua" w:hAnsi="Book Antiqua"/>
        </w:rPr>
      </w:pPr>
    </w:p>
    <w:p w:rsidR="005946CE" w:rsidRPr="005946CE" w:rsidRDefault="000409F2" w:rsidP="00A462C9">
      <w:pPr>
        <w:numPr>
          <w:ilvl w:val="0"/>
          <w:numId w:val="1"/>
        </w:numPr>
        <w:ind w:left="579" w:hanging="573"/>
        <w:jc w:val="both"/>
        <w:rPr>
          <w:rFonts w:ascii="Book Antiqua" w:hAnsi="Book Antiqua"/>
        </w:rPr>
      </w:pPr>
      <w:r w:rsidRPr="005946CE">
        <w:rPr>
          <w:rFonts w:ascii="Book Antiqua" w:hAnsi="Book Antiqua"/>
        </w:rPr>
        <w:t xml:space="preserve">However, the evidence of SC </w:t>
      </w:r>
      <w:r w:rsidR="00B24932" w:rsidRPr="005946CE">
        <w:rPr>
          <w:rFonts w:ascii="Book Antiqua" w:hAnsi="Book Antiqua"/>
        </w:rPr>
        <w:t xml:space="preserve">as set out in his </w:t>
      </w:r>
      <w:r w:rsidR="00361613" w:rsidRPr="005946CE">
        <w:rPr>
          <w:rFonts w:ascii="Book Antiqua" w:hAnsi="Book Antiqua"/>
        </w:rPr>
        <w:t>witness statement</w:t>
      </w:r>
      <w:r w:rsidR="00B24932" w:rsidRPr="005946CE">
        <w:rPr>
          <w:rFonts w:ascii="Book Antiqua" w:hAnsi="Book Antiqua"/>
        </w:rPr>
        <w:t xml:space="preserve"> is material to </w:t>
      </w:r>
      <w:proofErr w:type="gramStart"/>
      <w:r w:rsidR="00B24932" w:rsidRPr="005946CE">
        <w:rPr>
          <w:rFonts w:ascii="Book Antiqua" w:hAnsi="Book Antiqua"/>
        </w:rPr>
        <w:t>whether or not</w:t>
      </w:r>
      <w:proofErr w:type="gramEnd"/>
      <w:r w:rsidR="00B24932" w:rsidRPr="005946CE">
        <w:rPr>
          <w:rFonts w:ascii="Book Antiqua" w:hAnsi="Book Antiqua"/>
        </w:rPr>
        <w:t xml:space="preserve"> the Appellant is gay.  SC </w:t>
      </w:r>
      <w:r w:rsidR="000D35BD" w:rsidRPr="005946CE">
        <w:rPr>
          <w:rFonts w:ascii="Book Antiqua" w:hAnsi="Book Antiqua"/>
        </w:rPr>
        <w:t xml:space="preserve">states </w:t>
      </w:r>
      <w:r w:rsidR="00B24932" w:rsidRPr="005946CE">
        <w:rPr>
          <w:rFonts w:ascii="Book Antiqua" w:hAnsi="Book Antiqua"/>
        </w:rPr>
        <w:t xml:space="preserve">in his witness statement </w:t>
      </w:r>
      <w:r w:rsidR="000D35BD" w:rsidRPr="005946CE">
        <w:rPr>
          <w:rFonts w:ascii="Book Antiqua" w:hAnsi="Book Antiqua"/>
        </w:rPr>
        <w:t xml:space="preserve">that he believes that the </w:t>
      </w:r>
      <w:r w:rsidR="00120418" w:rsidRPr="005946CE">
        <w:rPr>
          <w:rFonts w:ascii="Book Antiqua" w:hAnsi="Book Antiqua"/>
        </w:rPr>
        <w:t>Appellant</w:t>
      </w:r>
      <w:r w:rsidR="000D35BD" w:rsidRPr="005946CE">
        <w:rPr>
          <w:rFonts w:ascii="Book Antiqua" w:hAnsi="Book Antiqua"/>
        </w:rPr>
        <w:t xml:space="preserve"> is gay.  </w:t>
      </w:r>
      <w:r w:rsidR="005946CE" w:rsidRPr="005946CE">
        <w:rPr>
          <w:rFonts w:ascii="Book Antiqua" w:hAnsi="Book Antiqua"/>
        </w:rPr>
        <w:t xml:space="preserve">He gave evidence of the “in-depth conversations about his feelings for men”.  He states that he had had a sexual encounter with the Appellant.  He fully supports his asylum claim on the grounds of sexuality.  </w:t>
      </w:r>
    </w:p>
    <w:p w:rsidR="005946CE" w:rsidRDefault="005946CE" w:rsidP="005946CE">
      <w:pPr>
        <w:pStyle w:val="ListParagraph"/>
        <w:rPr>
          <w:rFonts w:ascii="Book Antiqua" w:hAnsi="Book Antiqua"/>
        </w:rPr>
      </w:pPr>
    </w:p>
    <w:p w:rsidR="009F5879" w:rsidRDefault="000D35BD" w:rsidP="009F5879">
      <w:pPr>
        <w:numPr>
          <w:ilvl w:val="0"/>
          <w:numId w:val="1"/>
        </w:numPr>
        <w:ind w:left="579" w:hanging="573"/>
        <w:jc w:val="both"/>
        <w:rPr>
          <w:rFonts w:ascii="Book Antiqua" w:hAnsi="Book Antiqua"/>
        </w:rPr>
      </w:pPr>
      <w:r w:rsidRPr="009F5879">
        <w:rPr>
          <w:rFonts w:ascii="Book Antiqua" w:hAnsi="Book Antiqua"/>
        </w:rPr>
        <w:t>I find that</w:t>
      </w:r>
      <w:r w:rsidR="005946CE">
        <w:rPr>
          <w:rFonts w:ascii="Book Antiqua" w:hAnsi="Book Antiqua"/>
        </w:rPr>
        <w:t>,</w:t>
      </w:r>
      <w:r w:rsidRPr="009F5879">
        <w:rPr>
          <w:rFonts w:ascii="Book Antiqua" w:hAnsi="Book Antiqua"/>
        </w:rPr>
        <w:t xml:space="preserve"> had this witness been found to be credible</w:t>
      </w:r>
      <w:r w:rsidR="009F5879">
        <w:rPr>
          <w:rFonts w:ascii="Book Antiqua" w:hAnsi="Book Antiqua"/>
        </w:rPr>
        <w:t xml:space="preserve">, placing weight on his evidence, </w:t>
      </w:r>
      <w:r w:rsidRPr="009F5879">
        <w:rPr>
          <w:rFonts w:ascii="Book Antiqua" w:hAnsi="Book Antiqua"/>
        </w:rPr>
        <w:t xml:space="preserve">it is possible that the </w:t>
      </w:r>
      <w:r w:rsidR="00120418" w:rsidRPr="009F5879">
        <w:rPr>
          <w:rFonts w:ascii="Book Antiqua" w:hAnsi="Book Antiqua"/>
        </w:rPr>
        <w:t>Appellant</w:t>
      </w:r>
      <w:r w:rsidRPr="009F5879">
        <w:rPr>
          <w:rFonts w:ascii="Book Antiqua" w:hAnsi="Book Antiqua"/>
        </w:rPr>
        <w:t>’s appeal would have succeeded</w:t>
      </w:r>
      <w:r w:rsidR="009F5879">
        <w:rPr>
          <w:rFonts w:ascii="Book Antiqua" w:hAnsi="Book Antiqua"/>
        </w:rPr>
        <w:t>,</w:t>
      </w:r>
      <w:r w:rsidRPr="009F5879">
        <w:rPr>
          <w:rFonts w:ascii="Book Antiqua" w:hAnsi="Book Antiqua"/>
        </w:rPr>
        <w:t xml:space="preserve"> given that there was one issue before the </w:t>
      </w:r>
      <w:r w:rsidR="00120418" w:rsidRPr="009F5879">
        <w:rPr>
          <w:rFonts w:ascii="Book Antiqua" w:hAnsi="Book Antiqua"/>
        </w:rPr>
        <w:t>Judge</w:t>
      </w:r>
      <w:r w:rsidRPr="009F5879">
        <w:rPr>
          <w:rFonts w:ascii="Book Antiqua" w:hAnsi="Book Antiqua"/>
        </w:rPr>
        <w:t xml:space="preserve"> which is </w:t>
      </w:r>
      <w:proofErr w:type="gramStart"/>
      <w:r w:rsidRPr="009F5879">
        <w:rPr>
          <w:rFonts w:ascii="Book Antiqua" w:hAnsi="Book Antiqua"/>
        </w:rPr>
        <w:t>whether or not</w:t>
      </w:r>
      <w:proofErr w:type="gramEnd"/>
      <w:r w:rsidRPr="009F5879">
        <w:rPr>
          <w:rFonts w:ascii="Book Antiqua" w:hAnsi="Book Antiqua"/>
        </w:rPr>
        <w:t xml:space="preserve"> the </w:t>
      </w:r>
      <w:r w:rsidR="00120418" w:rsidRPr="009F5879">
        <w:rPr>
          <w:rFonts w:ascii="Book Antiqua" w:hAnsi="Book Antiqua"/>
        </w:rPr>
        <w:t>Appellant</w:t>
      </w:r>
      <w:r w:rsidRPr="009F5879">
        <w:rPr>
          <w:rFonts w:ascii="Book Antiqua" w:hAnsi="Book Antiqua"/>
        </w:rPr>
        <w:t xml:space="preserve"> was gay.  I therefore find that to make no finding as to </w:t>
      </w:r>
      <w:proofErr w:type="gramStart"/>
      <w:r w:rsidRPr="009F5879">
        <w:rPr>
          <w:rFonts w:ascii="Book Antiqua" w:hAnsi="Book Antiqua"/>
        </w:rPr>
        <w:t>whether or not</w:t>
      </w:r>
      <w:proofErr w:type="gramEnd"/>
      <w:r w:rsidRPr="009F5879">
        <w:rPr>
          <w:rFonts w:ascii="Book Antiqua" w:hAnsi="Book Antiqua"/>
        </w:rPr>
        <w:t xml:space="preserve"> </w:t>
      </w:r>
      <w:r w:rsidR="005946CE">
        <w:rPr>
          <w:rFonts w:ascii="Book Antiqua" w:hAnsi="Book Antiqua"/>
        </w:rPr>
        <w:t xml:space="preserve">SC </w:t>
      </w:r>
      <w:r w:rsidRPr="009F5879">
        <w:rPr>
          <w:rFonts w:ascii="Book Antiqua" w:hAnsi="Book Antiqua"/>
        </w:rPr>
        <w:t>was credible</w:t>
      </w:r>
      <w:r w:rsidR="00ED3FF9" w:rsidRPr="009F5879">
        <w:rPr>
          <w:rFonts w:ascii="Book Antiqua" w:hAnsi="Book Antiqua"/>
        </w:rPr>
        <w:t>, given that this was a witness whose evidence went directly to the core issue</w:t>
      </w:r>
      <w:r w:rsidR="0083178F">
        <w:rPr>
          <w:rFonts w:ascii="Book Antiqua" w:hAnsi="Book Antiqua"/>
        </w:rPr>
        <w:t xml:space="preserve"> before the Judge, is a material</w:t>
      </w:r>
      <w:r w:rsidR="00ED3FF9" w:rsidRPr="009F5879">
        <w:rPr>
          <w:rFonts w:ascii="Book Antiqua" w:hAnsi="Book Antiqua"/>
        </w:rPr>
        <w:t xml:space="preserve"> error of law.</w:t>
      </w:r>
      <w:r w:rsidR="005946CE">
        <w:rPr>
          <w:rFonts w:ascii="Book Antiqua" w:hAnsi="Book Antiqua"/>
        </w:rPr>
        <w:t xml:space="preserve">  At [90] the Judge has not made any finding as to </w:t>
      </w:r>
      <w:r w:rsidR="0083178F">
        <w:rPr>
          <w:rFonts w:ascii="Book Antiqua" w:hAnsi="Book Antiqua"/>
        </w:rPr>
        <w:t xml:space="preserve">SC’s </w:t>
      </w:r>
      <w:r w:rsidR="005946CE">
        <w:rPr>
          <w:rFonts w:ascii="Book Antiqua" w:hAnsi="Book Antiqua"/>
        </w:rPr>
        <w:t>credibility, but has merely set out his evidence again.  He has failed to make any finding as to the weight given to SC’s evidence.</w:t>
      </w:r>
    </w:p>
    <w:p w:rsidR="009F5879" w:rsidRDefault="009F5879" w:rsidP="009F5879">
      <w:pPr>
        <w:pStyle w:val="ListParagraph"/>
        <w:rPr>
          <w:rFonts w:ascii="Book Antiqua" w:hAnsi="Book Antiqua"/>
        </w:rPr>
      </w:pPr>
    </w:p>
    <w:p w:rsidR="009F5879" w:rsidRDefault="009F5879" w:rsidP="009F5879">
      <w:pPr>
        <w:numPr>
          <w:ilvl w:val="0"/>
          <w:numId w:val="1"/>
        </w:numPr>
        <w:ind w:left="579" w:hanging="573"/>
        <w:jc w:val="both"/>
        <w:rPr>
          <w:rFonts w:ascii="Book Antiqua" w:hAnsi="Book Antiqua"/>
        </w:rPr>
      </w:pPr>
      <w:r>
        <w:rPr>
          <w:rFonts w:ascii="Book Antiqua" w:hAnsi="Book Antiqua"/>
        </w:rPr>
        <w:t>There was only one issue on which the Judge had to make a finding of fact</w:t>
      </w:r>
      <w:r w:rsidR="005946CE">
        <w:rPr>
          <w:rFonts w:ascii="Book Antiqua" w:hAnsi="Book Antiqua"/>
        </w:rPr>
        <w:t xml:space="preserve">, and the </w:t>
      </w:r>
      <w:r>
        <w:rPr>
          <w:rFonts w:ascii="Book Antiqua" w:hAnsi="Book Antiqua"/>
        </w:rPr>
        <w:t xml:space="preserve">evidence of SC went directly to this issue.  I therefore find that it was incumbent on the Judge to make a finding as to </w:t>
      </w:r>
      <w:proofErr w:type="gramStart"/>
      <w:r>
        <w:rPr>
          <w:rFonts w:ascii="Book Antiqua" w:hAnsi="Book Antiqua"/>
        </w:rPr>
        <w:t>whether or not</w:t>
      </w:r>
      <w:proofErr w:type="gramEnd"/>
      <w:r>
        <w:rPr>
          <w:rFonts w:ascii="Book Antiqua" w:hAnsi="Book Antiqua"/>
        </w:rPr>
        <w:t xml:space="preserve"> he found SC to be a credible witness.  </w:t>
      </w:r>
    </w:p>
    <w:p w:rsidR="009F5879" w:rsidRDefault="009F5879" w:rsidP="009F5879">
      <w:pPr>
        <w:pStyle w:val="ListParagraph"/>
      </w:pPr>
    </w:p>
    <w:p w:rsidR="005946CE" w:rsidRDefault="009F5879" w:rsidP="005946CE">
      <w:pPr>
        <w:numPr>
          <w:ilvl w:val="0"/>
          <w:numId w:val="1"/>
        </w:numPr>
        <w:ind w:left="579" w:hanging="573"/>
        <w:jc w:val="both"/>
        <w:rPr>
          <w:rFonts w:ascii="Book Antiqua" w:hAnsi="Book Antiqua"/>
        </w:rPr>
      </w:pPr>
      <w:r>
        <w:rPr>
          <w:rFonts w:ascii="Book Antiqua" w:hAnsi="Book Antiqua"/>
        </w:rPr>
        <w:t xml:space="preserve">While I accept that the Judge has appeared to consider </w:t>
      </w:r>
      <w:proofErr w:type="gramStart"/>
      <w:r>
        <w:rPr>
          <w:rFonts w:ascii="Book Antiqua" w:hAnsi="Book Antiqua"/>
        </w:rPr>
        <w:t>all of</w:t>
      </w:r>
      <w:proofErr w:type="gramEnd"/>
      <w:r>
        <w:rPr>
          <w:rFonts w:ascii="Book Antiqua" w:hAnsi="Book Antiqua"/>
        </w:rPr>
        <w:t xml:space="preserve"> the evidence before him, he has failed to make a credibility finding in relation to a key witness who gave evidence on the core issue in the Appellant’s appeal.  I find that this affects his </w:t>
      </w:r>
      <w:r w:rsidR="0083178F">
        <w:rPr>
          <w:rFonts w:ascii="Book Antiqua" w:hAnsi="Book Antiqua"/>
        </w:rPr>
        <w:t xml:space="preserve">credibility </w:t>
      </w:r>
      <w:proofErr w:type="gramStart"/>
      <w:r>
        <w:rPr>
          <w:rFonts w:ascii="Book Antiqua" w:hAnsi="Book Antiqua"/>
        </w:rPr>
        <w:t>findings as a whole</w:t>
      </w:r>
      <w:proofErr w:type="gramEnd"/>
      <w:r>
        <w:rPr>
          <w:rFonts w:ascii="Book Antiqua" w:hAnsi="Book Antiqua"/>
        </w:rPr>
        <w:t xml:space="preserve">.  </w:t>
      </w:r>
    </w:p>
    <w:p w:rsidR="005946CE" w:rsidRDefault="005946CE" w:rsidP="005946CE">
      <w:pPr>
        <w:pStyle w:val="ListParagraph"/>
      </w:pPr>
    </w:p>
    <w:p w:rsidR="000409F2" w:rsidRPr="005946CE" w:rsidRDefault="005946CE" w:rsidP="005946CE">
      <w:pPr>
        <w:numPr>
          <w:ilvl w:val="0"/>
          <w:numId w:val="1"/>
        </w:numPr>
        <w:ind w:left="579" w:hanging="573"/>
        <w:jc w:val="both"/>
        <w:rPr>
          <w:rFonts w:ascii="Book Antiqua" w:hAnsi="Book Antiqua"/>
        </w:rPr>
      </w:pPr>
      <w:r>
        <w:rPr>
          <w:rFonts w:ascii="Book Antiqua" w:hAnsi="Book Antiqua"/>
        </w:rPr>
        <w:t>I</w:t>
      </w:r>
      <w:r w:rsidR="000409F2" w:rsidRPr="005946CE">
        <w:rPr>
          <w:rFonts w:ascii="Book Antiqua" w:hAnsi="Book Antiqua"/>
        </w:rPr>
        <w:t xml:space="preserve">n relation to </w:t>
      </w:r>
      <w:r>
        <w:rPr>
          <w:rFonts w:ascii="Book Antiqua" w:hAnsi="Book Antiqua"/>
        </w:rPr>
        <w:t>the Judge’s treatment of I-L</w:t>
      </w:r>
      <w:r w:rsidR="000409F2" w:rsidRPr="005946CE">
        <w:rPr>
          <w:rFonts w:ascii="Book Antiqua" w:hAnsi="Book Antiqua"/>
        </w:rPr>
        <w:t>D</w:t>
      </w:r>
      <w:r>
        <w:rPr>
          <w:rFonts w:ascii="Book Antiqua" w:hAnsi="Book Antiqua"/>
        </w:rPr>
        <w:t xml:space="preserve">’s evidence, </w:t>
      </w:r>
      <w:proofErr w:type="gramStart"/>
      <w:r>
        <w:rPr>
          <w:rFonts w:ascii="Book Antiqua" w:hAnsi="Book Antiqua"/>
        </w:rPr>
        <w:t>it is clear that the</w:t>
      </w:r>
      <w:proofErr w:type="gramEnd"/>
      <w:r>
        <w:rPr>
          <w:rFonts w:ascii="Book Antiqua" w:hAnsi="Book Antiqua"/>
        </w:rPr>
        <w:t xml:space="preserve"> J</w:t>
      </w:r>
      <w:r w:rsidR="000409F2" w:rsidRPr="005946CE">
        <w:rPr>
          <w:rFonts w:ascii="Book Antiqua" w:hAnsi="Book Antiqua"/>
        </w:rPr>
        <w:t xml:space="preserve">udge did not find her to be a witness </w:t>
      </w:r>
      <w:r>
        <w:rPr>
          <w:rFonts w:ascii="Book Antiqua" w:hAnsi="Book Antiqua"/>
        </w:rPr>
        <w:t xml:space="preserve">on whose testimony he could place any weight.  The reasons given are due to the “odd circumstances of her </w:t>
      </w:r>
      <w:r w:rsidR="000409F2" w:rsidRPr="005946CE">
        <w:rPr>
          <w:rFonts w:ascii="Book Antiqua" w:hAnsi="Book Antiqua"/>
        </w:rPr>
        <w:t xml:space="preserve">relationship with </w:t>
      </w:r>
      <w:r>
        <w:rPr>
          <w:rFonts w:ascii="Book Antiqua" w:hAnsi="Book Antiqua"/>
        </w:rPr>
        <w:t>L</w:t>
      </w:r>
      <w:r w:rsidR="000409F2" w:rsidRPr="005946CE">
        <w:rPr>
          <w:rFonts w:ascii="Book Antiqua" w:hAnsi="Book Antiqua"/>
        </w:rPr>
        <w:t>H</w:t>
      </w:r>
      <w:r>
        <w:rPr>
          <w:rFonts w:ascii="Book Antiqua" w:hAnsi="Book Antiqua"/>
        </w:rPr>
        <w:t>”, a good friend of the Appellant</w:t>
      </w:r>
      <w:r w:rsidR="000409F2" w:rsidRPr="005946CE">
        <w:rPr>
          <w:rFonts w:ascii="Book Antiqua" w:hAnsi="Book Antiqua"/>
        </w:rPr>
        <w:t xml:space="preserve">.  It was submitted that the evidence </w:t>
      </w:r>
      <w:r>
        <w:rPr>
          <w:rFonts w:ascii="Book Antiqua" w:hAnsi="Book Antiqua"/>
        </w:rPr>
        <w:t xml:space="preserve">as </w:t>
      </w:r>
      <w:r w:rsidR="000409F2" w:rsidRPr="005946CE">
        <w:rPr>
          <w:rFonts w:ascii="Book Antiqua" w:hAnsi="Book Antiqua"/>
        </w:rPr>
        <w:t>set out in the conclusions had not been recounted correctly</w:t>
      </w:r>
      <w:r>
        <w:rPr>
          <w:rFonts w:ascii="Book Antiqua" w:hAnsi="Book Antiqua"/>
        </w:rPr>
        <w:t>,</w:t>
      </w:r>
      <w:r w:rsidR="000409F2" w:rsidRPr="005946CE">
        <w:rPr>
          <w:rFonts w:ascii="Book Antiqua" w:hAnsi="Book Antiqua"/>
        </w:rPr>
        <w:t xml:space="preserve"> and that </w:t>
      </w:r>
      <w:r>
        <w:rPr>
          <w:rFonts w:ascii="Book Antiqua" w:hAnsi="Book Antiqua"/>
        </w:rPr>
        <w:t>she had</w:t>
      </w:r>
      <w:r w:rsidR="000409F2" w:rsidRPr="005946CE">
        <w:rPr>
          <w:rFonts w:ascii="Book Antiqua" w:hAnsi="Book Antiqua"/>
        </w:rPr>
        <w:t xml:space="preserve"> not stated that she had no knowledge of the rental arrangements.  </w:t>
      </w:r>
      <w:r w:rsidR="0083178F">
        <w:rPr>
          <w:rFonts w:ascii="Book Antiqua" w:hAnsi="Book Antiqua"/>
        </w:rPr>
        <w:t xml:space="preserve">While </w:t>
      </w:r>
      <w:r>
        <w:rPr>
          <w:rFonts w:ascii="Book Antiqua" w:hAnsi="Book Antiqua"/>
        </w:rPr>
        <w:t xml:space="preserve">I find that the Judge </w:t>
      </w:r>
      <w:r w:rsidR="0083178F">
        <w:rPr>
          <w:rFonts w:ascii="Book Antiqua" w:hAnsi="Book Antiqua"/>
        </w:rPr>
        <w:t xml:space="preserve">could have been clearer, he </w:t>
      </w:r>
      <w:r>
        <w:rPr>
          <w:rFonts w:ascii="Book Antiqua" w:hAnsi="Book Antiqua"/>
        </w:rPr>
        <w:t xml:space="preserve">gave reasons for </w:t>
      </w:r>
      <w:r w:rsidR="0083178F">
        <w:rPr>
          <w:rFonts w:ascii="Book Antiqua" w:hAnsi="Book Antiqua"/>
        </w:rPr>
        <w:t xml:space="preserve">finding </w:t>
      </w:r>
      <w:r>
        <w:rPr>
          <w:rFonts w:ascii="Book Antiqua" w:hAnsi="Book Antiqua"/>
        </w:rPr>
        <w:t xml:space="preserve">that he could not give weight to her evidence, and </w:t>
      </w:r>
      <w:r w:rsidR="000409F2" w:rsidRPr="005946CE">
        <w:rPr>
          <w:rFonts w:ascii="Book Antiqua" w:hAnsi="Book Antiqua"/>
        </w:rPr>
        <w:t>I do not find there is any error of law.</w:t>
      </w:r>
    </w:p>
    <w:p w:rsidR="009F5879" w:rsidRDefault="009F5879" w:rsidP="009F5879">
      <w:pPr>
        <w:pStyle w:val="ListParagraph"/>
        <w:rPr>
          <w:rFonts w:ascii="Book Antiqua" w:hAnsi="Book Antiqua"/>
        </w:rPr>
      </w:pPr>
    </w:p>
    <w:p w:rsidR="000409F2" w:rsidRDefault="005946CE" w:rsidP="009F5879">
      <w:pPr>
        <w:numPr>
          <w:ilvl w:val="0"/>
          <w:numId w:val="1"/>
        </w:numPr>
        <w:ind w:left="579" w:hanging="573"/>
        <w:jc w:val="both"/>
        <w:rPr>
          <w:rFonts w:ascii="Book Antiqua" w:hAnsi="Book Antiqua"/>
        </w:rPr>
      </w:pPr>
      <w:r>
        <w:rPr>
          <w:rFonts w:ascii="Book Antiqua" w:hAnsi="Book Antiqua"/>
        </w:rPr>
        <w:t>However, I have found that the Judge erred in his treatment of the evidence of SC</w:t>
      </w:r>
      <w:r w:rsidR="0083178F">
        <w:rPr>
          <w:rFonts w:ascii="Book Antiqua" w:hAnsi="Book Antiqua"/>
        </w:rPr>
        <w:t xml:space="preserve"> and </w:t>
      </w:r>
      <w:r w:rsidR="009F5879">
        <w:rPr>
          <w:rFonts w:ascii="Book Antiqua" w:hAnsi="Book Antiqua"/>
        </w:rPr>
        <w:t>I</w:t>
      </w:r>
      <w:r w:rsidR="009F5879" w:rsidRPr="000E2879">
        <w:rPr>
          <w:rFonts w:ascii="Book Antiqua" w:hAnsi="Book Antiqua"/>
        </w:rPr>
        <w:t xml:space="preserve"> </w:t>
      </w:r>
      <w:r w:rsidR="0083178F">
        <w:rPr>
          <w:rFonts w:ascii="Book Antiqua" w:hAnsi="Book Antiqua"/>
        </w:rPr>
        <w:t xml:space="preserve">have found </w:t>
      </w:r>
      <w:r w:rsidR="009F5879" w:rsidRPr="000E2879">
        <w:rPr>
          <w:rFonts w:ascii="Book Antiqua" w:hAnsi="Book Antiqua"/>
        </w:rPr>
        <w:t xml:space="preserve">that </w:t>
      </w:r>
      <w:r>
        <w:rPr>
          <w:rFonts w:ascii="Book Antiqua" w:hAnsi="Book Antiqua"/>
        </w:rPr>
        <w:t xml:space="preserve">this error is </w:t>
      </w:r>
      <w:r w:rsidR="000409F2">
        <w:rPr>
          <w:rFonts w:ascii="Book Antiqua" w:hAnsi="Book Antiqua"/>
        </w:rPr>
        <w:t>material</w:t>
      </w:r>
      <w:r w:rsidR="009F5879" w:rsidRPr="000E2879">
        <w:rPr>
          <w:rFonts w:ascii="Book Antiqua" w:hAnsi="Book Antiqua"/>
        </w:rPr>
        <w:t xml:space="preserve">.  I have taken account of the Practice Statement dated 10 February 2010, paragraph 7.2.  This contemplates that an appeal may be remitted to the First-tier Tribunal where the effect of the error has been to deprive a party before the First-tier Tribunal of a fair hearing or other opportunity for the party’s </w:t>
      </w:r>
      <w:r w:rsidR="009F5879" w:rsidRPr="000E2879">
        <w:rPr>
          <w:rFonts w:ascii="Book Antiqua" w:hAnsi="Book Antiqua"/>
        </w:rPr>
        <w:lastRenderedPageBreak/>
        <w:t xml:space="preserve">case to be put to and considered by the First-tier Tribunal.  </w:t>
      </w:r>
      <w:r w:rsidR="009F5879">
        <w:rPr>
          <w:rFonts w:ascii="Book Antiqua" w:hAnsi="Book Antiqua"/>
        </w:rPr>
        <w:t xml:space="preserve">The error affects the credibility findings and therefore, given </w:t>
      </w:r>
      <w:r w:rsidR="009F5879" w:rsidRPr="000E2879">
        <w:rPr>
          <w:rFonts w:ascii="Book Antiqua" w:hAnsi="Book Antiqua"/>
        </w:rPr>
        <w:t>the nature and extent of the fact-finding necessary to enable this appeal to be remade, having regard to the overriding objective,</w:t>
      </w:r>
      <w:r w:rsidR="009F5879" w:rsidRPr="000E2879">
        <w:rPr>
          <w:rFonts w:ascii="Book Antiqua" w:hAnsi="Book Antiqua" w:cs="Arial"/>
        </w:rPr>
        <w:t xml:space="preserve"> </w:t>
      </w:r>
      <w:r w:rsidR="009F5879" w:rsidRPr="000E2879">
        <w:rPr>
          <w:rFonts w:ascii="Book Antiqua" w:hAnsi="Book Antiqua"/>
        </w:rPr>
        <w:t>I find that it is appropriate to remit this case to the First-tier Tribunal.</w:t>
      </w:r>
    </w:p>
    <w:p w:rsidR="000409F2" w:rsidRDefault="000409F2" w:rsidP="000409F2">
      <w:pPr>
        <w:pStyle w:val="ListParagraph"/>
        <w:rPr>
          <w:rFonts w:ascii="Book Antiqua" w:hAnsi="Book Antiqua" w:cs="Arial"/>
          <w:b/>
          <w:u w:val="single"/>
        </w:rPr>
      </w:pPr>
    </w:p>
    <w:p w:rsidR="00806B69" w:rsidRDefault="00806B69" w:rsidP="005946CE">
      <w:pPr>
        <w:jc w:val="both"/>
        <w:rPr>
          <w:rFonts w:ascii="Book Antiqua" w:hAnsi="Book Antiqua" w:cs="Arial"/>
          <w:b/>
          <w:u w:val="single"/>
        </w:rPr>
      </w:pPr>
    </w:p>
    <w:p w:rsidR="000409F2" w:rsidRDefault="009F5879" w:rsidP="005946CE">
      <w:pPr>
        <w:jc w:val="both"/>
        <w:rPr>
          <w:rFonts w:ascii="Book Antiqua" w:hAnsi="Book Antiqua"/>
        </w:rPr>
      </w:pPr>
      <w:r w:rsidRPr="000409F2">
        <w:rPr>
          <w:rFonts w:ascii="Book Antiqua" w:hAnsi="Book Antiqua" w:cs="Arial"/>
          <w:b/>
          <w:u w:val="single"/>
        </w:rPr>
        <w:t>Notice of Decision</w:t>
      </w:r>
    </w:p>
    <w:p w:rsidR="000409F2" w:rsidRDefault="000409F2" w:rsidP="000409F2">
      <w:pPr>
        <w:pStyle w:val="ListParagraph"/>
        <w:rPr>
          <w:rFonts w:ascii="Book Antiqua" w:hAnsi="Book Antiqua" w:cs="Arial"/>
        </w:rPr>
      </w:pPr>
    </w:p>
    <w:p w:rsidR="000409F2" w:rsidRDefault="009F5879" w:rsidP="000409F2">
      <w:pPr>
        <w:numPr>
          <w:ilvl w:val="0"/>
          <w:numId w:val="1"/>
        </w:numPr>
        <w:ind w:left="579" w:hanging="573"/>
        <w:jc w:val="both"/>
        <w:rPr>
          <w:rFonts w:ascii="Book Antiqua" w:hAnsi="Book Antiqua"/>
        </w:rPr>
      </w:pPr>
      <w:r w:rsidRPr="000409F2">
        <w:rPr>
          <w:rFonts w:ascii="Book Antiqua" w:hAnsi="Book Antiqua" w:cs="Arial"/>
        </w:rPr>
        <w:t xml:space="preserve">The decision of the First-tier Tribunal involves the making of </w:t>
      </w:r>
      <w:r w:rsidR="000409F2">
        <w:rPr>
          <w:rFonts w:ascii="Book Antiqua" w:hAnsi="Book Antiqua" w:cs="Arial"/>
        </w:rPr>
        <w:t>a material error</w:t>
      </w:r>
      <w:r w:rsidRPr="000409F2">
        <w:rPr>
          <w:rFonts w:ascii="Book Antiqua" w:hAnsi="Book Antiqua" w:cs="Arial"/>
        </w:rPr>
        <w:t xml:space="preserve"> of law and I set the decision aside. </w:t>
      </w:r>
    </w:p>
    <w:p w:rsidR="000409F2" w:rsidRDefault="000409F2" w:rsidP="000409F2">
      <w:pPr>
        <w:pStyle w:val="ListParagraph"/>
        <w:rPr>
          <w:rFonts w:ascii="Book Antiqua" w:hAnsi="Book Antiqua" w:cs="Arial"/>
        </w:rPr>
      </w:pPr>
    </w:p>
    <w:p w:rsidR="000409F2" w:rsidRPr="000409F2" w:rsidRDefault="009F5879" w:rsidP="000409F2">
      <w:pPr>
        <w:numPr>
          <w:ilvl w:val="0"/>
          <w:numId w:val="1"/>
        </w:numPr>
        <w:ind w:left="579" w:hanging="573"/>
        <w:jc w:val="both"/>
        <w:rPr>
          <w:rFonts w:ascii="Book Antiqua" w:hAnsi="Book Antiqua"/>
        </w:rPr>
      </w:pPr>
      <w:r w:rsidRPr="000409F2">
        <w:rPr>
          <w:rFonts w:ascii="Book Antiqua" w:hAnsi="Book Antiqua" w:cs="Arial"/>
        </w:rPr>
        <w:t>The appeal is remitted to the First-tier Tribunal to be remade</w:t>
      </w:r>
      <w:r w:rsidR="000409F2">
        <w:rPr>
          <w:rFonts w:ascii="Book Antiqua" w:hAnsi="Book Antiqua" w:cs="Arial"/>
        </w:rPr>
        <w:t>.</w:t>
      </w:r>
    </w:p>
    <w:p w:rsidR="000409F2" w:rsidRDefault="000409F2" w:rsidP="000409F2">
      <w:pPr>
        <w:pStyle w:val="ListParagraph"/>
        <w:rPr>
          <w:rFonts w:ascii="Book Antiqua" w:hAnsi="Book Antiqua" w:cs="Arial"/>
        </w:rPr>
      </w:pPr>
    </w:p>
    <w:p w:rsidR="009F5879" w:rsidRPr="000409F2" w:rsidRDefault="009F5879" w:rsidP="000409F2">
      <w:pPr>
        <w:numPr>
          <w:ilvl w:val="0"/>
          <w:numId w:val="1"/>
        </w:numPr>
        <w:ind w:left="579" w:hanging="573"/>
        <w:jc w:val="both"/>
        <w:rPr>
          <w:rFonts w:ascii="Book Antiqua" w:hAnsi="Book Antiqua"/>
        </w:rPr>
      </w:pPr>
      <w:r w:rsidRPr="000409F2">
        <w:rPr>
          <w:rFonts w:ascii="Book Antiqua" w:hAnsi="Book Antiqua" w:cs="Arial"/>
        </w:rPr>
        <w:t xml:space="preserve">The appeal is not to be listed before Judge </w:t>
      </w:r>
      <w:r w:rsidR="000409F2">
        <w:rPr>
          <w:rFonts w:ascii="Book Antiqua" w:hAnsi="Book Antiqua" w:cs="Arial"/>
        </w:rPr>
        <w:t>Young</w:t>
      </w:r>
      <w:r w:rsidRPr="000409F2">
        <w:rPr>
          <w:rFonts w:ascii="Book Antiqua" w:hAnsi="Book Antiqua" w:cs="Arial"/>
        </w:rPr>
        <w:t>.</w:t>
      </w:r>
    </w:p>
    <w:p w:rsidR="009F5879" w:rsidRDefault="009F5879" w:rsidP="009F5879">
      <w:pPr>
        <w:jc w:val="both"/>
        <w:rPr>
          <w:rFonts w:ascii="Book Antiqua" w:hAnsi="Book Antiqua" w:cs="Arial"/>
        </w:rPr>
      </w:pPr>
    </w:p>
    <w:p w:rsidR="00806B69" w:rsidRDefault="00806B69" w:rsidP="009F5879">
      <w:pPr>
        <w:jc w:val="both"/>
        <w:rPr>
          <w:rFonts w:ascii="Book Antiqua" w:hAnsi="Book Antiqua" w:cs="Arial"/>
          <w:b/>
          <w:u w:val="single"/>
        </w:rPr>
      </w:pPr>
    </w:p>
    <w:p w:rsidR="009F5879" w:rsidRDefault="009F5879" w:rsidP="009F5879">
      <w:pPr>
        <w:jc w:val="both"/>
        <w:rPr>
          <w:rFonts w:ascii="Book Antiqua" w:hAnsi="Book Antiqua" w:cs="Arial"/>
        </w:rPr>
      </w:pPr>
      <w:bookmarkStart w:id="0" w:name="_GoBack"/>
      <w:bookmarkEnd w:id="0"/>
      <w:r>
        <w:rPr>
          <w:rFonts w:ascii="Book Antiqua" w:hAnsi="Book Antiqua" w:cs="Arial"/>
          <w:b/>
          <w:u w:val="single"/>
        </w:rPr>
        <w:t>Direction Regarding Anonymity – Rule 14 of the Tribunal Procedure (Upper Tribunal) Rules 2008</w:t>
      </w:r>
    </w:p>
    <w:p w:rsidR="009F5879" w:rsidRDefault="009F5879" w:rsidP="009F5879">
      <w:pPr>
        <w:jc w:val="both"/>
        <w:rPr>
          <w:rFonts w:ascii="Book Antiqua" w:hAnsi="Book Antiqua" w:cs="Arial"/>
        </w:rPr>
      </w:pPr>
    </w:p>
    <w:p w:rsidR="009F5879" w:rsidRPr="00AE6DDE" w:rsidRDefault="009F5879" w:rsidP="009F587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9F5879" w:rsidRDefault="009F5879" w:rsidP="009F5879">
      <w:pPr>
        <w:jc w:val="both"/>
        <w:rPr>
          <w:rFonts w:ascii="Book Antiqua" w:hAnsi="Book Antiqua" w:cs="Arial"/>
        </w:rPr>
      </w:pPr>
    </w:p>
    <w:p w:rsidR="009F5879" w:rsidRDefault="009F5879" w:rsidP="009F5879">
      <w:pPr>
        <w:jc w:val="both"/>
        <w:rPr>
          <w:rFonts w:ascii="Book Antiqua" w:hAnsi="Book Antiqua" w:cs="Arial"/>
        </w:rPr>
      </w:pPr>
    </w:p>
    <w:p w:rsidR="009F5879" w:rsidRPr="00AE6DDE" w:rsidRDefault="009F5879" w:rsidP="009F5879">
      <w:pPr>
        <w:jc w:val="both"/>
        <w:rPr>
          <w:rFonts w:ascii="Book Antiqua" w:hAnsi="Book Antiqua" w:cs="Arial"/>
        </w:rPr>
      </w:pPr>
    </w:p>
    <w:p w:rsidR="009F5879" w:rsidRPr="00AE6DDE" w:rsidRDefault="009F5879" w:rsidP="009F587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0409F2">
        <w:rPr>
          <w:rFonts w:ascii="Book Antiqua" w:hAnsi="Book Antiqua" w:cs="Arial"/>
        </w:rPr>
        <w:t xml:space="preserve"> 26</w:t>
      </w:r>
      <w:r>
        <w:rPr>
          <w:rFonts w:ascii="Book Antiqua" w:hAnsi="Book Antiqua" w:cs="Arial"/>
        </w:rPr>
        <w:t xml:space="preserve"> June 2018</w:t>
      </w:r>
    </w:p>
    <w:p w:rsidR="009F5879" w:rsidRPr="00AE6DDE" w:rsidRDefault="009F5879" w:rsidP="009F5879">
      <w:pPr>
        <w:jc w:val="both"/>
        <w:rPr>
          <w:rFonts w:ascii="Book Antiqua" w:hAnsi="Book Antiqua" w:cs="Arial"/>
        </w:rPr>
      </w:pPr>
    </w:p>
    <w:p w:rsidR="009F5879" w:rsidRPr="00AE6DDE" w:rsidRDefault="009F5879" w:rsidP="009F5879">
      <w:pPr>
        <w:jc w:val="both"/>
        <w:rPr>
          <w:rFonts w:ascii="Book Antiqua" w:hAnsi="Book Antiqua" w:cs="Arial"/>
        </w:rPr>
      </w:pPr>
    </w:p>
    <w:p w:rsidR="009F5879" w:rsidRPr="00F63E96" w:rsidRDefault="009F5879" w:rsidP="009F5879">
      <w:pPr>
        <w:jc w:val="both"/>
        <w:rPr>
          <w:rFonts w:ascii="Book Antiqua" w:hAnsi="Book Antiqua" w:cs="Arial"/>
          <w:b/>
          <w:color w:val="000000"/>
          <w:u w:val="single"/>
        </w:rPr>
      </w:pPr>
      <w:r w:rsidRPr="00F63E96">
        <w:rPr>
          <w:rFonts w:ascii="Book Antiqua" w:hAnsi="Book Antiqua" w:cs="Arial"/>
          <w:b/>
          <w:color w:val="000000"/>
          <w:u w:val="single"/>
        </w:rPr>
        <w:t xml:space="preserve">Deputy Upper Tribunal Judge Chamberlain </w:t>
      </w:r>
    </w:p>
    <w:p w:rsidR="00C53074" w:rsidRDefault="00C53074" w:rsidP="00C53074">
      <w:pPr>
        <w:jc w:val="both"/>
        <w:rPr>
          <w:rFonts w:ascii="Book Antiqua" w:hAnsi="Book Antiqua" w:cs="Arial"/>
          <w:color w:val="000000"/>
        </w:rPr>
      </w:pPr>
    </w:p>
    <w:p w:rsidR="00B95326" w:rsidRPr="00AE6DDE" w:rsidRDefault="00B95326" w:rsidP="00CC2AEB">
      <w:pPr>
        <w:rPr>
          <w:rFonts w:ascii="Book Antiqua" w:hAnsi="Book Antiqua" w:cs="Arial"/>
        </w:rPr>
      </w:pPr>
    </w:p>
    <w:sectPr w:rsidR="00B95326" w:rsidRPr="00AE6DDE" w:rsidSect="00F3250C">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1D3" w:rsidRDefault="008D41D3">
      <w:r>
        <w:separator/>
      </w:r>
    </w:p>
  </w:endnote>
  <w:endnote w:type="continuationSeparator" w:id="0">
    <w:p w:rsidR="008D41D3" w:rsidRDefault="008D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A6" w:rsidRPr="00F3250C" w:rsidRDefault="00A820A6" w:rsidP="00593795">
    <w:pPr>
      <w:pStyle w:val="Footer"/>
      <w:jc w:val="center"/>
      <w:rPr>
        <w:rFonts w:ascii="Book Antiqua" w:hAnsi="Book Antiqua" w:cs="Arial"/>
      </w:rPr>
    </w:pPr>
    <w:r w:rsidRPr="00F3250C">
      <w:rPr>
        <w:rStyle w:val="PageNumber"/>
        <w:rFonts w:ascii="Book Antiqua" w:hAnsi="Book Antiqua" w:cs="Arial"/>
      </w:rPr>
      <w:fldChar w:fldCharType="begin"/>
    </w:r>
    <w:r w:rsidRPr="00F3250C">
      <w:rPr>
        <w:rStyle w:val="PageNumber"/>
        <w:rFonts w:ascii="Book Antiqua" w:hAnsi="Book Antiqua" w:cs="Arial"/>
      </w:rPr>
      <w:instrText xml:space="preserve"> PAGE </w:instrText>
    </w:r>
    <w:r w:rsidRPr="00F3250C">
      <w:rPr>
        <w:rStyle w:val="PageNumber"/>
        <w:rFonts w:ascii="Book Antiqua" w:hAnsi="Book Antiqua" w:cs="Arial"/>
      </w:rPr>
      <w:fldChar w:fldCharType="separate"/>
    </w:r>
    <w:r w:rsidR="00E0692B">
      <w:rPr>
        <w:rStyle w:val="PageNumber"/>
        <w:rFonts w:ascii="Book Antiqua" w:hAnsi="Book Antiqua" w:cs="Arial"/>
        <w:noProof/>
      </w:rPr>
      <w:t>4</w:t>
    </w:r>
    <w:r w:rsidRPr="00F3250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A6" w:rsidRPr="00AE6DDE" w:rsidRDefault="00A820A6"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1D3" w:rsidRDefault="008D41D3">
      <w:r>
        <w:separator/>
      </w:r>
    </w:p>
  </w:footnote>
  <w:footnote w:type="continuationSeparator" w:id="0">
    <w:p w:rsidR="008D41D3" w:rsidRDefault="008D4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A6" w:rsidRDefault="00A820A6"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DE23A0">
      <w:rPr>
        <w:rFonts w:ascii="Book Antiqua" w:hAnsi="Book Antiqua" w:cs="Arial"/>
        <w:sz w:val="16"/>
        <w:szCs w:val="16"/>
      </w:rPr>
      <w:t>PA/12567/2017</w:t>
    </w:r>
  </w:p>
  <w:p w:rsidR="00F3250C" w:rsidRPr="00DE23A0" w:rsidRDefault="00F3250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A6" w:rsidRPr="00AE6DDE" w:rsidRDefault="00A820A6">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7535"/>
    <w:multiLevelType w:val="hybridMultilevel"/>
    <w:tmpl w:val="0D64F694"/>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729CF3D-F0C2-4E99-A001-55E3A82E511C}"/>
    <w:docVar w:name="dgnword-eventsink" w:val="333069264"/>
  </w:docVars>
  <w:rsids>
    <w:rsidRoot w:val="00D24C0D"/>
    <w:rsid w:val="00000621"/>
    <w:rsid w:val="000036C2"/>
    <w:rsid w:val="00033D3D"/>
    <w:rsid w:val="00036302"/>
    <w:rsid w:val="000409F2"/>
    <w:rsid w:val="00062F02"/>
    <w:rsid w:val="00071A7E"/>
    <w:rsid w:val="000746C0"/>
    <w:rsid w:val="00074D1D"/>
    <w:rsid w:val="00092580"/>
    <w:rsid w:val="00093D4D"/>
    <w:rsid w:val="000B24F7"/>
    <w:rsid w:val="000C4CC2"/>
    <w:rsid w:val="000D1273"/>
    <w:rsid w:val="000D35BD"/>
    <w:rsid w:val="000D5D94"/>
    <w:rsid w:val="000F1A0E"/>
    <w:rsid w:val="0010486F"/>
    <w:rsid w:val="001165A7"/>
    <w:rsid w:val="00120418"/>
    <w:rsid w:val="00142DD1"/>
    <w:rsid w:val="00152F50"/>
    <w:rsid w:val="0015390C"/>
    <w:rsid w:val="00167D3A"/>
    <w:rsid w:val="00173946"/>
    <w:rsid w:val="00173A2D"/>
    <w:rsid w:val="0019174D"/>
    <w:rsid w:val="001A3082"/>
    <w:rsid w:val="001B05CC"/>
    <w:rsid w:val="001B186A"/>
    <w:rsid w:val="001B2F75"/>
    <w:rsid w:val="001B63CB"/>
    <w:rsid w:val="001C4EBC"/>
    <w:rsid w:val="001D3B48"/>
    <w:rsid w:val="001D7BC2"/>
    <w:rsid w:val="001F2716"/>
    <w:rsid w:val="0020152A"/>
    <w:rsid w:val="00207617"/>
    <w:rsid w:val="00224D49"/>
    <w:rsid w:val="0023134B"/>
    <w:rsid w:val="002376E5"/>
    <w:rsid w:val="00252EB7"/>
    <w:rsid w:val="00253D70"/>
    <w:rsid w:val="00254DBC"/>
    <w:rsid w:val="00266286"/>
    <w:rsid w:val="002827FF"/>
    <w:rsid w:val="00283659"/>
    <w:rsid w:val="00291A96"/>
    <w:rsid w:val="002C6BD4"/>
    <w:rsid w:val="002D083B"/>
    <w:rsid w:val="002D1ACA"/>
    <w:rsid w:val="002D68BF"/>
    <w:rsid w:val="002F6B98"/>
    <w:rsid w:val="00305391"/>
    <w:rsid w:val="00336CBF"/>
    <w:rsid w:val="00343FE3"/>
    <w:rsid w:val="00347A9C"/>
    <w:rsid w:val="003546C8"/>
    <w:rsid w:val="00361613"/>
    <w:rsid w:val="003A0375"/>
    <w:rsid w:val="003A7CF2"/>
    <w:rsid w:val="003C5CE5"/>
    <w:rsid w:val="003E267B"/>
    <w:rsid w:val="003E7CD1"/>
    <w:rsid w:val="003F4C61"/>
    <w:rsid w:val="00402B9E"/>
    <w:rsid w:val="00410277"/>
    <w:rsid w:val="004249CB"/>
    <w:rsid w:val="00432E6B"/>
    <w:rsid w:val="0044127D"/>
    <w:rsid w:val="004448DB"/>
    <w:rsid w:val="00446C9A"/>
    <w:rsid w:val="00447988"/>
    <w:rsid w:val="00452F2B"/>
    <w:rsid w:val="00471E3C"/>
    <w:rsid w:val="004751F9"/>
    <w:rsid w:val="00477193"/>
    <w:rsid w:val="00492219"/>
    <w:rsid w:val="004A1848"/>
    <w:rsid w:val="004A6F4A"/>
    <w:rsid w:val="004D0C82"/>
    <w:rsid w:val="004E4717"/>
    <w:rsid w:val="004F672C"/>
    <w:rsid w:val="0050388A"/>
    <w:rsid w:val="00507FEC"/>
    <w:rsid w:val="00510F0E"/>
    <w:rsid w:val="005420FD"/>
    <w:rsid w:val="005473D4"/>
    <w:rsid w:val="005479E1"/>
    <w:rsid w:val="00551537"/>
    <w:rsid w:val="00551811"/>
    <w:rsid w:val="00553E0A"/>
    <w:rsid w:val="005570FD"/>
    <w:rsid w:val="005575EA"/>
    <w:rsid w:val="005633A7"/>
    <w:rsid w:val="0057790C"/>
    <w:rsid w:val="00593795"/>
    <w:rsid w:val="005946CE"/>
    <w:rsid w:val="00596130"/>
    <w:rsid w:val="005A3022"/>
    <w:rsid w:val="005A75FF"/>
    <w:rsid w:val="005C2B9C"/>
    <w:rsid w:val="005D10AB"/>
    <w:rsid w:val="005E3B61"/>
    <w:rsid w:val="005E462D"/>
    <w:rsid w:val="005E761F"/>
    <w:rsid w:val="006005F4"/>
    <w:rsid w:val="00601D8F"/>
    <w:rsid w:val="0062078F"/>
    <w:rsid w:val="00653E97"/>
    <w:rsid w:val="00656B1D"/>
    <w:rsid w:val="0067300D"/>
    <w:rsid w:val="00684A74"/>
    <w:rsid w:val="00690B8A"/>
    <w:rsid w:val="006E47C4"/>
    <w:rsid w:val="006F2CF1"/>
    <w:rsid w:val="00703184"/>
    <w:rsid w:val="007038ED"/>
    <w:rsid w:val="00703BC3"/>
    <w:rsid w:val="00704B61"/>
    <w:rsid w:val="00746BBA"/>
    <w:rsid w:val="007552A9"/>
    <w:rsid w:val="00761858"/>
    <w:rsid w:val="00767D59"/>
    <w:rsid w:val="00776E97"/>
    <w:rsid w:val="00780F86"/>
    <w:rsid w:val="007912AD"/>
    <w:rsid w:val="007A0794"/>
    <w:rsid w:val="007B0824"/>
    <w:rsid w:val="007B5D3C"/>
    <w:rsid w:val="007E630D"/>
    <w:rsid w:val="007E7B86"/>
    <w:rsid w:val="00806B69"/>
    <w:rsid w:val="00821B72"/>
    <w:rsid w:val="00823EF2"/>
    <w:rsid w:val="00827025"/>
    <w:rsid w:val="008303B8"/>
    <w:rsid w:val="0083178F"/>
    <w:rsid w:val="00833DCE"/>
    <w:rsid w:val="00847259"/>
    <w:rsid w:val="008478F6"/>
    <w:rsid w:val="00854534"/>
    <w:rsid w:val="00871D34"/>
    <w:rsid w:val="00874D45"/>
    <w:rsid w:val="008B270C"/>
    <w:rsid w:val="008B2864"/>
    <w:rsid w:val="008B5078"/>
    <w:rsid w:val="008C3D3D"/>
    <w:rsid w:val="008D4131"/>
    <w:rsid w:val="008D41D3"/>
    <w:rsid w:val="008F1932"/>
    <w:rsid w:val="008F5D0E"/>
    <w:rsid w:val="0090666A"/>
    <w:rsid w:val="00921062"/>
    <w:rsid w:val="00942BEE"/>
    <w:rsid w:val="00947565"/>
    <w:rsid w:val="009722BC"/>
    <w:rsid w:val="009727A3"/>
    <w:rsid w:val="00984E64"/>
    <w:rsid w:val="00987774"/>
    <w:rsid w:val="009A11E8"/>
    <w:rsid w:val="009B443B"/>
    <w:rsid w:val="009D1EA3"/>
    <w:rsid w:val="009F5220"/>
    <w:rsid w:val="009F5879"/>
    <w:rsid w:val="009F6BAB"/>
    <w:rsid w:val="00A11B10"/>
    <w:rsid w:val="00A15234"/>
    <w:rsid w:val="00A201AB"/>
    <w:rsid w:val="00A31C8B"/>
    <w:rsid w:val="00A462C9"/>
    <w:rsid w:val="00A509FA"/>
    <w:rsid w:val="00A57B5D"/>
    <w:rsid w:val="00A820A6"/>
    <w:rsid w:val="00A845DC"/>
    <w:rsid w:val="00A92942"/>
    <w:rsid w:val="00AA20C4"/>
    <w:rsid w:val="00AB6F84"/>
    <w:rsid w:val="00AD1D15"/>
    <w:rsid w:val="00AD30EF"/>
    <w:rsid w:val="00AD5231"/>
    <w:rsid w:val="00AE6DDE"/>
    <w:rsid w:val="00AE7D4D"/>
    <w:rsid w:val="00AF5BD9"/>
    <w:rsid w:val="00B24932"/>
    <w:rsid w:val="00B26AA2"/>
    <w:rsid w:val="00B3524D"/>
    <w:rsid w:val="00B40F69"/>
    <w:rsid w:val="00B46616"/>
    <w:rsid w:val="00B7040A"/>
    <w:rsid w:val="00B80B72"/>
    <w:rsid w:val="00B83391"/>
    <w:rsid w:val="00B87C01"/>
    <w:rsid w:val="00B95326"/>
    <w:rsid w:val="00BD4196"/>
    <w:rsid w:val="00BE6840"/>
    <w:rsid w:val="00BF22CA"/>
    <w:rsid w:val="00BF23BB"/>
    <w:rsid w:val="00C01304"/>
    <w:rsid w:val="00C26032"/>
    <w:rsid w:val="00C345E1"/>
    <w:rsid w:val="00C43BFD"/>
    <w:rsid w:val="00C520FF"/>
    <w:rsid w:val="00C53074"/>
    <w:rsid w:val="00C612EB"/>
    <w:rsid w:val="00C638CA"/>
    <w:rsid w:val="00CB6E35"/>
    <w:rsid w:val="00CC2AEB"/>
    <w:rsid w:val="00CD3634"/>
    <w:rsid w:val="00CD58CE"/>
    <w:rsid w:val="00CD59AC"/>
    <w:rsid w:val="00CE1A46"/>
    <w:rsid w:val="00D20757"/>
    <w:rsid w:val="00D22636"/>
    <w:rsid w:val="00D24C0D"/>
    <w:rsid w:val="00D36D7D"/>
    <w:rsid w:val="00D40FD9"/>
    <w:rsid w:val="00D45631"/>
    <w:rsid w:val="00D5113F"/>
    <w:rsid w:val="00D53769"/>
    <w:rsid w:val="00D85C13"/>
    <w:rsid w:val="00D87AF7"/>
    <w:rsid w:val="00D9111A"/>
    <w:rsid w:val="00D91BE3"/>
    <w:rsid w:val="00D94AFC"/>
    <w:rsid w:val="00DB70AE"/>
    <w:rsid w:val="00DC4298"/>
    <w:rsid w:val="00DD1BBC"/>
    <w:rsid w:val="00DD5071"/>
    <w:rsid w:val="00DD5C39"/>
    <w:rsid w:val="00DE23A0"/>
    <w:rsid w:val="00DE7DB7"/>
    <w:rsid w:val="00DF09E9"/>
    <w:rsid w:val="00E00973"/>
    <w:rsid w:val="00E00A0A"/>
    <w:rsid w:val="00E066DE"/>
    <w:rsid w:val="00E0692B"/>
    <w:rsid w:val="00E07F57"/>
    <w:rsid w:val="00E30683"/>
    <w:rsid w:val="00E453D8"/>
    <w:rsid w:val="00E50BCE"/>
    <w:rsid w:val="00E574BF"/>
    <w:rsid w:val="00E61292"/>
    <w:rsid w:val="00E67616"/>
    <w:rsid w:val="00E77C4D"/>
    <w:rsid w:val="00E81D01"/>
    <w:rsid w:val="00E845A5"/>
    <w:rsid w:val="00EA263E"/>
    <w:rsid w:val="00EC3840"/>
    <w:rsid w:val="00ED3FF9"/>
    <w:rsid w:val="00EE0364"/>
    <w:rsid w:val="00EE45D8"/>
    <w:rsid w:val="00F22EDA"/>
    <w:rsid w:val="00F3250C"/>
    <w:rsid w:val="00F4618C"/>
    <w:rsid w:val="00F74FA7"/>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DF533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5A3022"/>
    <w:pPr>
      <w:ind w:left="567" w:hanging="567"/>
      <w:jc w:val="both"/>
    </w:pPr>
    <w:rPr>
      <w:rFonts w:ascii="Book Antiqua" w:hAnsi="Book Antiqua" w:cs="Arial"/>
    </w:rPr>
  </w:style>
  <w:style w:type="character" w:customStyle="1" w:styleId="pChar">
    <w:name w:val="p Char"/>
    <w:link w:val="p"/>
    <w:rsid w:val="005A3022"/>
    <w:rPr>
      <w:rFonts w:ascii="Book Antiqua" w:hAnsi="Book Antiqua" w:cs="Arial"/>
      <w:sz w:val="24"/>
      <w:szCs w:val="24"/>
      <w:lang w:val="en-GB" w:eastAsia="en-GB" w:bidi="ar-SA"/>
    </w:rPr>
  </w:style>
  <w:style w:type="paragraph" w:customStyle="1" w:styleId="qn">
    <w:name w:val="qn"/>
    <w:basedOn w:val="Normal"/>
    <w:rsid w:val="00D5113F"/>
    <w:pPr>
      <w:ind w:left="1701" w:hanging="567"/>
      <w:jc w:val="both"/>
    </w:pPr>
    <w:rPr>
      <w:rFonts w:ascii="Book Antiqua" w:hAnsi="Book Antiqua" w:cs="Arial"/>
    </w:rPr>
  </w:style>
  <w:style w:type="paragraph" w:customStyle="1" w:styleId="q">
    <w:name w:val="q"/>
    <w:basedOn w:val="Normal"/>
    <w:rsid w:val="00D5113F"/>
    <w:pPr>
      <w:ind w:left="1134"/>
      <w:jc w:val="both"/>
    </w:pPr>
    <w:rPr>
      <w:rFonts w:ascii="Book Antiqua" w:hAnsi="Book Antiqua" w:cs="Arial"/>
    </w:rPr>
  </w:style>
  <w:style w:type="paragraph" w:customStyle="1" w:styleId="h">
    <w:name w:val="h"/>
    <w:basedOn w:val="Normal"/>
    <w:rsid w:val="00C01304"/>
    <w:pPr>
      <w:jc w:val="both"/>
    </w:pPr>
    <w:rPr>
      <w:rFonts w:ascii="Book Antiqua" w:hAnsi="Book Antiqua" w:cs="Arial"/>
      <w:b/>
      <w:u w:val="single"/>
    </w:rPr>
  </w:style>
  <w:style w:type="paragraph" w:styleId="ListParagraph">
    <w:name w:val="List Paragraph"/>
    <w:basedOn w:val="Normal"/>
    <w:uiPriority w:val="34"/>
    <w:qFormat/>
    <w:rsid w:val="001204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3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1511</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2018-07-17T12:58:00Z</dcterms:created>
  <dcterms:modified xsi:type="dcterms:W3CDTF">2018-07-17T12:59:00Z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