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2E7C9" w14:textId="77777777" w:rsidR="00933B65" w:rsidRDefault="00FE0046" w:rsidP="00933B65">
      <w:pPr>
        <w:jc w:val="center"/>
        <w:rPr>
          <w:rFonts w:ascii="Book Antiqua" w:hAnsi="Book Antiqua" w:cs="Arial"/>
          <w:color w:val="000000"/>
        </w:rPr>
      </w:pPr>
      <w:r>
        <w:rPr>
          <w:noProof/>
        </w:rPr>
        <w:drawing>
          <wp:inline distT="0" distB="0" distL="0" distR="0" wp14:anchorId="09C1F692" wp14:editId="711CF8E2">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0A8F486B" w14:textId="77777777" w:rsidR="00254594" w:rsidRPr="00F97703" w:rsidRDefault="00254594" w:rsidP="00254594">
      <w:pPr>
        <w:rPr>
          <w:rFonts w:ascii="Book Antiqua" w:hAnsi="Book Antiqua" w:cs="Arial"/>
          <w:color w:val="000000"/>
          <w:sz w:val="16"/>
          <w:szCs w:val="16"/>
        </w:rPr>
      </w:pPr>
    </w:p>
    <w:p w14:paraId="0DD2ED4E"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6FE6704C" w14:textId="77777777" w:rsidR="00933B65" w:rsidRPr="00F97703" w:rsidRDefault="00933B65" w:rsidP="008A64A7">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046817">
        <w:rPr>
          <w:rFonts w:ascii="Book Antiqua" w:hAnsi="Book Antiqua" w:cs="Arial"/>
          <w:caps/>
          <w:color w:val="000000"/>
        </w:rPr>
        <w:t>PA</w:t>
      </w:r>
      <w:r w:rsidR="00FF0C0E">
        <w:rPr>
          <w:rFonts w:ascii="Book Antiqua" w:hAnsi="Book Antiqua" w:cs="Arial"/>
          <w:caps/>
          <w:color w:val="000000"/>
        </w:rPr>
        <w:t>/12686/2016</w:t>
      </w:r>
      <w:bookmarkEnd w:id="0"/>
    </w:p>
    <w:p w14:paraId="766EFED4" w14:textId="35D9D510" w:rsidR="00933B65" w:rsidRDefault="00933B65" w:rsidP="00933B65">
      <w:pPr>
        <w:jc w:val="center"/>
        <w:rPr>
          <w:rFonts w:ascii="Book Antiqua" w:hAnsi="Book Antiqua" w:cs="Arial"/>
          <w:color w:val="000000"/>
        </w:rPr>
      </w:pPr>
    </w:p>
    <w:p w14:paraId="00CF9664" w14:textId="77777777" w:rsidR="00254594" w:rsidRPr="00F97703" w:rsidRDefault="00254594" w:rsidP="00933B65">
      <w:pPr>
        <w:jc w:val="center"/>
        <w:rPr>
          <w:rFonts w:ascii="Book Antiqua" w:hAnsi="Book Antiqua" w:cs="Arial"/>
          <w:color w:val="000000"/>
        </w:rPr>
      </w:pPr>
    </w:p>
    <w:p w14:paraId="1B330886" w14:textId="77777777" w:rsidR="00933B65" w:rsidRPr="00F97703" w:rsidRDefault="00933B65" w:rsidP="00933B65">
      <w:pPr>
        <w:jc w:val="center"/>
        <w:rPr>
          <w:rFonts w:ascii="Book Antiqua" w:hAnsi="Book Antiqua" w:cs="Arial"/>
          <w:b/>
          <w:u w:val="single"/>
        </w:rPr>
      </w:pPr>
      <w:r w:rsidRPr="00F97703">
        <w:rPr>
          <w:rFonts w:ascii="Book Antiqua" w:hAnsi="Book Antiqua" w:cs="Arial"/>
          <w:b/>
          <w:color w:val="000000"/>
          <w:u w:val="single"/>
        </w:rPr>
        <w:t>THE IMMIGRATION ACTS</w:t>
      </w:r>
    </w:p>
    <w:p w14:paraId="0FDAB9C0" w14:textId="36C92A0F" w:rsidR="00933B65" w:rsidRDefault="00933B65" w:rsidP="00933B65">
      <w:pPr>
        <w:jc w:val="center"/>
        <w:rPr>
          <w:rFonts w:ascii="Book Antiqua" w:hAnsi="Book Antiqua" w:cs="Arial"/>
          <w:b/>
          <w:u w:val="single"/>
        </w:rPr>
      </w:pPr>
    </w:p>
    <w:p w14:paraId="5E5F4FF9" w14:textId="77777777" w:rsidR="00254594" w:rsidRPr="00F97703" w:rsidRDefault="00254594" w:rsidP="00933B65">
      <w:pPr>
        <w:jc w:val="center"/>
        <w:rPr>
          <w:rFonts w:ascii="Book Antiqua" w:hAnsi="Book Antiqua" w:cs="Arial"/>
          <w:b/>
          <w:u w:val="single"/>
        </w:rPr>
      </w:pPr>
    </w:p>
    <w:tbl>
      <w:tblPr>
        <w:tblW w:w="10788" w:type="dxa"/>
        <w:tblLook w:val="01E0" w:firstRow="1" w:lastRow="1" w:firstColumn="1" w:lastColumn="1" w:noHBand="0" w:noVBand="0"/>
      </w:tblPr>
      <w:tblGrid>
        <w:gridCol w:w="6617"/>
        <w:gridCol w:w="4171"/>
      </w:tblGrid>
      <w:tr w:rsidR="00933B65" w:rsidRPr="002154EF" w14:paraId="36320656" w14:textId="77777777" w:rsidTr="00F346E7">
        <w:trPr>
          <w:trHeight w:val="285"/>
        </w:trPr>
        <w:tc>
          <w:tcPr>
            <w:tcW w:w="6617" w:type="dxa"/>
            <w:shd w:val="clear" w:color="auto" w:fill="auto"/>
          </w:tcPr>
          <w:p w14:paraId="5514AFA6" w14:textId="77777777" w:rsidR="00933B65" w:rsidRPr="002154EF"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tc>
        <w:tc>
          <w:tcPr>
            <w:tcW w:w="4171" w:type="dxa"/>
            <w:shd w:val="clear" w:color="auto" w:fill="auto"/>
          </w:tcPr>
          <w:p w14:paraId="15A3564A" w14:textId="77777777" w:rsidR="00933B65" w:rsidRPr="002154EF" w:rsidRDefault="00933B65" w:rsidP="002154EF">
            <w:pPr>
              <w:jc w:val="both"/>
              <w:rPr>
                <w:rFonts w:ascii="Book Antiqua" w:hAnsi="Book Antiqua" w:cs="Arial"/>
                <w:b/>
                <w:color w:val="000000"/>
              </w:rPr>
            </w:pPr>
            <w:r w:rsidRPr="002154EF">
              <w:rPr>
                <w:rFonts w:ascii="Book Antiqua" w:hAnsi="Book Antiqua" w:cs="Arial"/>
                <w:b/>
                <w:color w:val="000000"/>
              </w:rPr>
              <w:t xml:space="preserve">Determination </w:t>
            </w:r>
            <w:r w:rsidR="00321C6F" w:rsidRPr="002154EF">
              <w:rPr>
                <w:rFonts w:ascii="Book Antiqua" w:hAnsi="Book Antiqua" w:cs="Arial"/>
                <w:b/>
                <w:color w:val="000000"/>
              </w:rPr>
              <w:t>issu</w:t>
            </w:r>
            <w:r w:rsidRPr="002154EF">
              <w:rPr>
                <w:rFonts w:ascii="Book Antiqua" w:hAnsi="Book Antiqua" w:cs="Arial"/>
                <w:b/>
                <w:color w:val="000000"/>
              </w:rPr>
              <w:t>ed</w:t>
            </w:r>
          </w:p>
        </w:tc>
      </w:tr>
      <w:tr w:rsidR="00933B65" w:rsidRPr="002154EF" w14:paraId="5676CFEC" w14:textId="77777777" w:rsidTr="00F346E7">
        <w:trPr>
          <w:trHeight w:val="269"/>
        </w:trPr>
        <w:tc>
          <w:tcPr>
            <w:tcW w:w="6617" w:type="dxa"/>
            <w:shd w:val="clear" w:color="auto" w:fill="auto"/>
          </w:tcPr>
          <w:p w14:paraId="3829E696" w14:textId="77777777" w:rsidR="00933B65" w:rsidRPr="002154EF" w:rsidRDefault="00F346E7" w:rsidP="002154EF">
            <w:pPr>
              <w:jc w:val="both"/>
              <w:rPr>
                <w:rFonts w:ascii="Book Antiqua" w:hAnsi="Book Antiqua" w:cs="Arial"/>
                <w:b/>
              </w:rPr>
            </w:pPr>
            <w:r>
              <w:rPr>
                <w:rFonts w:ascii="Book Antiqua" w:hAnsi="Book Antiqua" w:cs="Arial"/>
                <w:b/>
              </w:rPr>
              <w:t>O</w:t>
            </w:r>
            <w:r w:rsidR="00933B65" w:rsidRPr="002154EF">
              <w:rPr>
                <w:rFonts w:ascii="Book Antiqua" w:hAnsi="Book Antiqua" w:cs="Arial"/>
                <w:b/>
              </w:rPr>
              <w:t xml:space="preserve">n </w:t>
            </w:r>
            <w:r w:rsidR="00FF0C0E">
              <w:rPr>
                <w:rFonts w:ascii="Book Antiqua" w:hAnsi="Book Antiqua" w:cs="Arial"/>
                <w:b/>
              </w:rPr>
              <w:t>2 August 2018</w:t>
            </w:r>
          </w:p>
        </w:tc>
        <w:tc>
          <w:tcPr>
            <w:tcW w:w="4171" w:type="dxa"/>
            <w:shd w:val="clear" w:color="auto" w:fill="auto"/>
          </w:tcPr>
          <w:p w14:paraId="3A7FDE10" w14:textId="77777777" w:rsidR="00933B65" w:rsidRPr="002154EF" w:rsidRDefault="00F346E7" w:rsidP="002154EF">
            <w:pPr>
              <w:jc w:val="both"/>
              <w:rPr>
                <w:rFonts w:ascii="Book Antiqua" w:hAnsi="Book Antiqua" w:cs="Arial"/>
                <w:b/>
              </w:rPr>
            </w:pPr>
            <w:r>
              <w:rPr>
                <w:rFonts w:ascii="Book Antiqua" w:hAnsi="Book Antiqua" w:cs="Arial"/>
                <w:b/>
              </w:rPr>
              <w:t>On 10 August 2018</w:t>
            </w:r>
          </w:p>
        </w:tc>
      </w:tr>
      <w:tr w:rsidR="00933B65" w:rsidRPr="002154EF" w14:paraId="4A1C550F" w14:textId="77777777" w:rsidTr="00F346E7">
        <w:trPr>
          <w:trHeight w:val="285"/>
        </w:trPr>
        <w:tc>
          <w:tcPr>
            <w:tcW w:w="6617" w:type="dxa"/>
            <w:shd w:val="clear" w:color="auto" w:fill="auto"/>
          </w:tcPr>
          <w:p w14:paraId="27136ED9" w14:textId="77777777" w:rsidR="00933B65" w:rsidRPr="002154EF" w:rsidRDefault="00933B65" w:rsidP="002154EF">
            <w:pPr>
              <w:jc w:val="both"/>
              <w:rPr>
                <w:rFonts w:ascii="Book Antiqua" w:hAnsi="Book Antiqua" w:cs="Arial"/>
                <w:b/>
              </w:rPr>
            </w:pPr>
          </w:p>
        </w:tc>
        <w:tc>
          <w:tcPr>
            <w:tcW w:w="4171" w:type="dxa"/>
            <w:shd w:val="clear" w:color="auto" w:fill="auto"/>
          </w:tcPr>
          <w:p w14:paraId="2F9033B4" w14:textId="77777777" w:rsidR="00933B65" w:rsidRPr="002154EF" w:rsidRDefault="00933B65" w:rsidP="002154EF">
            <w:pPr>
              <w:jc w:val="both"/>
              <w:rPr>
                <w:rFonts w:ascii="Book Antiqua" w:hAnsi="Book Antiqua" w:cs="Arial"/>
                <w:b/>
              </w:rPr>
            </w:pPr>
          </w:p>
        </w:tc>
      </w:tr>
    </w:tbl>
    <w:p w14:paraId="597E32B2" w14:textId="77777777" w:rsidR="00254594" w:rsidRDefault="00254594" w:rsidP="00933B65">
      <w:pPr>
        <w:jc w:val="center"/>
        <w:rPr>
          <w:rFonts w:ascii="Book Antiqua" w:hAnsi="Book Antiqua" w:cs="Arial"/>
          <w:b/>
        </w:rPr>
      </w:pPr>
    </w:p>
    <w:p w14:paraId="3BF80408" w14:textId="098BF68D"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34BF69BE" w14:textId="77777777" w:rsidR="00933B65" w:rsidRPr="00F97703" w:rsidRDefault="00933B65" w:rsidP="00933B65">
      <w:pPr>
        <w:jc w:val="center"/>
        <w:rPr>
          <w:rFonts w:ascii="Book Antiqua" w:hAnsi="Book Antiqua" w:cs="Arial"/>
          <w:b/>
        </w:rPr>
      </w:pPr>
    </w:p>
    <w:p w14:paraId="2E4878C3" w14:textId="77777777" w:rsidR="00933B65" w:rsidRPr="00F97703" w:rsidRDefault="00933B65" w:rsidP="00933B65">
      <w:pPr>
        <w:jc w:val="center"/>
        <w:rPr>
          <w:rFonts w:ascii="Book Antiqua" w:hAnsi="Book Antiqua" w:cs="Arial"/>
          <w:b/>
          <w:color w:val="000000"/>
        </w:rPr>
      </w:pPr>
      <w:r>
        <w:rPr>
          <w:rFonts w:ascii="Book Antiqua" w:hAnsi="Book Antiqua" w:cs="Arial"/>
          <w:b/>
          <w:color w:val="000000"/>
        </w:rPr>
        <w:t xml:space="preserve">UPPER TRIBUNAL JUDGE </w:t>
      </w:r>
      <w:r w:rsidR="008B5B9B">
        <w:rPr>
          <w:rFonts w:ascii="Book Antiqua" w:hAnsi="Book Antiqua" w:cs="Arial"/>
          <w:b/>
          <w:color w:val="000000"/>
        </w:rPr>
        <w:t>MACLEMAN</w:t>
      </w:r>
    </w:p>
    <w:p w14:paraId="2D4DA968" w14:textId="77777777" w:rsidR="00933B65" w:rsidRPr="00F97703" w:rsidRDefault="00933B65" w:rsidP="00933B65">
      <w:pPr>
        <w:jc w:val="center"/>
        <w:rPr>
          <w:rFonts w:ascii="Book Antiqua" w:hAnsi="Book Antiqua" w:cs="Arial"/>
          <w:b/>
        </w:rPr>
      </w:pPr>
    </w:p>
    <w:p w14:paraId="0305CAE8" w14:textId="77777777" w:rsidR="00254594" w:rsidRDefault="00254594" w:rsidP="00933B65">
      <w:pPr>
        <w:jc w:val="center"/>
        <w:rPr>
          <w:rFonts w:ascii="Book Antiqua" w:hAnsi="Book Antiqua" w:cs="Arial"/>
          <w:b/>
        </w:rPr>
      </w:pPr>
    </w:p>
    <w:p w14:paraId="1768C916" w14:textId="132B6671" w:rsidR="00933B65" w:rsidRDefault="00933B65" w:rsidP="00933B65">
      <w:pPr>
        <w:jc w:val="center"/>
        <w:rPr>
          <w:rFonts w:ascii="Book Antiqua" w:hAnsi="Book Antiqua" w:cs="Arial"/>
          <w:b/>
        </w:rPr>
      </w:pPr>
      <w:r w:rsidRPr="00F97703">
        <w:rPr>
          <w:rFonts w:ascii="Book Antiqua" w:hAnsi="Book Antiqua" w:cs="Arial"/>
          <w:b/>
        </w:rPr>
        <w:t>Between</w:t>
      </w:r>
    </w:p>
    <w:p w14:paraId="29F6FD5A" w14:textId="77777777" w:rsidR="00933B65" w:rsidRDefault="00933B65" w:rsidP="00933B65">
      <w:pPr>
        <w:jc w:val="center"/>
        <w:rPr>
          <w:rFonts w:ascii="Book Antiqua" w:hAnsi="Book Antiqua" w:cs="Arial"/>
          <w:b/>
        </w:rPr>
      </w:pPr>
    </w:p>
    <w:p w14:paraId="03622D8E" w14:textId="00BDE228" w:rsidR="00933B65" w:rsidRPr="00F97703" w:rsidRDefault="003A04F8" w:rsidP="00933B65">
      <w:pPr>
        <w:jc w:val="center"/>
        <w:rPr>
          <w:rFonts w:ascii="Book Antiqua" w:hAnsi="Book Antiqua" w:cs="Arial"/>
          <w:b/>
        </w:rPr>
      </w:pPr>
      <w:r>
        <w:rPr>
          <w:rFonts w:ascii="Book Antiqua" w:hAnsi="Book Antiqua" w:cs="Arial"/>
          <w:b/>
        </w:rPr>
        <w:t xml:space="preserve">KARAMO </w:t>
      </w:r>
      <w:r w:rsidR="000F67BF">
        <w:rPr>
          <w:rFonts w:ascii="Book Antiqua" w:hAnsi="Book Antiqua" w:cs="Arial"/>
          <w:b/>
        </w:rPr>
        <w:t>[</w:t>
      </w:r>
      <w:r>
        <w:rPr>
          <w:rFonts w:ascii="Book Antiqua" w:hAnsi="Book Antiqua" w:cs="Arial"/>
          <w:b/>
        </w:rPr>
        <w:t>T</w:t>
      </w:r>
      <w:r w:rsidR="000F67BF">
        <w:rPr>
          <w:rFonts w:ascii="Book Antiqua" w:hAnsi="Book Antiqua" w:cs="Arial"/>
          <w:b/>
        </w:rPr>
        <w:t>]</w:t>
      </w:r>
    </w:p>
    <w:p w14:paraId="687A5B7A"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14:paraId="39144EAF"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5B1B509C" w14:textId="77777777" w:rsidR="00933B65" w:rsidRPr="00F97703" w:rsidRDefault="00933B65" w:rsidP="00933B65">
      <w:pPr>
        <w:jc w:val="center"/>
        <w:rPr>
          <w:rFonts w:ascii="Book Antiqua" w:hAnsi="Book Antiqua" w:cs="Arial"/>
          <w:b/>
        </w:rPr>
      </w:pPr>
    </w:p>
    <w:p w14:paraId="41F063FD" w14:textId="77777777" w:rsidR="00D44C2B"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1EC3678F" w14:textId="77777777" w:rsidR="00933B65" w:rsidRPr="00F97703" w:rsidRDefault="00933B65" w:rsidP="008A64A7">
      <w:pPr>
        <w:jc w:val="right"/>
        <w:rPr>
          <w:rFonts w:ascii="Book Antiqua" w:hAnsi="Book Antiqua" w:cs="Arial"/>
          <w:u w:val="single"/>
        </w:rPr>
      </w:pPr>
      <w:r w:rsidRPr="00F97703">
        <w:rPr>
          <w:rFonts w:ascii="Book Antiqua" w:hAnsi="Book Antiqua" w:cs="Arial"/>
          <w:u w:val="single"/>
        </w:rPr>
        <w:t>Respondent</w:t>
      </w:r>
    </w:p>
    <w:p w14:paraId="4629E3FA" w14:textId="1AC9C9AB" w:rsidR="00254594" w:rsidRDefault="00254594" w:rsidP="00933B65">
      <w:pPr>
        <w:tabs>
          <w:tab w:val="left" w:pos="2520"/>
        </w:tabs>
        <w:rPr>
          <w:rFonts w:ascii="Book Antiqua" w:hAnsi="Book Antiqua" w:cs="Arial"/>
        </w:rPr>
      </w:pPr>
    </w:p>
    <w:p w14:paraId="4A4A71FF" w14:textId="77777777" w:rsidR="00254594" w:rsidRDefault="00254594" w:rsidP="00933B65">
      <w:pPr>
        <w:tabs>
          <w:tab w:val="left" w:pos="2520"/>
        </w:tabs>
        <w:rPr>
          <w:rFonts w:ascii="Book Antiqua" w:hAnsi="Book Antiqua" w:cs="Arial"/>
        </w:rPr>
      </w:pPr>
    </w:p>
    <w:p w14:paraId="7F48C092" w14:textId="0F21FB11" w:rsidR="00254594" w:rsidRPr="00254594" w:rsidRDefault="00254594" w:rsidP="00933B65">
      <w:pPr>
        <w:tabs>
          <w:tab w:val="left" w:pos="2520"/>
        </w:tabs>
        <w:rPr>
          <w:rFonts w:ascii="Book Antiqua" w:hAnsi="Book Antiqua" w:cs="Arial"/>
          <w:u w:val="single"/>
        </w:rPr>
      </w:pPr>
      <w:r w:rsidRPr="00254594">
        <w:rPr>
          <w:rFonts w:ascii="Book Antiqua" w:hAnsi="Book Antiqua" w:cs="Arial"/>
          <w:u w:val="single"/>
        </w:rPr>
        <w:t>Representation:</w:t>
      </w:r>
    </w:p>
    <w:p w14:paraId="4AF9E21B" w14:textId="317C0E99"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B54232">
        <w:rPr>
          <w:rFonts w:ascii="Book Antiqua" w:hAnsi="Book Antiqua" w:cs="Arial"/>
        </w:rPr>
        <w:t xml:space="preserve">Mrs </w:t>
      </w:r>
      <w:r w:rsidR="000839AD">
        <w:rPr>
          <w:rFonts w:ascii="Book Antiqua" w:hAnsi="Book Antiqua" w:cs="Arial"/>
        </w:rPr>
        <w:t xml:space="preserve">F </w:t>
      </w:r>
      <w:r w:rsidR="00B54232">
        <w:rPr>
          <w:rFonts w:ascii="Book Antiqua" w:hAnsi="Book Antiqua" w:cs="Arial"/>
        </w:rPr>
        <w:t xml:space="preserve">Farrell, of </w:t>
      </w:r>
      <w:r w:rsidR="00A633AF">
        <w:rPr>
          <w:rFonts w:ascii="Book Antiqua" w:hAnsi="Book Antiqua" w:cs="Arial"/>
        </w:rPr>
        <w:t xml:space="preserve">Peter G Farrell, </w:t>
      </w:r>
      <w:r w:rsidR="003D7D3D">
        <w:rPr>
          <w:rFonts w:ascii="Book Antiqua" w:hAnsi="Book Antiqua" w:cs="Arial"/>
        </w:rPr>
        <w:t>Solicitors</w:t>
      </w:r>
    </w:p>
    <w:p w14:paraId="6F640078" w14:textId="77777777" w:rsidR="00933B65" w:rsidRPr="00F97703" w:rsidRDefault="00933B65" w:rsidP="008A64A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B54232">
        <w:rPr>
          <w:rFonts w:ascii="Book Antiqua" w:hAnsi="Book Antiqua" w:cs="Arial"/>
        </w:rPr>
        <w:t xml:space="preserve">Mrs M O’Brien, </w:t>
      </w:r>
      <w:r w:rsidR="003D7D3D">
        <w:rPr>
          <w:rFonts w:ascii="Book Antiqua" w:hAnsi="Book Antiqua" w:cs="Arial"/>
        </w:rPr>
        <w:t>Senior</w:t>
      </w:r>
      <w:r>
        <w:rPr>
          <w:rFonts w:ascii="Book Antiqua" w:hAnsi="Book Antiqua" w:cs="Arial"/>
        </w:rPr>
        <w:t xml:space="preserve"> Home Office Presenting Officer</w:t>
      </w:r>
    </w:p>
    <w:p w14:paraId="6A72F38D" w14:textId="2F11DEC7" w:rsidR="00933B65" w:rsidRDefault="00933B65" w:rsidP="00933B65">
      <w:pPr>
        <w:tabs>
          <w:tab w:val="left" w:pos="2520"/>
        </w:tabs>
        <w:jc w:val="center"/>
        <w:rPr>
          <w:rFonts w:ascii="Book Antiqua" w:hAnsi="Book Antiqua" w:cs="Arial"/>
        </w:rPr>
      </w:pPr>
    </w:p>
    <w:p w14:paraId="5B9C4D56" w14:textId="77777777" w:rsidR="00254594" w:rsidRPr="00F97703" w:rsidRDefault="00254594" w:rsidP="00933B65">
      <w:pPr>
        <w:tabs>
          <w:tab w:val="left" w:pos="2520"/>
        </w:tabs>
        <w:jc w:val="center"/>
        <w:rPr>
          <w:rFonts w:ascii="Book Antiqua" w:hAnsi="Book Antiqua" w:cs="Arial"/>
        </w:rPr>
      </w:pPr>
    </w:p>
    <w:p w14:paraId="56F66115" w14:textId="77777777" w:rsidR="00321C6F" w:rsidRPr="002B54F9" w:rsidRDefault="00933B65" w:rsidP="00734D2D">
      <w:pPr>
        <w:tabs>
          <w:tab w:val="left" w:pos="2520"/>
        </w:tabs>
        <w:jc w:val="center"/>
        <w:rPr>
          <w:rFonts w:ascii="Book Antiqua" w:hAnsi="Book Antiqua" w:cs="Arial"/>
          <w:sz w:val="20"/>
          <w:szCs w:val="20"/>
        </w:rPr>
      </w:pPr>
      <w:r w:rsidRPr="00F97703">
        <w:rPr>
          <w:rFonts w:ascii="Book Antiqua" w:hAnsi="Book Antiqua" w:cs="Arial"/>
          <w:b/>
          <w:u w:val="single"/>
        </w:rPr>
        <w:t>DETERMINATION AND REASONS</w:t>
      </w:r>
    </w:p>
    <w:p w14:paraId="44F73BF2" w14:textId="77777777" w:rsidR="00500022" w:rsidRDefault="00500022" w:rsidP="00254594">
      <w:pPr>
        <w:numPr>
          <w:ilvl w:val="0"/>
          <w:numId w:val="2"/>
        </w:numPr>
        <w:spacing w:before="160"/>
        <w:jc w:val="both"/>
        <w:rPr>
          <w:rFonts w:ascii="Book Antiqua" w:hAnsi="Book Antiqua" w:cs="Arial"/>
        </w:rPr>
      </w:pPr>
      <w:r>
        <w:rPr>
          <w:rFonts w:ascii="Book Antiqua" w:hAnsi="Book Antiqua" w:cs="Arial"/>
        </w:rPr>
        <w:t>FtT Judge Fox dismissed the appellant’s appeal by a decision promulgated on 15 January 2018.</w:t>
      </w:r>
    </w:p>
    <w:p w14:paraId="5BC37A2B" w14:textId="77777777" w:rsidR="004B26C2" w:rsidRDefault="005C638A" w:rsidP="00254594">
      <w:pPr>
        <w:numPr>
          <w:ilvl w:val="0"/>
          <w:numId w:val="2"/>
        </w:numPr>
        <w:spacing w:before="160"/>
        <w:jc w:val="both"/>
        <w:rPr>
          <w:rFonts w:ascii="Book Antiqua" w:hAnsi="Book Antiqua" w:cs="Arial"/>
        </w:rPr>
      </w:pPr>
      <w:r>
        <w:rPr>
          <w:rFonts w:ascii="Book Antiqua" w:hAnsi="Book Antiqua" w:cs="Arial"/>
        </w:rPr>
        <w:t xml:space="preserve">The appellant’s grounds of appeal to the UT </w:t>
      </w:r>
      <w:r w:rsidR="00003E03">
        <w:rPr>
          <w:rFonts w:ascii="Book Antiqua" w:hAnsi="Book Antiqua" w:cs="Arial"/>
        </w:rPr>
        <w:t>are</w:t>
      </w:r>
      <w:r w:rsidR="00F92305">
        <w:rPr>
          <w:rFonts w:ascii="Book Antiqua" w:hAnsi="Book Antiqua" w:cs="Arial"/>
        </w:rPr>
        <w:t xml:space="preserve"> </w:t>
      </w:r>
      <w:r>
        <w:rPr>
          <w:rFonts w:ascii="Book Antiqua" w:hAnsi="Book Antiqua" w:cs="Arial"/>
        </w:rPr>
        <w:t>that</w:t>
      </w:r>
      <w:r w:rsidR="004B26C2">
        <w:rPr>
          <w:rFonts w:ascii="Book Antiqua" w:hAnsi="Book Antiqua" w:cs="Arial"/>
        </w:rPr>
        <w:t>:</w:t>
      </w:r>
    </w:p>
    <w:p w14:paraId="7532B9DB" w14:textId="77777777" w:rsidR="004B26C2" w:rsidRPr="00254594" w:rsidRDefault="005C638A" w:rsidP="00254594">
      <w:pPr>
        <w:pStyle w:val="ListParagraph"/>
        <w:numPr>
          <w:ilvl w:val="0"/>
          <w:numId w:val="3"/>
        </w:numPr>
        <w:spacing w:before="120"/>
        <w:ind w:left="1276" w:hanging="426"/>
        <w:jc w:val="both"/>
        <w:rPr>
          <w:rFonts w:ascii="Book Antiqua" w:hAnsi="Book Antiqua" w:cs="Arial"/>
        </w:rPr>
      </w:pPr>
      <w:r w:rsidRPr="00254594">
        <w:rPr>
          <w:rFonts w:ascii="Book Antiqua" w:hAnsi="Book Antiqua" w:cs="Arial"/>
        </w:rPr>
        <w:t xml:space="preserve">he did not attend the hearing in the </w:t>
      </w:r>
      <w:r w:rsidR="004A0AFA" w:rsidRPr="00254594">
        <w:rPr>
          <w:rFonts w:ascii="Book Antiqua" w:hAnsi="Book Antiqua" w:cs="Arial"/>
        </w:rPr>
        <w:t>FtT because he did not receive notice of it;</w:t>
      </w:r>
    </w:p>
    <w:p w14:paraId="3610F887" w14:textId="77777777" w:rsidR="004B26C2" w:rsidRPr="00254594" w:rsidRDefault="004A0AFA" w:rsidP="00254594">
      <w:pPr>
        <w:pStyle w:val="ListParagraph"/>
        <w:numPr>
          <w:ilvl w:val="0"/>
          <w:numId w:val="3"/>
        </w:numPr>
        <w:spacing w:before="120"/>
        <w:ind w:left="1276" w:hanging="426"/>
        <w:jc w:val="both"/>
        <w:rPr>
          <w:rFonts w:ascii="Book Antiqua" w:hAnsi="Book Antiqua" w:cs="Arial"/>
        </w:rPr>
      </w:pPr>
      <w:r w:rsidRPr="00254594">
        <w:rPr>
          <w:rFonts w:ascii="Book Antiqua" w:hAnsi="Book Antiqua" w:cs="Arial"/>
        </w:rPr>
        <w:t xml:space="preserve">he </w:t>
      </w:r>
      <w:r w:rsidR="00BB3FA5" w:rsidRPr="00254594">
        <w:rPr>
          <w:rFonts w:ascii="Book Antiqua" w:hAnsi="Book Antiqua" w:cs="Arial"/>
        </w:rPr>
        <w:t xml:space="preserve">“had advised his previous agents who withdrew from acting on his behalf that he </w:t>
      </w:r>
      <w:r w:rsidR="00003E03" w:rsidRPr="00254594">
        <w:rPr>
          <w:rFonts w:ascii="Book Antiqua" w:hAnsi="Book Antiqua" w:cs="Arial"/>
        </w:rPr>
        <w:t>h</w:t>
      </w:r>
      <w:r w:rsidR="00BB3FA5" w:rsidRPr="00254594">
        <w:rPr>
          <w:rFonts w:ascii="Book Antiqua" w:hAnsi="Book Antiqua" w:cs="Arial"/>
        </w:rPr>
        <w:t>ad … changed address</w:t>
      </w:r>
      <w:r w:rsidR="002E7F3F" w:rsidRPr="00254594">
        <w:rPr>
          <w:rFonts w:ascii="Book Antiqua" w:hAnsi="Book Antiqua" w:cs="Arial"/>
        </w:rPr>
        <w:t>”;</w:t>
      </w:r>
    </w:p>
    <w:p w14:paraId="441B1129" w14:textId="77777777" w:rsidR="004B26C2" w:rsidRPr="00254594" w:rsidRDefault="002E7F3F" w:rsidP="00254594">
      <w:pPr>
        <w:pStyle w:val="ListParagraph"/>
        <w:numPr>
          <w:ilvl w:val="0"/>
          <w:numId w:val="3"/>
        </w:numPr>
        <w:spacing w:before="120"/>
        <w:ind w:left="1276" w:hanging="426"/>
        <w:jc w:val="both"/>
        <w:rPr>
          <w:rFonts w:ascii="Book Antiqua" w:hAnsi="Book Antiqua" w:cs="Arial"/>
        </w:rPr>
      </w:pPr>
      <w:r w:rsidRPr="00254594">
        <w:rPr>
          <w:rFonts w:ascii="Book Antiqua" w:hAnsi="Book Antiqua" w:cs="Arial"/>
        </w:rPr>
        <w:lastRenderedPageBreak/>
        <w:t>had he known the date, he would have attended</w:t>
      </w:r>
      <w:r w:rsidR="00132C84" w:rsidRPr="00254594">
        <w:rPr>
          <w:rFonts w:ascii="Book Antiqua" w:hAnsi="Book Antiqua" w:cs="Arial"/>
        </w:rPr>
        <w:t>,</w:t>
      </w:r>
      <w:r w:rsidRPr="00254594">
        <w:rPr>
          <w:rFonts w:ascii="Book Antiqua" w:hAnsi="Book Antiqua" w:cs="Arial"/>
        </w:rPr>
        <w:t xml:space="preserve"> and would have called a witness able to speak to his bisexuality</w:t>
      </w:r>
      <w:r w:rsidR="00F92305" w:rsidRPr="00254594">
        <w:rPr>
          <w:rFonts w:ascii="Book Antiqua" w:hAnsi="Book Antiqua" w:cs="Arial"/>
        </w:rPr>
        <w:t>;</w:t>
      </w:r>
    </w:p>
    <w:p w14:paraId="5D6E1B9F" w14:textId="77777777" w:rsidR="004B26C2" w:rsidRPr="00254594" w:rsidRDefault="00F92305" w:rsidP="00254594">
      <w:pPr>
        <w:pStyle w:val="ListParagraph"/>
        <w:numPr>
          <w:ilvl w:val="0"/>
          <w:numId w:val="3"/>
        </w:numPr>
        <w:spacing w:before="120"/>
        <w:ind w:left="1276" w:hanging="426"/>
        <w:jc w:val="both"/>
        <w:rPr>
          <w:rFonts w:ascii="Book Antiqua" w:hAnsi="Book Antiqua" w:cs="Arial"/>
        </w:rPr>
      </w:pPr>
      <w:r w:rsidRPr="00254594">
        <w:rPr>
          <w:rFonts w:ascii="Book Antiqua" w:hAnsi="Book Antiqua" w:cs="Arial"/>
        </w:rPr>
        <w:t>it would have been in the interests of justice to adjourn the hearing</w:t>
      </w:r>
      <w:r w:rsidR="00722ADB" w:rsidRPr="00254594">
        <w:rPr>
          <w:rFonts w:ascii="Book Antiqua" w:hAnsi="Book Antiqua" w:cs="Arial"/>
        </w:rPr>
        <w:t xml:space="preserve"> to allow the respondent to check the address of the appellant when he next reported to the respondent, being subjec</w:t>
      </w:r>
      <w:r w:rsidR="00003E03" w:rsidRPr="00254594">
        <w:rPr>
          <w:rFonts w:ascii="Book Antiqua" w:hAnsi="Book Antiqua" w:cs="Arial"/>
        </w:rPr>
        <w:t>t</w:t>
      </w:r>
      <w:r w:rsidR="00722ADB" w:rsidRPr="00254594">
        <w:rPr>
          <w:rFonts w:ascii="Book Antiqua" w:hAnsi="Book Antiqua" w:cs="Arial"/>
        </w:rPr>
        <w:t xml:space="preserve"> to reporting conditions</w:t>
      </w:r>
      <w:r w:rsidR="00835B8D" w:rsidRPr="00254594">
        <w:rPr>
          <w:rFonts w:ascii="Book Antiqua" w:hAnsi="Book Antiqua" w:cs="Arial"/>
        </w:rPr>
        <w:t>;</w:t>
      </w:r>
      <w:r w:rsidR="004B26C2" w:rsidRPr="00254594">
        <w:rPr>
          <w:rFonts w:ascii="Book Antiqua" w:hAnsi="Book Antiqua" w:cs="Arial"/>
        </w:rPr>
        <w:t xml:space="preserve"> and</w:t>
      </w:r>
    </w:p>
    <w:p w14:paraId="642698C6" w14:textId="77777777" w:rsidR="005C638A" w:rsidRPr="00254594" w:rsidRDefault="00003E03" w:rsidP="00254594">
      <w:pPr>
        <w:pStyle w:val="ListParagraph"/>
        <w:numPr>
          <w:ilvl w:val="0"/>
          <w:numId w:val="3"/>
        </w:numPr>
        <w:spacing w:before="120"/>
        <w:ind w:left="1276" w:hanging="426"/>
        <w:jc w:val="both"/>
        <w:rPr>
          <w:rFonts w:ascii="Book Antiqua" w:hAnsi="Book Antiqua" w:cs="Arial"/>
        </w:rPr>
      </w:pPr>
      <w:r w:rsidRPr="00254594">
        <w:rPr>
          <w:rFonts w:ascii="Book Antiqua" w:hAnsi="Book Antiqua" w:cs="Arial"/>
        </w:rPr>
        <w:t>the judge erred in not doing so.</w:t>
      </w:r>
    </w:p>
    <w:p w14:paraId="37BFC0FE" w14:textId="77777777" w:rsidR="001D3FFD" w:rsidRPr="001D3FFD" w:rsidRDefault="001D3FFD" w:rsidP="00254594">
      <w:pPr>
        <w:pStyle w:val="ListParagraph"/>
        <w:numPr>
          <w:ilvl w:val="0"/>
          <w:numId w:val="2"/>
        </w:numPr>
        <w:spacing w:before="160"/>
        <w:contextualSpacing w:val="0"/>
        <w:jc w:val="both"/>
        <w:rPr>
          <w:rFonts w:ascii="Book Antiqua" w:hAnsi="Book Antiqua" w:cs="Arial"/>
        </w:rPr>
      </w:pPr>
      <w:r w:rsidRPr="001D3FFD">
        <w:rPr>
          <w:rFonts w:ascii="Book Antiqua" w:hAnsi="Book Antiqua" w:cs="Arial"/>
        </w:rPr>
        <w:t>Mrs Fa</w:t>
      </w:r>
      <w:r>
        <w:rPr>
          <w:rFonts w:ascii="Book Antiqua" w:hAnsi="Book Antiqua" w:cs="Arial"/>
        </w:rPr>
        <w:t>r</w:t>
      </w:r>
      <w:r w:rsidRPr="001D3FFD">
        <w:rPr>
          <w:rFonts w:ascii="Book Antiqua" w:hAnsi="Book Antiqua" w:cs="Arial"/>
        </w:rPr>
        <w:t>re</w:t>
      </w:r>
      <w:r>
        <w:rPr>
          <w:rFonts w:ascii="Book Antiqua" w:hAnsi="Book Antiqua" w:cs="Arial"/>
        </w:rPr>
        <w:t>l</w:t>
      </w:r>
      <w:r w:rsidRPr="001D3FFD">
        <w:rPr>
          <w:rFonts w:ascii="Book Antiqua" w:hAnsi="Book Antiqua" w:cs="Arial"/>
        </w:rPr>
        <w:t>l acknowledged that</w:t>
      </w:r>
      <w:r>
        <w:rPr>
          <w:rFonts w:ascii="Book Antiqua" w:hAnsi="Book Antiqua" w:cs="Arial"/>
        </w:rPr>
        <w:t xml:space="preserve"> in terms of</w:t>
      </w:r>
      <w:r w:rsidR="00CD3937">
        <w:rPr>
          <w:rFonts w:ascii="Book Antiqua" w:hAnsi="Book Antiqua" w:cs="Arial"/>
        </w:rPr>
        <w:t xml:space="preserve"> paragraph 28 of </w:t>
      </w:r>
      <w:r w:rsidR="0085691B">
        <w:rPr>
          <w:rFonts w:ascii="Book Antiqua" w:hAnsi="Book Antiqua" w:cs="Arial"/>
        </w:rPr>
        <w:t>the</w:t>
      </w:r>
      <w:r w:rsidR="00E918C7">
        <w:rPr>
          <w:rFonts w:ascii="Book Antiqua" w:hAnsi="Book Antiqua" w:cs="Arial"/>
        </w:rPr>
        <w:t xml:space="preserve"> procedure rules </w:t>
      </w:r>
      <w:r w:rsidR="00CD3937">
        <w:rPr>
          <w:rFonts w:ascii="Book Antiqua" w:hAnsi="Book Antiqua" w:cs="Arial"/>
        </w:rPr>
        <w:t xml:space="preserve">the judge </w:t>
      </w:r>
      <w:r w:rsidR="00C61917">
        <w:rPr>
          <w:rFonts w:ascii="Book Antiqua" w:hAnsi="Book Antiqua" w:cs="Arial"/>
        </w:rPr>
        <w:t xml:space="preserve">was entitled to proceed if satisfied that the </w:t>
      </w:r>
      <w:r w:rsidR="001066BD">
        <w:rPr>
          <w:rFonts w:ascii="Book Antiqua" w:hAnsi="Book Antiqua" w:cs="Arial"/>
        </w:rPr>
        <w:t>appellant</w:t>
      </w:r>
      <w:r w:rsidR="00C61917">
        <w:rPr>
          <w:rFonts w:ascii="Book Antiqua" w:hAnsi="Book Antiqua" w:cs="Arial"/>
        </w:rPr>
        <w:t xml:space="preserve"> had been notif</w:t>
      </w:r>
      <w:r w:rsidR="001066BD">
        <w:rPr>
          <w:rFonts w:ascii="Book Antiqua" w:hAnsi="Book Antiqua" w:cs="Arial"/>
        </w:rPr>
        <w:t>i</w:t>
      </w:r>
      <w:r w:rsidR="00C61917">
        <w:rPr>
          <w:rFonts w:ascii="Book Antiqua" w:hAnsi="Book Antiqua" w:cs="Arial"/>
        </w:rPr>
        <w:t xml:space="preserve">ed or that </w:t>
      </w:r>
      <w:r w:rsidR="001066BD">
        <w:rPr>
          <w:rFonts w:ascii="Book Antiqua" w:hAnsi="Book Antiqua" w:cs="Arial"/>
        </w:rPr>
        <w:t>reasonable</w:t>
      </w:r>
      <w:r w:rsidR="00C61917">
        <w:rPr>
          <w:rFonts w:ascii="Book Antiqua" w:hAnsi="Book Antiqua" w:cs="Arial"/>
        </w:rPr>
        <w:t xml:space="preserve"> steps had been taken to notify</w:t>
      </w:r>
      <w:r w:rsidR="001066BD">
        <w:rPr>
          <w:rFonts w:ascii="Book Antiqua" w:hAnsi="Book Antiqua" w:cs="Arial"/>
        </w:rPr>
        <w:t xml:space="preserve"> him of the hearing, and </w:t>
      </w:r>
      <w:r w:rsidR="00A2054C">
        <w:rPr>
          <w:rFonts w:ascii="Book Antiqua" w:hAnsi="Book Antiqua" w:cs="Arial"/>
        </w:rPr>
        <w:t xml:space="preserve">if </w:t>
      </w:r>
      <w:r w:rsidR="000A397F">
        <w:rPr>
          <w:rFonts w:ascii="Book Antiqua" w:hAnsi="Book Antiqua" w:cs="Arial"/>
        </w:rPr>
        <w:t>t</w:t>
      </w:r>
      <w:r w:rsidR="00A2054C">
        <w:rPr>
          <w:rFonts w:ascii="Book Antiqua" w:hAnsi="Book Antiqua" w:cs="Arial"/>
        </w:rPr>
        <w:t xml:space="preserve">he </w:t>
      </w:r>
      <w:r w:rsidR="000A397F">
        <w:rPr>
          <w:rFonts w:ascii="Book Antiqua" w:hAnsi="Book Antiqua" w:cs="Arial"/>
        </w:rPr>
        <w:t xml:space="preserve">judge </w:t>
      </w:r>
      <w:r w:rsidR="00A2054C">
        <w:rPr>
          <w:rFonts w:ascii="Book Antiqua" w:hAnsi="Book Antiqua" w:cs="Arial"/>
        </w:rPr>
        <w:t>considered it in the interest</w:t>
      </w:r>
      <w:r w:rsidR="001066BD">
        <w:rPr>
          <w:rFonts w:ascii="Book Antiqua" w:hAnsi="Book Antiqua" w:cs="Arial"/>
        </w:rPr>
        <w:t xml:space="preserve"> </w:t>
      </w:r>
      <w:r w:rsidR="00E918C7">
        <w:rPr>
          <w:rFonts w:ascii="Book Antiqua" w:hAnsi="Book Antiqua" w:cs="Arial"/>
        </w:rPr>
        <w:t>of justice to proceed</w:t>
      </w:r>
      <w:r w:rsidR="000507DB">
        <w:rPr>
          <w:rFonts w:ascii="Book Antiqua" w:hAnsi="Book Antiqua" w:cs="Arial"/>
        </w:rPr>
        <w:t>;</w:t>
      </w:r>
      <w:r w:rsidR="00E918C7">
        <w:rPr>
          <w:rFonts w:ascii="Book Antiqua" w:hAnsi="Book Antiqua" w:cs="Arial"/>
        </w:rPr>
        <w:t xml:space="preserve"> and that it appeared that notice had been issued to the address which the FtT had on record at the time. </w:t>
      </w:r>
      <w:r w:rsidR="00CD3937">
        <w:rPr>
          <w:rFonts w:ascii="Book Antiqua" w:hAnsi="Book Antiqua" w:cs="Arial"/>
        </w:rPr>
        <w:t xml:space="preserve"> </w:t>
      </w:r>
      <w:r w:rsidRPr="001D3FFD">
        <w:rPr>
          <w:rFonts w:ascii="Book Antiqua" w:hAnsi="Book Antiqua" w:cs="Arial"/>
        </w:rPr>
        <w:t xml:space="preserve"> </w:t>
      </w:r>
    </w:p>
    <w:p w14:paraId="525B9AAD" w14:textId="77777777" w:rsidR="00B7271F" w:rsidRPr="006B217C" w:rsidRDefault="00235DD4" w:rsidP="00254594">
      <w:pPr>
        <w:numPr>
          <w:ilvl w:val="0"/>
          <w:numId w:val="2"/>
        </w:numPr>
        <w:spacing w:before="160"/>
        <w:jc w:val="both"/>
        <w:rPr>
          <w:rFonts w:ascii="Book Antiqua" w:hAnsi="Book Antiqua"/>
        </w:rPr>
      </w:pPr>
      <w:r w:rsidRPr="006B217C">
        <w:rPr>
          <w:rFonts w:ascii="Book Antiqua" w:hAnsi="Book Antiqua"/>
        </w:rPr>
        <w:t>Mrs O’Brien advised from the respondent’s records, including the record of the hearing,</w:t>
      </w:r>
      <w:r w:rsidR="00F45B6E" w:rsidRPr="006B217C">
        <w:rPr>
          <w:rFonts w:ascii="Book Antiqua" w:hAnsi="Book Antiqua"/>
        </w:rPr>
        <w:t xml:space="preserve"> that</w:t>
      </w:r>
      <w:r w:rsidRPr="006B217C">
        <w:rPr>
          <w:rFonts w:ascii="Book Antiqua" w:hAnsi="Book Antiqua"/>
        </w:rPr>
        <w:t xml:space="preserve"> the </w:t>
      </w:r>
      <w:r w:rsidR="00102878" w:rsidRPr="006B217C">
        <w:rPr>
          <w:rFonts w:ascii="Book Antiqua" w:hAnsi="Book Antiqua"/>
        </w:rPr>
        <w:t xml:space="preserve">respondent and the judge had checked the address on record, </w:t>
      </w:r>
      <w:r w:rsidR="00B7271F" w:rsidRPr="006B217C">
        <w:rPr>
          <w:rFonts w:ascii="Book Antiqua" w:hAnsi="Book Antiqua"/>
        </w:rPr>
        <w:t xml:space="preserve">which was the address to which the notice of hearing was issued, and that the appellant </w:t>
      </w:r>
      <w:r w:rsidR="000E1102">
        <w:rPr>
          <w:rFonts w:ascii="Book Antiqua" w:hAnsi="Book Antiqua"/>
        </w:rPr>
        <w:t>did</w:t>
      </w:r>
      <w:r w:rsidR="00B7271F" w:rsidRPr="006B217C">
        <w:rPr>
          <w:rFonts w:ascii="Book Antiqua" w:hAnsi="Book Antiqua"/>
        </w:rPr>
        <w:t xml:space="preserve"> notif</w:t>
      </w:r>
      <w:r w:rsidR="000E1102">
        <w:rPr>
          <w:rFonts w:ascii="Book Antiqua" w:hAnsi="Book Antiqua"/>
        </w:rPr>
        <w:t>y the respondent of a new</w:t>
      </w:r>
      <w:r w:rsidR="00B7271F" w:rsidRPr="006B217C">
        <w:rPr>
          <w:rFonts w:ascii="Book Antiqua" w:hAnsi="Book Antiqua"/>
        </w:rPr>
        <w:t xml:space="preserve"> address</w:t>
      </w:r>
      <w:r w:rsidR="000E1102">
        <w:rPr>
          <w:rFonts w:ascii="Book Antiqua" w:hAnsi="Book Antiqua"/>
        </w:rPr>
        <w:t xml:space="preserve">, but not until </w:t>
      </w:r>
      <w:r w:rsidR="00B7271F" w:rsidRPr="006B217C">
        <w:rPr>
          <w:rFonts w:ascii="Book Antiqua" w:hAnsi="Book Antiqua"/>
        </w:rPr>
        <w:t>well after the date of the hearing.</w:t>
      </w:r>
    </w:p>
    <w:p w14:paraId="1F49C6DA" w14:textId="77777777" w:rsidR="008A1043" w:rsidRPr="001469B3" w:rsidRDefault="004371D4" w:rsidP="00254594">
      <w:pPr>
        <w:numPr>
          <w:ilvl w:val="0"/>
          <w:numId w:val="2"/>
        </w:numPr>
        <w:spacing w:before="160"/>
        <w:jc w:val="both"/>
        <w:rPr>
          <w:rFonts w:ascii="Book Antiqua" w:hAnsi="Book Antiqua"/>
        </w:rPr>
      </w:pPr>
      <w:r w:rsidRPr="001469B3">
        <w:rPr>
          <w:rFonts w:ascii="Book Antiqua" w:hAnsi="Book Antiqua"/>
        </w:rPr>
        <w:t xml:space="preserve">There </w:t>
      </w:r>
      <w:r w:rsidR="00CE3E76">
        <w:rPr>
          <w:rFonts w:ascii="Book Antiqua" w:hAnsi="Book Antiqua"/>
        </w:rPr>
        <w:t>are</w:t>
      </w:r>
      <w:r w:rsidRPr="001469B3">
        <w:rPr>
          <w:rFonts w:ascii="Book Antiqua" w:hAnsi="Book Antiqua"/>
        </w:rPr>
        <w:t xml:space="preserve"> cases where it looks as if something may have gone wrong, and that an appellant likely to retain an interest in proceedings</w:t>
      </w:r>
      <w:r w:rsidR="007825D5" w:rsidRPr="001469B3">
        <w:rPr>
          <w:rFonts w:ascii="Book Antiqua" w:hAnsi="Book Antiqua"/>
        </w:rPr>
        <w:t xml:space="preserve"> may have not received notice.  If so, judges may take the cautious route suggested by the grounds.  There is however </w:t>
      </w:r>
      <w:r w:rsidR="00906103" w:rsidRPr="001469B3">
        <w:rPr>
          <w:rFonts w:ascii="Book Antiqua" w:hAnsi="Book Antiqua" w:cs="Arial"/>
        </w:rPr>
        <w:t>n</w:t>
      </w:r>
      <w:r w:rsidR="00A27200" w:rsidRPr="001469B3">
        <w:rPr>
          <w:rFonts w:ascii="Book Antiqua" w:hAnsi="Book Antiqua" w:cs="Arial"/>
        </w:rPr>
        <w:t xml:space="preserve">o </w:t>
      </w:r>
      <w:r w:rsidR="00287565">
        <w:rPr>
          <w:rFonts w:ascii="Book Antiqua" w:hAnsi="Book Antiqua" w:cs="Arial"/>
        </w:rPr>
        <w:t>onus</w:t>
      </w:r>
      <w:r w:rsidR="004A2B7C" w:rsidRPr="001469B3">
        <w:rPr>
          <w:rFonts w:ascii="Book Antiqua" w:hAnsi="Book Antiqua" w:cs="Arial"/>
        </w:rPr>
        <w:t xml:space="preserve"> on </w:t>
      </w:r>
      <w:r w:rsidR="00A60AFA">
        <w:rPr>
          <w:rFonts w:ascii="Book Antiqua" w:hAnsi="Book Antiqua" w:cs="Arial"/>
        </w:rPr>
        <w:t xml:space="preserve">the </w:t>
      </w:r>
      <w:r w:rsidR="00906103" w:rsidRPr="001469B3">
        <w:rPr>
          <w:rFonts w:ascii="Book Antiqua" w:hAnsi="Book Antiqua" w:cs="Arial"/>
        </w:rPr>
        <w:t>tribunal to grant that opportunity</w:t>
      </w:r>
      <w:r w:rsidR="004A2B7C" w:rsidRPr="001469B3">
        <w:rPr>
          <w:rFonts w:ascii="Book Antiqua" w:hAnsi="Book Antiqua" w:cs="Arial"/>
        </w:rPr>
        <w:t>.</w:t>
      </w:r>
      <w:r w:rsidR="001469B3" w:rsidRPr="001469B3">
        <w:rPr>
          <w:rFonts w:ascii="Book Antiqua" w:hAnsi="Book Antiqua" w:cs="Arial"/>
        </w:rPr>
        <w:t xml:space="preserve">  On the contrary, a</w:t>
      </w:r>
      <w:r w:rsidR="004A2B7C" w:rsidRPr="001469B3">
        <w:rPr>
          <w:rFonts w:ascii="Book Antiqua" w:hAnsi="Book Antiqua"/>
        </w:rPr>
        <w:t>n appellant is responsible for keeping the tribunal (and the respondent) up to date with changes of address.  It is not for</w:t>
      </w:r>
      <w:r w:rsidR="008A1043" w:rsidRPr="001469B3">
        <w:rPr>
          <w:rFonts w:ascii="Book Antiqua" w:hAnsi="Book Antiqua"/>
        </w:rPr>
        <w:t xml:space="preserve"> the tribunal (or the respondent) to take on th</w:t>
      </w:r>
      <w:r w:rsidR="000A5911" w:rsidRPr="001469B3">
        <w:rPr>
          <w:rFonts w:ascii="Book Antiqua" w:hAnsi="Book Antiqua"/>
        </w:rPr>
        <w:t>e</w:t>
      </w:r>
      <w:r w:rsidR="008A1043" w:rsidRPr="001469B3">
        <w:rPr>
          <w:rFonts w:ascii="Book Antiqua" w:hAnsi="Book Antiqua"/>
        </w:rPr>
        <w:t xml:space="preserve"> responsibility.</w:t>
      </w:r>
    </w:p>
    <w:p w14:paraId="6C5E512A" w14:textId="77777777" w:rsidR="00963E78" w:rsidRDefault="002769B2" w:rsidP="00254594">
      <w:pPr>
        <w:numPr>
          <w:ilvl w:val="0"/>
          <w:numId w:val="2"/>
        </w:numPr>
        <w:spacing w:before="160"/>
        <w:jc w:val="both"/>
        <w:rPr>
          <w:rFonts w:ascii="Book Antiqua" w:hAnsi="Book Antiqua"/>
        </w:rPr>
      </w:pPr>
      <w:r w:rsidRPr="002769B2">
        <w:rPr>
          <w:rFonts w:ascii="Book Antiqua" w:hAnsi="Book Antiqua"/>
        </w:rPr>
        <w:t xml:space="preserve">The appellant says in his grounds that he advised his agents of his change of address.  </w:t>
      </w:r>
      <w:r>
        <w:rPr>
          <w:rFonts w:ascii="Book Antiqua" w:hAnsi="Book Antiqua"/>
        </w:rPr>
        <w:t>Mrs Farrell confirmed that was</w:t>
      </w:r>
      <w:r w:rsidR="000671D0">
        <w:rPr>
          <w:rFonts w:ascii="Book Antiqua" w:hAnsi="Book Antiqua"/>
        </w:rPr>
        <w:t xml:space="preserve"> only narrative, and no suggestion was made that the appellant </w:t>
      </w:r>
      <w:r w:rsidR="000F006A">
        <w:rPr>
          <w:rFonts w:ascii="Book Antiqua" w:hAnsi="Book Antiqua"/>
        </w:rPr>
        <w:t>had</w:t>
      </w:r>
      <w:r w:rsidR="000671D0">
        <w:rPr>
          <w:rFonts w:ascii="Book Antiqua" w:hAnsi="Book Antiqua"/>
        </w:rPr>
        <w:t xml:space="preserve"> been let down by previous </w:t>
      </w:r>
      <w:r w:rsidR="000F006A">
        <w:rPr>
          <w:rFonts w:ascii="Book Antiqua" w:hAnsi="Book Antiqua"/>
        </w:rPr>
        <w:t xml:space="preserve">representatives. </w:t>
      </w:r>
    </w:p>
    <w:p w14:paraId="795CAC65" w14:textId="77777777" w:rsidR="002769B2" w:rsidRPr="00963E78" w:rsidRDefault="004D0A22" w:rsidP="00254594">
      <w:pPr>
        <w:numPr>
          <w:ilvl w:val="0"/>
          <w:numId w:val="2"/>
        </w:numPr>
        <w:spacing w:before="160"/>
        <w:jc w:val="both"/>
        <w:rPr>
          <w:rFonts w:ascii="Book Antiqua" w:hAnsi="Book Antiqua"/>
        </w:rPr>
      </w:pPr>
      <w:r>
        <w:rPr>
          <w:rFonts w:ascii="Book Antiqua" w:hAnsi="Book Antiqua"/>
        </w:rPr>
        <w:t>T</w:t>
      </w:r>
      <w:r w:rsidR="00963E78" w:rsidRPr="00963E78">
        <w:rPr>
          <w:rFonts w:ascii="Book Antiqua" w:hAnsi="Book Antiqua"/>
        </w:rPr>
        <w:t>he suggestion that there might have been evidence from an (unidentified) witness does not assist the appellant.  If any remedy lies in that respect, it must begin with fresh submissions to the respondent.</w:t>
      </w:r>
      <w:r w:rsidR="000F006A" w:rsidRPr="00963E78">
        <w:rPr>
          <w:rFonts w:ascii="Book Antiqua" w:hAnsi="Book Antiqua"/>
        </w:rPr>
        <w:t xml:space="preserve"> </w:t>
      </w:r>
    </w:p>
    <w:p w14:paraId="734E8D82" w14:textId="77777777" w:rsidR="009C2F6C" w:rsidRPr="00963E78" w:rsidRDefault="008A1043" w:rsidP="00254594">
      <w:pPr>
        <w:numPr>
          <w:ilvl w:val="0"/>
          <w:numId w:val="2"/>
        </w:numPr>
        <w:spacing w:before="160"/>
        <w:jc w:val="both"/>
        <w:rPr>
          <w:rFonts w:ascii="Book Antiqua" w:hAnsi="Book Antiqua"/>
        </w:rPr>
      </w:pPr>
      <w:r w:rsidRPr="00963E78">
        <w:rPr>
          <w:rFonts w:ascii="Book Antiqua" w:hAnsi="Book Antiqua"/>
        </w:rPr>
        <w:t xml:space="preserve">There </w:t>
      </w:r>
      <w:r w:rsidR="00C13092" w:rsidRPr="00963E78">
        <w:rPr>
          <w:rFonts w:ascii="Book Antiqua" w:hAnsi="Book Antiqua"/>
        </w:rPr>
        <w:t>are</w:t>
      </w:r>
      <w:r w:rsidRPr="00963E78">
        <w:rPr>
          <w:rFonts w:ascii="Book Antiqua" w:hAnsi="Book Antiqua"/>
        </w:rPr>
        <w:t xml:space="preserve"> cases where</w:t>
      </w:r>
      <w:r w:rsidR="00A71F9E" w:rsidRPr="00963E78">
        <w:rPr>
          <w:rFonts w:ascii="Book Antiqua" w:hAnsi="Book Antiqua"/>
        </w:rPr>
        <w:t xml:space="preserve"> an appellant</w:t>
      </w:r>
      <w:r w:rsidR="0029229F">
        <w:rPr>
          <w:rFonts w:ascii="Book Antiqua" w:hAnsi="Book Antiqua"/>
        </w:rPr>
        <w:t>,</w:t>
      </w:r>
      <w:r w:rsidR="00A71F9E" w:rsidRPr="00963E78">
        <w:rPr>
          <w:rFonts w:ascii="Book Antiqua" w:hAnsi="Book Antiqua"/>
        </w:rPr>
        <w:t xml:space="preserve"> through no fault of his own</w:t>
      </w:r>
      <w:r w:rsidR="0029229F">
        <w:rPr>
          <w:rFonts w:ascii="Book Antiqua" w:hAnsi="Book Antiqua"/>
        </w:rPr>
        <w:t>,</w:t>
      </w:r>
      <w:r w:rsidR="00A71F9E" w:rsidRPr="00963E78">
        <w:rPr>
          <w:rFonts w:ascii="Book Antiqua" w:hAnsi="Book Antiqua"/>
        </w:rPr>
        <w:t xml:space="preserve"> is not notified of a hearing, and where procedural unfairness occurs even </w:t>
      </w:r>
      <w:r w:rsidR="00C13092" w:rsidRPr="00963E78">
        <w:rPr>
          <w:rFonts w:ascii="Book Antiqua" w:hAnsi="Book Antiqua"/>
        </w:rPr>
        <w:t>although</w:t>
      </w:r>
      <w:r w:rsidR="009C2F6C" w:rsidRPr="00963E78">
        <w:rPr>
          <w:rFonts w:ascii="Book Antiqua" w:hAnsi="Book Antiqua"/>
        </w:rPr>
        <w:t xml:space="preserve"> not apparent to the judge at the time</w:t>
      </w:r>
      <w:r w:rsidR="00C13092" w:rsidRPr="00963E78">
        <w:rPr>
          <w:rFonts w:ascii="Book Antiqua" w:hAnsi="Book Antiqua"/>
        </w:rPr>
        <w:t>, and through no fault of the judge</w:t>
      </w:r>
      <w:r w:rsidR="009C2F6C" w:rsidRPr="00963E78">
        <w:rPr>
          <w:rFonts w:ascii="Book Antiqua" w:hAnsi="Book Antiqua"/>
        </w:rPr>
        <w:t>.</w:t>
      </w:r>
      <w:r w:rsidR="00722C36" w:rsidRPr="00963E78">
        <w:rPr>
          <w:rFonts w:ascii="Book Antiqua" w:hAnsi="Book Antiqua"/>
        </w:rPr>
        <w:t xml:space="preserve">  However, there are no such circumstances here.</w:t>
      </w:r>
    </w:p>
    <w:p w14:paraId="2797A6F2" w14:textId="77777777" w:rsidR="00321C6F" w:rsidRPr="00321C6F" w:rsidRDefault="00321C6F" w:rsidP="00254594">
      <w:pPr>
        <w:numPr>
          <w:ilvl w:val="0"/>
          <w:numId w:val="2"/>
        </w:numPr>
        <w:spacing w:before="160"/>
        <w:jc w:val="both"/>
        <w:rPr>
          <w:rFonts w:ascii="Book Antiqua" w:hAnsi="Book Antiqua"/>
        </w:rPr>
      </w:pPr>
      <w:r>
        <w:rPr>
          <w:rFonts w:ascii="Book Antiqua" w:hAnsi="Book Antiqua" w:cs="Arial"/>
        </w:rPr>
        <w:t xml:space="preserve">The </w:t>
      </w:r>
      <w:r w:rsidR="008A64A7">
        <w:rPr>
          <w:rFonts w:ascii="Book Antiqua" w:hAnsi="Book Antiqua" w:cs="Arial"/>
        </w:rPr>
        <w:t>de</w:t>
      </w:r>
      <w:r w:rsidR="00DA3D04">
        <w:rPr>
          <w:rFonts w:ascii="Book Antiqua" w:hAnsi="Book Antiqua" w:cs="Arial"/>
        </w:rPr>
        <w:t>cision</w:t>
      </w:r>
      <w:r w:rsidR="008A64A7">
        <w:rPr>
          <w:rFonts w:ascii="Book Antiqua" w:hAnsi="Book Antiqua" w:cs="Arial"/>
        </w:rPr>
        <w:t xml:space="preserve"> </w:t>
      </w:r>
      <w:r>
        <w:rPr>
          <w:rFonts w:ascii="Book Antiqua" w:hAnsi="Book Antiqua" w:cs="Arial"/>
        </w:rPr>
        <w:t xml:space="preserve">of the First-tier Tribunal </w:t>
      </w:r>
      <w:r w:rsidR="008A64A7">
        <w:rPr>
          <w:rFonts w:ascii="Book Antiqua" w:hAnsi="Book Antiqua" w:cs="Arial"/>
        </w:rPr>
        <w:t>shall stand</w:t>
      </w:r>
      <w:r>
        <w:rPr>
          <w:rFonts w:ascii="Book Antiqua" w:hAnsi="Book Antiqua" w:cs="Arial"/>
        </w:rPr>
        <w:t>.</w:t>
      </w:r>
    </w:p>
    <w:p w14:paraId="7FEC48FC" w14:textId="77777777" w:rsidR="00321C6F" w:rsidRPr="00E53041" w:rsidRDefault="00321C6F" w:rsidP="00254594">
      <w:pPr>
        <w:numPr>
          <w:ilvl w:val="0"/>
          <w:numId w:val="2"/>
        </w:numPr>
        <w:spacing w:before="160"/>
        <w:jc w:val="both"/>
        <w:rPr>
          <w:rFonts w:ascii="Book Antiqua" w:hAnsi="Book Antiqua" w:cs="Arial"/>
        </w:rPr>
      </w:pPr>
      <w:r w:rsidRPr="00E53041">
        <w:rPr>
          <w:rFonts w:ascii="Book Antiqua" w:hAnsi="Book Antiqua" w:cs="Arial"/>
        </w:rPr>
        <w:t>No</w:t>
      </w:r>
      <w:r w:rsidRPr="00E53041">
        <w:rPr>
          <w:rFonts w:ascii="Book Antiqua" w:hAnsi="Book Antiqua"/>
        </w:rPr>
        <w:t xml:space="preserve"> anonymity direction has been requested or made.  </w:t>
      </w:r>
    </w:p>
    <w:p w14:paraId="26B8D8CB" w14:textId="77777777" w:rsidR="00321C6F" w:rsidRPr="00A56832" w:rsidRDefault="00321C6F" w:rsidP="00321C6F">
      <w:pPr>
        <w:jc w:val="both"/>
        <w:rPr>
          <w:rFonts w:ascii="Book Antiqua" w:hAnsi="Book Antiqua" w:cs="Arial"/>
        </w:rPr>
      </w:pPr>
    </w:p>
    <w:p w14:paraId="1C61B74B" w14:textId="77777777" w:rsidR="00321C6F" w:rsidRPr="00A56832" w:rsidRDefault="00321C6F" w:rsidP="00321C6F">
      <w:pPr>
        <w:jc w:val="both"/>
        <w:rPr>
          <w:rFonts w:ascii="Book Antiqua" w:hAnsi="Book Antiqua" w:cs="Arial"/>
        </w:rPr>
      </w:pPr>
    </w:p>
    <w:p w14:paraId="6BC18006" w14:textId="77777777"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7F84E701" wp14:editId="289F1E74">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14:paraId="795966D4" w14:textId="77777777" w:rsidR="00321C6F" w:rsidRPr="00A56832" w:rsidRDefault="00321C6F" w:rsidP="00321C6F">
      <w:pPr>
        <w:jc w:val="both"/>
        <w:rPr>
          <w:rFonts w:ascii="Book Antiqua" w:hAnsi="Book Antiqua" w:cs="Arial"/>
        </w:rPr>
      </w:pPr>
    </w:p>
    <w:p w14:paraId="75CACE92" w14:textId="77777777"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E53041">
        <w:rPr>
          <w:rFonts w:ascii="Book Antiqua" w:hAnsi="Book Antiqua" w:cs="Arial"/>
        </w:rPr>
        <w:t xml:space="preserve">2 August </w:t>
      </w:r>
      <w:r w:rsidR="000B442A">
        <w:rPr>
          <w:rFonts w:ascii="Book Antiqua" w:hAnsi="Book Antiqua" w:cs="Arial"/>
        </w:rPr>
        <w:t>20</w:t>
      </w:r>
      <w:r w:rsidR="00A810D2">
        <w:rPr>
          <w:rFonts w:ascii="Book Antiqua" w:hAnsi="Book Antiqua" w:cs="Arial"/>
        </w:rPr>
        <w:t>1</w:t>
      </w:r>
      <w:r w:rsidR="00B170ED">
        <w:rPr>
          <w:rFonts w:ascii="Book Antiqua" w:hAnsi="Book Antiqua" w:cs="Arial"/>
        </w:rPr>
        <w:t>8</w:t>
      </w:r>
      <w:r>
        <w:rPr>
          <w:rFonts w:ascii="Book Antiqua" w:hAnsi="Book Antiqua" w:cs="Arial"/>
        </w:rPr>
        <w:t xml:space="preserve"> </w:t>
      </w:r>
    </w:p>
    <w:p w14:paraId="0063A51D" w14:textId="77777777" w:rsidR="006D2D9A" w:rsidRDefault="00321C6F" w:rsidP="004D0A22">
      <w:pPr>
        <w:jc w:val="both"/>
      </w:pPr>
      <w:r>
        <w:rPr>
          <w:rFonts w:ascii="Book Antiqua" w:hAnsi="Book Antiqua" w:cs="Arial"/>
        </w:rPr>
        <w:tab/>
      </w:r>
      <w:r>
        <w:rPr>
          <w:rFonts w:ascii="Book Antiqua" w:hAnsi="Book Antiqua" w:cs="Arial"/>
        </w:rPr>
        <w:tab/>
        <w:t>Upper Tribunal Judge Macleman</w:t>
      </w:r>
    </w:p>
    <w:sectPr w:rsidR="006D2D9A"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C5625" w14:textId="77777777" w:rsidR="003613C7" w:rsidRDefault="003613C7">
      <w:r>
        <w:separator/>
      </w:r>
    </w:p>
  </w:endnote>
  <w:endnote w:type="continuationSeparator" w:id="0">
    <w:p w14:paraId="3F3A172B" w14:textId="77777777" w:rsidR="003613C7" w:rsidRDefault="00361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A8A75" w14:textId="7D2E0439" w:rsidR="008D4782" w:rsidRPr="00593795" w:rsidRDefault="008D47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21E56">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9AB18" w14:textId="1F8DCCC2"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254594">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FEEA9" w14:textId="77777777" w:rsidR="003613C7" w:rsidRDefault="003613C7">
      <w:r>
        <w:separator/>
      </w:r>
    </w:p>
  </w:footnote>
  <w:footnote w:type="continuationSeparator" w:id="0">
    <w:p w14:paraId="115C1D6C" w14:textId="77777777" w:rsidR="003613C7" w:rsidRDefault="00361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9BA07" w14:textId="35C5067E" w:rsidR="008D4782" w:rsidRPr="00254594" w:rsidRDefault="00254594" w:rsidP="00254594">
    <w:pPr>
      <w:pStyle w:val="Header"/>
      <w:jc w:val="right"/>
      <w:rPr>
        <w:rFonts w:ascii="Arial" w:hAnsi="Arial" w:cs="Arial"/>
        <w:sz w:val="20"/>
        <w:szCs w:val="20"/>
      </w:rPr>
    </w:pPr>
    <w:r w:rsidRPr="00254594">
      <w:rPr>
        <w:rFonts w:ascii="Arial" w:hAnsi="Arial" w:cs="Arial"/>
        <w:color w:val="000000"/>
        <w:sz w:val="20"/>
        <w:szCs w:val="20"/>
      </w:rPr>
      <w:t xml:space="preserve">Appeal Number: </w:t>
    </w:r>
    <w:r w:rsidRPr="00254594">
      <w:rPr>
        <w:rFonts w:ascii="Arial" w:hAnsi="Arial" w:cs="Arial"/>
        <w:caps/>
        <w:color w:val="000000"/>
        <w:sz w:val="20"/>
        <w:szCs w:val="20"/>
      </w:rPr>
      <w:t>PA/12686/2016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5EE5616"/>
    <w:multiLevelType w:val="hybridMultilevel"/>
    <w:tmpl w:val="B1163E6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BAA4D2A-C319-41DE-BC2F-6E1149FFB2E7}"/>
    <w:docVar w:name="dgnword-eventsink" w:val="242408496"/>
  </w:docVars>
  <w:rsids>
    <w:rsidRoot w:val="00933B65"/>
    <w:rsid w:val="00003E03"/>
    <w:rsid w:val="00005159"/>
    <w:rsid w:val="00007BAC"/>
    <w:rsid w:val="000228DD"/>
    <w:rsid w:val="00046817"/>
    <w:rsid w:val="000507DB"/>
    <w:rsid w:val="00050F40"/>
    <w:rsid w:val="000671D0"/>
    <w:rsid w:val="000777B7"/>
    <w:rsid w:val="000839AD"/>
    <w:rsid w:val="00087C41"/>
    <w:rsid w:val="000A397F"/>
    <w:rsid w:val="000A44DA"/>
    <w:rsid w:val="000A5911"/>
    <w:rsid w:val="000B442A"/>
    <w:rsid w:val="000E1102"/>
    <w:rsid w:val="000F006A"/>
    <w:rsid w:val="000F67BF"/>
    <w:rsid w:val="00102878"/>
    <w:rsid w:val="001066BD"/>
    <w:rsid w:val="001103E2"/>
    <w:rsid w:val="00117089"/>
    <w:rsid w:val="00132C84"/>
    <w:rsid w:val="001469B3"/>
    <w:rsid w:val="00172233"/>
    <w:rsid w:val="00184269"/>
    <w:rsid w:val="001B7D75"/>
    <w:rsid w:val="001D3FFD"/>
    <w:rsid w:val="001D6343"/>
    <w:rsid w:val="001E0145"/>
    <w:rsid w:val="001E7672"/>
    <w:rsid w:val="001F3A81"/>
    <w:rsid w:val="002065B8"/>
    <w:rsid w:val="002135A6"/>
    <w:rsid w:val="002148F0"/>
    <w:rsid w:val="002154EF"/>
    <w:rsid w:val="00224440"/>
    <w:rsid w:val="00235DD4"/>
    <w:rsid w:val="00254594"/>
    <w:rsid w:val="00266FFE"/>
    <w:rsid w:val="00274F92"/>
    <w:rsid w:val="002769B2"/>
    <w:rsid w:val="00287565"/>
    <w:rsid w:val="0029229F"/>
    <w:rsid w:val="002C683E"/>
    <w:rsid w:val="002E7F3F"/>
    <w:rsid w:val="00321C6F"/>
    <w:rsid w:val="003613C7"/>
    <w:rsid w:val="003749C6"/>
    <w:rsid w:val="003812EE"/>
    <w:rsid w:val="003A04F8"/>
    <w:rsid w:val="003C1934"/>
    <w:rsid w:val="003D7D3D"/>
    <w:rsid w:val="003D7F34"/>
    <w:rsid w:val="003E6445"/>
    <w:rsid w:val="004171D0"/>
    <w:rsid w:val="00421E56"/>
    <w:rsid w:val="004371D4"/>
    <w:rsid w:val="00441640"/>
    <w:rsid w:val="004541E5"/>
    <w:rsid w:val="0046122D"/>
    <w:rsid w:val="00470675"/>
    <w:rsid w:val="004A012D"/>
    <w:rsid w:val="004A0AFA"/>
    <w:rsid w:val="004A2B7C"/>
    <w:rsid w:val="004B26C2"/>
    <w:rsid w:val="004D0A22"/>
    <w:rsid w:val="00500022"/>
    <w:rsid w:val="00513527"/>
    <w:rsid w:val="00532515"/>
    <w:rsid w:val="0057020B"/>
    <w:rsid w:val="00590CEE"/>
    <w:rsid w:val="00594CA2"/>
    <w:rsid w:val="00595C55"/>
    <w:rsid w:val="005A1712"/>
    <w:rsid w:val="005C638A"/>
    <w:rsid w:val="005F6D40"/>
    <w:rsid w:val="00602BB3"/>
    <w:rsid w:val="00614020"/>
    <w:rsid w:val="00614E94"/>
    <w:rsid w:val="00625E30"/>
    <w:rsid w:val="0063091E"/>
    <w:rsid w:val="0065091A"/>
    <w:rsid w:val="00657E4A"/>
    <w:rsid w:val="006B217C"/>
    <w:rsid w:val="006D2D9A"/>
    <w:rsid w:val="006D7C16"/>
    <w:rsid w:val="006E3DE1"/>
    <w:rsid w:val="00722ADB"/>
    <w:rsid w:val="00722C36"/>
    <w:rsid w:val="00734D2D"/>
    <w:rsid w:val="007412E0"/>
    <w:rsid w:val="00774C7C"/>
    <w:rsid w:val="007825D5"/>
    <w:rsid w:val="0079493D"/>
    <w:rsid w:val="007F7538"/>
    <w:rsid w:val="0080239D"/>
    <w:rsid w:val="00810338"/>
    <w:rsid w:val="00835B8D"/>
    <w:rsid w:val="0084433E"/>
    <w:rsid w:val="0085691B"/>
    <w:rsid w:val="00861DE2"/>
    <w:rsid w:val="008832E8"/>
    <w:rsid w:val="008A1043"/>
    <w:rsid w:val="008A64A7"/>
    <w:rsid w:val="008B5B9B"/>
    <w:rsid w:val="008C2761"/>
    <w:rsid w:val="008D4782"/>
    <w:rsid w:val="008F2CE1"/>
    <w:rsid w:val="00906103"/>
    <w:rsid w:val="00923BA9"/>
    <w:rsid w:val="00926DE2"/>
    <w:rsid w:val="00933B65"/>
    <w:rsid w:val="00956BDD"/>
    <w:rsid w:val="00963E78"/>
    <w:rsid w:val="009701EB"/>
    <w:rsid w:val="009C2F6C"/>
    <w:rsid w:val="009E3D21"/>
    <w:rsid w:val="009F361B"/>
    <w:rsid w:val="00A2054C"/>
    <w:rsid w:val="00A27200"/>
    <w:rsid w:val="00A27F60"/>
    <w:rsid w:val="00A60AFA"/>
    <w:rsid w:val="00A633AF"/>
    <w:rsid w:val="00A71F9E"/>
    <w:rsid w:val="00A810D2"/>
    <w:rsid w:val="00A86A8D"/>
    <w:rsid w:val="00AA199C"/>
    <w:rsid w:val="00AA25A1"/>
    <w:rsid w:val="00AA5502"/>
    <w:rsid w:val="00AE05E8"/>
    <w:rsid w:val="00B170ED"/>
    <w:rsid w:val="00B52844"/>
    <w:rsid w:val="00B52AFA"/>
    <w:rsid w:val="00B54232"/>
    <w:rsid w:val="00B7271F"/>
    <w:rsid w:val="00B901D8"/>
    <w:rsid w:val="00BB2B34"/>
    <w:rsid w:val="00BB3FA5"/>
    <w:rsid w:val="00BB470C"/>
    <w:rsid w:val="00BB69F4"/>
    <w:rsid w:val="00BC0611"/>
    <w:rsid w:val="00BC220A"/>
    <w:rsid w:val="00BE34CF"/>
    <w:rsid w:val="00C01F6A"/>
    <w:rsid w:val="00C13092"/>
    <w:rsid w:val="00C15A7E"/>
    <w:rsid w:val="00C51B29"/>
    <w:rsid w:val="00C6098F"/>
    <w:rsid w:val="00C61917"/>
    <w:rsid w:val="00C628F1"/>
    <w:rsid w:val="00CC7E48"/>
    <w:rsid w:val="00CD3937"/>
    <w:rsid w:val="00CD5AEE"/>
    <w:rsid w:val="00CE3E76"/>
    <w:rsid w:val="00CF0FE6"/>
    <w:rsid w:val="00D07DF8"/>
    <w:rsid w:val="00D31D54"/>
    <w:rsid w:val="00D44C2B"/>
    <w:rsid w:val="00D65A11"/>
    <w:rsid w:val="00DA3D04"/>
    <w:rsid w:val="00DC699D"/>
    <w:rsid w:val="00E2622F"/>
    <w:rsid w:val="00E53041"/>
    <w:rsid w:val="00E918C7"/>
    <w:rsid w:val="00EA3D98"/>
    <w:rsid w:val="00EE6CE7"/>
    <w:rsid w:val="00F125AD"/>
    <w:rsid w:val="00F346E7"/>
    <w:rsid w:val="00F40619"/>
    <w:rsid w:val="00F45B6E"/>
    <w:rsid w:val="00F47052"/>
    <w:rsid w:val="00F648C0"/>
    <w:rsid w:val="00F77707"/>
    <w:rsid w:val="00F85C8A"/>
    <w:rsid w:val="00F92305"/>
    <w:rsid w:val="00FA0A2E"/>
    <w:rsid w:val="00FA2A43"/>
    <w:rsid w:val="00FA7FC0"/>
    <w:rsid w:val="00FB0516"/>
    <w:rsid w:val="00FC2FAF"/>
    <w:rsid w:val="00FE0046"/>
    <w:rsid w:val="00FE2419"/>
    <w:rsid w:val="00FF0C0E"/>
    <w:rsid w:val="00FF48BE"/>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BF6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FFD"/>
    <w:pPr>
      <w:ind w:left="720"/>
      <w:contextualSpacing/>
    </w:pPr>
  </w:style>
  <w:style w:type="paragraph" w:styleId="BalloonText">
    <w:name w:val="Balloon Text"/>
    <w:basedOn w:val="Normal"/>
    <w:link w:val="BalloonTextChar"/>
    <w:semiHidden/>
    <w:unhideWhenUsed/>
    <w:rsid w:val="004D0A22"/>
    <w:rPr>
      <w:rFonts w:ascii="Segoe UI" w:hAnsi="Segoe UI" w:cs="Segoe UI"/>
      <w:sz w:val="18"/>
      <w:szCs w:val="18"/>
    </w:rPr>
  </w:style>
  <w:style w:type="character" w:customStyle="1" w:styleId="BalloonTextChar">
    <w:name w:val="Balloon Text Char"/>
    <w:basedOn w:val="DefaultParagraphFont"/>
    <w:link w:val="BalloonText"/>
    <w:semiHidden/>
    <w:rsid w:val="004D0A22"/>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5A59A-CC5A-4FE5-89B3-EF0276D1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2773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2018-08-24T15:18:00Z</dcterms:created>
  <dcterms:modified xsi:type="dcterms:W3CDTF">2018-08-24T15:18:00Z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