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A537" w14:textId="26C8388D" w:rsidR="00301C45" w:rsidRPr="00DD3907" w:rsidRDefault="00301C45" w:rsidP="00301C45">
      <w:pPr>
        <w:tabs>
          <w:tab w:val="right" w:pos="9720"/>
        </w:tabs>
        <w:ind w:right="-82"/>
        <w:jc w:val="center"/>
        <w:rPr>
          <w:rFonts w:ascii="Book Antiqua" w:hAnsi="Book Antiqua" w:cs="Arial"/>
          <w:b/>
          <w:color w:val="000000"/>
          <w:sz w:val="24"/>
          <w:szCs w:val="24"/>
        </w:rPr>
      </w:pPr>
      <w:r w:rsidRPr="00DD3907">
        <w:rPr>
          <w:rFonts w:ascii="Book Antiqua" w:hAnsi="Book Antiqua" w:cs="Arial"/>
          <w:noProof/>
          <w:sz w:val="24"/>
          <w:szCs w:val="24"/>
        </w:rPr>
        <w:drawing>
          <wp:inline distT="0" distB="0" distL="0" distR="0" wp14:anchorId="6A2E3F94" wp14:editId="3613F6E2">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12C7C581" w14:textId="47A752FA" w:rsidR="00F35BC4" w:rsidRPr="00DD3907" w:rsidRDefault="00F35BC4" w:rsidP="00D97181">
      <w:pPr>
        <w:tabs>
          <w:tab w:val="right" w:pos="9720"/>
        </w:tabs>
        <w:spacing w:after="0"/>
        <w:ind w:right="-82"/>
        <w:rPr>
          <w:rFonts w:ascii="Book Antiqua" w:hAnsi="Book Antiqua" w:cs="Arial"/>
          <w:b/>
          <w:color w:val="000000"/>
          <w:sz w:val="24"/>
          <w:szCs w:val="24"/>
          <w:lang w:eastAsia="en-GB"/>
        </w:rPr>
      </w:pPr>
      <w:r w:rsidRPr="00DD3907">
        <w:rPr>
          <w:rFonts w:ascii="Book Antiqua" w:hAnsi="Book Antiqua" w:cs="Arial"/>
          <w:b/>
          <w:color w:val="000000"/>
          <w:sz w:val="24"/>
          <w:szCs w:val="24"/>
        </w:rPr>
        <w:t xml:space="preserve">Upper Tribunal </w:t>
      </w:r>
      <w:r w:rsidR="00396E2F" w:rsidRPr="00DD3907">
        <w:rPr>
          <w:rFonts w:ascii="Book Antiqua" w:hAnsi="Book Antiqua" w:cs="Arial"/>
          <w:b/>
          <w:color w:val="000000"/>
          <w:sz w:val="24"/>
          <w:szCs w:val="24"/>
        </w:rPr>
        <w:tab/>
      </w:r>
    </w:p>
    <w:p w14:paraId="53823427" w14:textId="164B94A9" w:rsidR="00F35BC4" w:rsidRDefault="00F35BC4" w:rsidP="00DD3907">
      <w:pPr>
        <w:tabs>
          <w:tab w:val="right" w:pos="9720"/>
        </w:tabs>
        <w:spacing w:after="0" w:line="240" w:lineRule="auto"/>
        <w:ind w:right="-79"/>
        <w:rPr>
          <w:rFonts w:ascii="Book Antiqua" w:hAnsi="Book Antiqua" w:cs="Arial"/>
          <w:b/>
          <w:color w:val="000000"/>
          <w:sz w:val="24"/>
          <w:szCs w:val="24"/>
        </w:rPr>
      </w:pPr>
      <w:r w:rsidRPr="00DD3907">
        <w:rPr>
          <w:rFonts w:ascii="Book Antiqua" w:hAnsi="Book Antiqua" w:cs="Arial"/>
          <w:b/>
          <w:color w:val="000000"/>
          <w:sz w:val="24"/>
          <w:szCs w:val="24"/>
        </w:rPr>
        <w:t xml:space="preserve">(Immigration and Asylum </w:t>
      </w:r>
      <w:proofErr w:type="gramStart"/>
      <w:r w:rsidRPr="00DD3907">
        <w:rPr>
          <w:rFonts w:ascii="Book Antiqua" w:hAnsi="Book Antiqua" w:cs="Arial"/>
          <w:b/>
          <w:color w:val="000000"/>
          <w:sz w:val="24"/>
          <w:szCs w:val="24"/>
        </w:rPr>
        <w:t>Chamber)</w:t>
      </w:r>
      <w:r w:rsidR="00DD3907" w:rsidRPr="00DD3907">
        <w:rPr>
          <w:rFonts w:ascii="Book Antiqua" w:hAnsi="Book Antiqua" w:cs="Arial"/>
          <w:b/>
          <w:color w:val="000000"/>
          <w:sz w:val="24"/>
          <w:szCs w:val="24"/>
        </w:rPr>
        <w:t xml:space="preserve"> </w:t>
      </w:r>
      <w:r w:rsidR="00DD3907">
        <w:rPr>
          <w:rFonts w:ascii="Book Antiqua" w:hAnsi="Book Antiqua" w:cs="Arial"/>
          <w:b/>
          <w:color w:val="000000"/>
          <w:sz w:val="24"/>
          <w:szCs w:val="24"/>
        </w:rPr>
        <w:t xml:space="preserve">  </w:t>
      </w:r>
      <w:proofErr w:type="gramEnd"/>
      <w:r w:rsidR="00DD3907">
        <w:rPr>
          <w:rFonts w:ascii="Book Antiqua" w:hAnsi="Book Antiqua" w:cs="Arial"/>
          <w:b/>
          <w:color w:val="000000"/>
          <w:sz w:val="24"/>
          <w:szCs w:val="24"/>
        </w:rPr>
        <w:t xml:space="preserve">                   </w:t>
      </w:r>
      <w:r w:rsidR="00DD3907" w:rsidRPr="00DD3907">
        <w:rPr>
          <w:rFonts w:ascii="Book Antiqua" w:hAnsi="Book Antiqua" w:cs="Arial"/>
          <w:b/>
          <w:color w:val="000000"/>
          <w:sz w:val="24"/>
          <w:szCs w:val="24"/>
        </w:rPr>
        <w:t>Appeal Number: PA/12701/2019(P)</w:t>
      </w:r>
      <w:r w:rsidRPr="00DD3907">
        <w:rPr>
          <w:rFonts w:ascii="Book Antiqua" w:hAnsi="Book Antiqua" w:cs="Arial"/>
          <w:b/>
          <w:color w:val="000000"/>
          <w:sz w:val="24"/>
          <w:szCs w:val="24"/>
        </w:rPr>
        <w:tab/>
      </w:r>
    </w:p>
    <w:p w14:paraId="6C92E757" w14:textId="77777777" w:rsidR="00DD3907" w:rsidRPr="00DD3907" w:rsidRDefault="00DD3907" w:rsidP="00DD3907">
      <w:pPr>
        <w:tabs>
          <w:tab w:val="right" w:pos="9720"/>
        </w:tabs>
        <w:spacing w:after="0" w:line="240" w:lineRule="auto"/>
        <w:ind w:right="-79"/>
        <w:rPr>
          <w:rFonts w:ascii="Book Antiqua" w:hAnsi="Book Antiqua" w:cs="Arial"/>
          <w:b/>
          <w:bCs/>
          <w:color w:val="000000"/>
          <w:sz w:val="24"/>
          <w:szCs w:val="24"/>
        </w:rPr>
      </w:pPr>
    </w:p>
    <w:p w14:paraId="317E3E23" w14:textId="2F337A4F" w:rsidR="00F35BC4" w:rsidRDefault="00F35BC4" w:rsidP="00DD3907">
      <w:pPr>
        <w:spacing w:after="0" w:line="240" w:lineRule="auto"/>
        <w:jc w:val="center"/>
        <w:rPr>
          <w:rFonts w:ascii="Book Antiqua" w:hAnsi="Book Antiqua" w:cs="Arial"/>
          <w:b/>
          <w:color w:val="000000"/>
          <w:sz w:val="24"/>
          <w:szCs w:val="24"/>
          <w:u w:val="single"/>
        </w:rPr>
      </w:pPr>
      <w:r w:rsidRPr="00DD3907">
        <w:rPr>
          <w:rFonts w:ascii="Book Antiqua" w:hAnsi="Book Antiqua" w:cs="Arial"/>
          <w:b/>
          <w:color w:val="000000"/>
          <w:sz w:val="24"/>
          <w:szCs w:val="24"/>
          <w:u w:val="single"/>
        </w:rPr>
        <w:t>THE IMMIGRATION ACTS</w:t>
      </w:r>
    </w:p>
    <w:p w14:paraId="64E7F174" w14:textId="77777777" w:rsidR="00DD3907" w:rsidRPr="00DD3907" w:rsidRDefault="00DD3907" w:rsidP="00DD3907">
      <w:pPr>
        <w:spacing w:after="0" w:line="240" w:lineRule="auto"/>
        <w:jc w:val="center"/>
        <w:rPr>
          <w:rFonts w:ascii="Book Antiqua" w:hAnsi="Book Antiqua" w:cs="Arial"/>
          <w:b/>
          <w:color w:val="000000"/>
          <w:sz w:val="24"/>
          <w:szCs w:val="24"/>
          <w:u w:val="single"/>
        </w:rPr>
      </w:pPr>
    </w:p>
    <w:tbl>
      <w:tblPr>
        <w:tblW w:w="10008" w:type="dxa"/>
        <w:tblLook w:val="01E0" w:firstRow="1" w:lastRow="1" w:firstColumn="1" w:lastColumn="1" w:noHBand="0" w:noVBand="0"/>
      </w:tblPr>
      <w:tblGrid>
        <w:gridCol w:w="5245"/>
        <w:gridCol w:w="803"/>
        <w:gridCol w:w="3960"/>
      </w:tblGrid>
      <w:tr w:rsidR="00F35BC4" w:rsidRPr="00DD3907" w14:paraId="1C1329C0" w14:textId="77777777" w:rsidTr="00DD3907">
        <w:tc>
          <w:tcPr>
            <w:tcW w:w="5245" w:type="dxa"/>
            <w:hideMark/>
          </w:tcPr>
          <w:p w14:paraId="10D9AB39" w14:textId="77777777" w:rsidR="00F35BC4" w:rsidRPr="00DD3907" w:rsidRDefault="00996DC5" w:rsidP="00071422">
            <w:pPr>
              <w:spacing w:after="0"/>
              <w:jc w:val="both"/>
              <w:rPr>
                <w:rFonts w:ascii="Book Antiqua" w:hAnsi="Book Antiqua" w:cs="Arial"/>
                <w:b/>
                <w:sz w:val="24"/>
                <w:szCs w:val="24"/>
              </w:rPr>
            </w:pPr>
            <w:r w:rsidRPr="00DD3907">
              <w:rPr>
                <w:rFonts w:ascii="Book Antiqua" w:hAnsi="Book Antiqua" w:cs="Arial"/>
                <w:b/>
                <w:sz w:val="24"/>
                <w:szCs w:val="24"/>
              </w:rPr>
              <w:t>Heard Remotely</w:t>
            </w:r>
            <w:r w:rsidR="00F35BC4" w:rsidRPr="00DD3907">
              <w:rPr>
                <w:rFonts w:ascii="Book Antiqua" w:hAnsi="Book Antiqua" w:cs="Arial"/>
                <w:b/>
                <w:sz w:val="24"/>
                <w:szCs w:val="24"/>
              </w:rPr>
              <w:t xml:space="preserve"> </w:t>
            </w:r>
            <w:r w:rsidR="00E7214E" w:rsidRPr="00DD3907">
              <w:rPr>
                <w:rFonts w:ascii="Book Antiqua" w:hAnsi="Book Antiqua" w:cs="Arial"/>
                <w:b/>
                <w:sz w:val="24"/>
                <w:szCs w:val="24"/>
              </w:rPr>
              <w:t xml:space="preserve">at </w:t>
            </w:r>
            <w:r w:rsidR="007B6899" w:rsidRPr="00DD3907">
              <w:rPr>
                <w:rFonts w:ascii="Book Antiqua" w:hAnsi="Book Antiqua" w:cs="Arial"/>
                <w:b/>
                <w:sz w:val="24"/>
                <w:szCs w:val="24"/>
              </w:rPr>
              <w:t>Manchester Piccadilly IAC</w:t>
            </w:r>
          </w:p>
          <w:p w14:paraId="5322890C" w14:textId="749409A5" w:rsidR="00071422" w:rsidRPr="00DD3907" w:rsidRDefault="00071422" w:rsidP="00071422">
            <w:pPr>
              <w:spacing w:after="0"/>
              <w:jc w:val="both"/>
              <w:rPr>
                <w:rFonts w:ascii="Book Antiqua" w:hAnsi="Book Antiqua" w:cs="Arial"/>
                <w:b/>
                <w:sz w:val="24"/>
                <w:szCs w:val="24"/>
              </w:rPr>
            </w:pPr>
            <w:r w:rsidRPr="00DD3907">
              <w:rPr>
                <w:rFonts w:ascii="Book Antiqua" w:hAnsi="Book Antiqua" w:cs="Arial"/>
                <w:b/>
                <w:sz w:val="24"/>
                <w:szCs w:val="24"/>
              </w:rPr>
              <w:t>On 21 August 2020</w:t>
            </w:r>
          </w:p>
        </w:tc>
        <w:tc>
          <w:tcPr>
            <w:tcW w:w="4763" w:type="dxa"/>
            <w:gridSpan w:val="2"/>
            <w:hideMark/>
          </w:tcPr>
          <w:p w14:paraId="30D5F280" w14:textId="77777777" w:rsidR="00F35BC4" w:rsidRPr="00DD3907" w:rsidRDefault="00071422" w:rsidP="00071422">
            <w:pPr>
              <w:spacing w:after="0"/>
              <w:jc w:val="both"/>
              <w:rPr>
                <w:rFonts w:ascii="Book Antiqua" w:hAnsi="Book Antiqua" w:cs="Arial"/>
                <w:b/>
                <w:bCs/>
                <w:color w:val="000000" w:themeColor="text1"/>
                <w:sz w:val="24"/>
                <w:szCs w:val="24"/>
              </w:rPr>
            </w:pPr>
            <w:r w:rsidRPr="00DD3907">
              <w:rPr>
                <w:rFonts w:ascii="Book Antiqua" w:hAnsi="Book Antiqua" w:cs="Arial"/>
                <w:b/>
                <w:bCs/>
                <w:color w:val="000000" w:themeColor="text1"/>
                <w:sz w:val="24"/>
                <w:szCs w:val="24"/>
              </w:rPr>
              <w:t>Decision &amp; Reasons Promulgated</w:t>
            </w:r>
          </w:p>
          <w:p w14:paraId="6EF0845F" w14:textId="6413A8EF" w:rsidR="00071422" w:rsidRPr="00DD3907" w:rsidRDefault="00071422" w:rsidP="00071422">
            <w:pPr>
              <w:spacing w:after="0"/>
              <w:jc w:val="both"/>
              <w:rPr>
                <w:rFonts w:ascii="Book Antiqua" w:hAnsi="Book Antiqua" w:cs="Arial"/>
                <w:b/>
                <w:color w:val="000000"/>
                <w:sz w:val="24"/>
                <w:szCs w:val="24"/>
              </w:rPr>
            </w:pPr>
            <w:r w:rsidRPr="00DD3907">
              <w:rPr>
                <w:rFonts w:ascii="Book Antiqua" w:hAnsi="Book Antiqua" w:cs="Arial"/>
                <w:b/>
                <w:bCs/>
                <w:color w:val="000000" w:themeColor="text1"/>
                <w:sz w:val="24"/>
                <w:szCs w:val="24"/>
              </w:rPr>
              <w:t>On 25 August 2020</w:t>
            </w:r>
          </w:p>
        </w:tc>
      </w:tr>
      <w:tr w:rsidR="00F35BC4" w:rsidRPr="00DD3907" w14:paraId="4544D819" w14:textId="77777777" w:rsidTr="00DD3907">
        <w:tc>
          <w:tcPr>
            <w:tcW w:w="5245" w:type="dxa"/>
            <w:hideMark/>
          </w:tcPr>
          <w:p w14:paraId="26355A55" w14:textId="27BF650A" w:rsidR="00F35BC4" w:rsidRPr="00DD3907" w:rsidRDefault="00F35BC4">
            <w:pPr>
              <w:jc w:val="both"/>
              <w:rPr>
                <w:rFonts w:ascii="Book Antiqua" w:hAnsi="Book Antiqua" w:cs="Arial"/>
                <w:b/>
                <w:sz w:val="24"/>
                <w:szCs w:val="24"/>
              </w:rPr>
            </w:pPr>
          </w:p>
        </w:tc>
        <w:tc>
          <w:tcPr>
            <w:tcW w:w="4763" w:type="dxa"/>
            <w:gridSpan w:val="2"/>
          </w:tcPr>
          <w:p w14:paraId="67D72F77" w14:textId="77777777" w:rsidR="00F35BC4" w:rsidRPr="00DD3907" w:rsidRDefault="00F35BC4">
            <w:pPr>
              <w:jc w:val="both"/>
              <w:rPr>
                <w:rFonts w:ascii="Book Antiqua" w:hAnsi="Book Antiqua" w:cs="Arial"/>
                <w:b/>
                <w:sz w:val="24"/>
                <w:szCs w:val="24"/>
              </w:rPr>
            </w:pPr>
          </w:p>
        </w:tc>
      </w:tr>
      <w:tr w:rsidR="00F35BC4" w:rsidRPr="00DD3907" w14:paraId="7E9D31A3" w14:textId="77777777" w:rsidTr="00071422">
        <w:tc>
          <w:tcPr>
            <w:tcW w:w="6048" w:type="dxa"/>
            <w:gridSpan w:val="2"/>
          </w:tcPr>
          <w:p w14:paraId="7D231830" w14:textId="77777777" w:rsidR="00F35BC4" w:rsidRPr="00DD3907" w:rsidRDefault="00F35BC4">
            <w:pPr>
              <w:jc w:val="both"/>
              <w:rPr>
                <w:rFonts w:ascii="Book Antiqua" w:hAnsi="Book Antiqua" w:cs="Arial"/>
                <w:b/>
                <w:sz w:val="24"/>
                <w:szCs w:val="24"/>
              </w:rPr>
            </w:pPr>
          </w:p>
        </w:tc>
        <w:tc>
          <w:tcPr>
            <w:tcW w:w="3960" w:type="dxa"/>
          </w:tcPr>
          <w:p w14:paraId="4663D2DD" w14:textId="6144C95D" w:rsidR="00F35BC4" w:rsidRPr="00DD3907" w:rsidRDefault="00F35BC4">
            <w:pPr>
              <w:jc w:val="both"/>
              <w:rPr>
                <w:rFonts w:ascii="Book Antiqua" w:hAnsi="Book Antiqua" w:cs="Arial"/>
                <w:b/>
                <w:sz w:val="24"/>
                <w:szCs w:val="24"/>
              </w:rPr>
            </w:pPr>
          </w:p>
        </w:tc>
      </w:tr>
    </w:tbl>
    <w:p w14:paraId="55B9596F" w14:textId="77777777" w:rsidR="00F35BC4" w:rsidRPr="00DD3907" w:rsidRDefault="00F35BC4" w:rsidP="00F35BC4">
      <w:pPr>
        <w:jc w:val="center"/>
        <w:rPr>
          <w:rFonts w:ascii="Book Antiqua" w:hAnsi="Book Antiqua" w:cs="Arial"/>
          <w:b/>
          <w:sz w:val="24"/>
          <w:szCs w:val="24"/>
        </w:rPr>
      </w:pPr>
      <w:r w:rsidRPr="00DD3907">
        <w:rPr>
          <w:rFonts w:ascii="Book Antiqua" w:hAnsi="Book Antiqua" w:cs="Arial"/>
          <w:b/>
          <w:sz w:val="24"/>
          <w:szCs w:val="24"/>
        </w:rPr>
        <w:t>Before</w:t>
      </w:r>
    </w:p>
    <w:p w14:paraId="603F3782" w14:textId="06B74D68" w:rsidR="00E83510" w:rsidRPr="00DD3907" w:rsidRDefault="00A83977" w:rsidP="001B7E2B">
      <w:pPr>
        <w:jc w:val="center"/>
        <w:rPr>
          <w:rFonts w:ascii="Book Antiqua" w:hAnsi="Book Antiqua" w:cs="Arial"/>
          <w:b/>
          <w:color w:val="000000"/>
          <w:sz w:val="24"/>
          <w:szCs w:val="24"/>
        </w:rPr>
      </w:pPr>
      <w:r w:rsidRPr="00DD3907">
        <w:rPr>
          <w:rFonts w:ascii="Book Antiqua" w:hAnsi="Book Antiqua" w:cs="Arial"/>
          <w:b/>
          <w:color w:val="000000"/>
          <w:sz w:val="24"/>
          <w:szCs w:val="24"/>
        </w:rPr>
        <w:t xml:space="preserve">UPPER TRIBUNAL JUDGE </w:t>
      </w:r>
      <w:r w:rsidR="006052E7" w:rsidRPr="00DD3907">
        <w:rPr>
          <w:rFonts w:ascii="Book Antiqua" w:hAnsi="Book Antiqua" w:cs="Arial"/>
          <w:b/>
          <w:color w:val="000000"/>
          <w:sz w:val="24"/>
          <w:szCs w:val="24"/>
        </w:rPr>
        <w:t>PICKUP</w:t>
      </w:r>
    </w:p>
    <w:p w14:paraId="74415A54" w14:textId="77777777" w:rsidR="00F35BC4" w:rsidRPr="00DD3907" w:rsidRDefault="00F35BC4" w:rsidP="00F35BC4">
      <w:pPr>
        <w:jc w:val="center"/>
        <w:rPr>
          <w:rFonts w:ascii="Book Antiqua" w:hAnsi="Book Antiqua" w:cs="Arial"/>
          <w:b/>
          <w:sz w:val="24"/>
          <w:szCs w:val="24"/>
        </w:rPr>
      </w:pPr>
      <w:r w:rsidRPr="00DD3907">
        <w:rPr>
          <w:rFonts w:ascii="Book Antiqua" w:hAnsi="Book Antiqua" w:cs="Arial"/>
          <w:b/>
          <w:sz w:val="24"/>
          <w:szCs w:val="24"/>
        </w:rPr>
        <w:t>Between</w:t>
      </w:r>
    </w:p>
    <w:p w14:paraId="0A333C22" w14:textId="352D33E5" w:rsidR="00F35BC4" w:rsidRPr="00DD3907" w:rsidRDefault="00A27745" w:rsidP="00DD3907">
      <w:pPr>
        <w:spacing w:after="0" w:line="240" w:lineRule="auto"/>
        <w:jc w:val="center"/>
        <w:rPr>
          <w:rFonts w:ascii="Book Antiqua" w:hAnsi="Book Antiqua" w:cs="Arial"/>
          <w:b/>
          <w:sz w:val="24"/>
          <w:szCs w:val="24"/>
        </w:rPr>
      </w:pPr>
      <w:r w:rsidRPr="00DD3907">
        <w:rPr>
          <w:rFonts w:ascii="Book Antiqua" w:hAnsi="Book Antiqua" w:cs="Arial"/>
          <w:b/>
          <w:sz w:val="24"/>
          <w:szCs w:val="24"/>
        </w:rPr>
        <w:t>RB</w:t>
      </w:r>
    </w:p>
    <w:p w14:paraId="2FDDDF95" w14:textId="17089CCC" w:rsidR="00F35BC4" w:rsidRPr="00DD3907" w:rsidRDefault="00F35BC4" w:rsidP="00DD3907">
      <w:pPr>
        <w:spacing w:after="0" w:line="240" w:lineRule="auto"/>
        <w:jc w:val="center"/>
        <w:rPr>
          <w:rFonts w:ascii="Book Antiqua" w:hAnsi="Book Antiqua" w:cs="Arial"/>
          <w:caps/>
          <w:sz w:val="24"/>
          <w:szCs w:val="24"/>
        </w:rPr>
      </w:pPr>
      <w:r w:rsidRPr="00DD3907">
        <w:rPr>
          <w:rFonts w:ascii="Book Antiqua" w:hAnsi="Book Antiqua" w:cs="Arial"/>
          <w:caps/>
          <w:sz w:val="24"/>
          <w:szCs w:val="24"/>
        </w:rPr>
        <w:t xml:space="preserve"> (</w:t>
      </w:r>
      <w:r w:rsidR="00A83977" w:rsidRPr="00DD3907">
        <w:rPr>
          <w:rFonts w:ascii="Book Antiqua" w:hAnsi="Book Antiqua" w:cs="Arial"/>
          <w:caps/>
          <w:sz w:val="24"/>
          <w:szCs w:val="24"/>
        </w:rPr>
        <w:t>ANONYMITY ORDER MADE</w:t>
      </w:r>
      <w:r w:rsidRPr="00DD3907">
        <w:rPr>
          <w:rFonts w:ascii="Book Antiqua" w:hAnsi="Book Antiqua" w:cs="Arial"/>
          <w:caps/>
          <w:sz w:val="24"/>
          <w:szCs w:val="24"/>
        </w:rPr>
        <w:t>)</w:t>
      </w:r>
    </w:p>
    <w:p w14:paraId="6DD72F04" w14:textId="77777777" w:rsidR="00F35BC4" w:rsidRPr="00DD3907" w:rsidRDefault="00F35BC4" w:rsidP="00F35BC4">
      <w:pPr>
        <w:jc w:val="right"/>
        <w:rPr>
          <w:rFonts w:ascii="Book Antiqua" w:hAnsi="Book Antiqua" w:cs="Arial"/>
          <w:sz w:val="24"/>
          <w:szCs w:val="24"/>
          <w:u w:val="single"/>
        </w:rPr>
      </w:pPr>
      <w:r w:rsidRPr="00DD3907">
        <w:rPr>
          <w:rFonts w:ascii="Book Antiqua" w:hAnsi="Book Antiqua" w:cs="Arial"/>
          <w:sz w:val="24"/>
          <w:szCs w:val="24"/>
          <w:u w:val="single"/>
        </w:rPr>
        <w:t>Appellant</w:t>
      </w:r>
    </w:p>
    <w:p w14:paraId="20D25670" w14:textId="366D122F" w:rsidR="00F35BC4" w:rsidRPr="00DD3907" w:rsidRDefault="00F35BC4" w:rsidP="001B7E2B">
      <w:pPr>
        <w:jc w:val="center"/>
        <w:rPr>
          <w:rFonts w:ascii="Book Antiqua" w:hAnsi="Book Antiqua" w:cs="Arial"/>
          <w:b/>
          <w:sz w:val="24"/>
          <w:szCs w:val="24"/>
        </w:rPr>
      </w:pPr>
      <w:r w:rsidRPr="00DD3907">
        <w:rPr>
          <w:rFonts w:ascii="Book Antiqua" w:hAnsi="Book Antiqua" w:cs="Arial"/>
          <w:b/>
          <w:sz w:val="24"/>
          <w:szCs w:val="24"/>
        </w:rPr>
        <w:t>and</w:t>
      </w:r>
    </w:p>
    <w:p w14:paraId="404ACB3F" w14:textId="77777777" w:rsidR="00F35BC4" w:rsidRPr="00DD3907" w:rsidRDefault="00F35BC4" w:rsidP="00F35BC4">
      <w:pPr>
        <w:jc w:val="center"/>
        <w:rPr>
          <w:rFonts w:ascii="Book Antiqua" w:hAnsi="Book Antiqua" w:cs="Arial"/>
          <w:b/>
          <w:sz w:val="24"/>
          <w:szCs w:val="24"/>
        </w:rPr>
      </w:pPr>
      <w:r w:rsidRPr="00DD3907">
        <w:rPr>
          <w:rFonts w:ascii="Book Antiqua" w:hAnsi="Book Antiqua" w:cs="Arial"/>
          <w:b/>
          <w:sz w:val="24"/>
          <w:szCs w:val="24"/>
        </w:rPr>
        <w:t>SECRETARY OF STATE FOR THE HOME DEPARTMENT</w:t>
      </w:r>
    </w:p>
    <w:p w14:paraId="5DA5BEF4" w14:textId="65216561" w:rsidR="009D2B85" w:rsidRPr="00DD3907" w:rsidRDefault="00F35BC4" w:rsidP="001B7E2B">
      <w:pPr>
        <w:jc w:val="right"/>
        <w:rPr>
          <w:rFonts w:ascii="Book Antiqua" w:hAnsi="Book Antiqua" w:cs="Arial"/>
          <w:b/>
          <w:sz w:val="24"/>
          <w:szCs w:val="24"/>
          <w:u w:val="single"/>
        </w:rPr>
      </w:pPr>
      <w:r w:rsidRPr="00DD3907">
        <w:rPr>
          <w:rFonts w:ascii="Book Antiqua" w:hAnsi="Book Antiqua" w:cs="Arial"/>
          <w:sz w:val="24"/>
          <w:szCs w:val="24"/>
          <w:u w:val="single"/>
        </w:rPr>
        <w:t>Respondent</w:t>
      </w:r>
    </w:p>
    <w:p w14:paraId="4E08F24B" w14:textId="1F79EF3D" w:rsidR="00DD3907" w:rsidRPr="00DD3907" w:rsidRDefault="00DD3907" w:rsidP="00DD3907">
      <w:pPr>
        <w:spacing w:after="0" w:line="240" w:lineRule="auto"/>
        <w:jc w:val="both"/>
        <w:rPr>
          <w:rFonts w:ascii="Book Antiqua" w:hAnsi="Book Antiqua"/>
          <w:b/>
          <w:sz w:val="24"/>
          <w:szCs w:val="24"/>
          <w:u w:val="single"/>
        </w:rPr>
      </w:pPr>
      <w:r>
        <w:rPr>
          <w:rFonts w:ascii="Book Antiqua" w:hAnsi="Book Antiqua"/>
          <w:b/>
          <w:sz w:val="24"/>
          <w:szCs w:val="24"/>
          <w:u w:val="single"/>
        </w:rPr>
        <w:t>Representation:</w:t>
      </w:r>
    </w:p>
    <w:p w14:paraId="0C8C4751" w14:textId="77777777" w:rsidR="00DD3907" w:rsidRDefault="00DD3907" w:rsidP="00DD3907">
      <w:pPr>
        <w:spacing w:after="0" w:line="240" w:lineRule="auto"/>
        <w:jc w:val="both"/>
        <w:rPr>
          <w:rFonts w:ascii="Book Antiqua" w:hAnsi="Book Antiqua"/>
          <w:sz w:val="24"/>
          <w:szCs w:val="24"/>
        </w:rPr>
      </w:pPr>
    </w:p>
    <w:p w14:paraId="6BAE5564" w14:textId="3D66CED3" w:rsidR="000E0EC3" w:rsidRPr="00DD3907" w:rsidRDefault="000E0EC3" w:rsidP="00DD3907">
      <w:pPr>
        <w:spacing w:after="0" w:line="240" w:lineRule="auto"/>
        <w:jc w:val="both"/>
        <w:rPr>
          <w:rFonts w:ascii="Book Antiqua" w:hAnsi="Book Antiqua"/>
          <w:sz w:val="24"/>
          <w:szCs w:val="24"/>
        </w:rPr>
      </w:pPr>
      <w:r w:rsidRPr="00DD3907">
        <w:rPr>
          <w:rFonts w:ascii="Book Antiqua" w:hAnsi="Book Antiqua"/>
          <w:sz w:val="24"/>
          <w:szCs w:val="24"/>
        </w:rPr>
        <w:t>For the appellant</w:t>
      </w:r>
      <w:r w:rsidR="00662D4B" w:rsidRPr="00DD3907">
        <w:rPr>
          <w:rFonts w:ascii="Book Antiqua" w:hAnsi="Book Antiqua"/>
          <w:sz w:val="24"/>
          <w:szCs w:val="24"/>
        </w:rPr>
        <w:t>:</w:t>
      </w:r>
      <w:r w:rsidRPr="00DD3907">
        <w:rPr>
          <w:rFonts w:ascii="Book Antiqua" w:hAnsi="Book Antiqua"/>
          <w:sz w:val="24"/>
          <w:szCs w:val="24"/>
        </w:rPr>
        <w:t xml:space="preserve"> </w:t>
      </w:r>
      <w:r w:rsidR="00DD3907">
        <w:rPr>
          <w:rFonts w:ascii="Book Antiqua" w:hAnsi="Book Antiqua"/>
          <w:sz w:val="24"/>
          <w:szCs w:val="24"/>
        </w:rPr>
        <w:t xml:space="preserve">       </w:t>
      </w:r>
      <w:r w:rsidRPr="00DD3907">
        <w:rPr>
          <w:rFonts w:ascii="Book Antiqua" w:hAnsi="Book Antiqua"/>
          <w:sz w:val="24"/>
          <w:szCs w:val="24"/>
        </w:rPr>
        <w:t>M</w:t>
      </w:r>
      <w:r w:rsidR="0045675E" w:rsidRPr="00DD3907">
        <w:rPr>
          <w:rFonts w:ascii="Book Antiqua" w:hAnsi="Book Antiqua"/>
          <w:sz w:val="24"/>
          <w:szCs w:val="24"/>
        </w:rPr>
        <w:t>s M Cleghorn</w:t>
      </w:r>
      <w:r w:rsidR="00A27745" w:rsidRPr="00DD3907">
        <w:rPr>
          <w:rFonts w:ascii="Book Antiqua" w:hAnsi="Book Antiqua"/>
          <w:sz w:val="24"/>
          <w:szCs w:val="24"/>
        </w:rPr>
        <w:t>, instructed by Halliday Reeves law Firm</w:t>
      </w:r>
    </w:p>
    <w:p w14:paraId="3A83AA84" w14:textId="4837A265" w:rsidR="00662D4B" w:rsidRDefault="000E0EC3" w:rsidP="00DD3907">
      <w:pPr>
        <w:spacing w:after="0" w:line="240" w:lineRule="auto"/>
        <w:jc w:val="both"/>
        <w:rPr>
          <w:rFonts w:ascii="Book Antiqua" w:hAnsi="Book Antiqua"/>
          <w:sz w:val="24"/>
          <w:szCs w:val="24"/>
        </w:rPr>
      </w:pPr>
      <w:r w:rsidRPr="00DD3907">
        <w:rPr>
          <w:rFonts w:ascii="Book Antiqua" w:hAnsi="Book Antiqua"/>
          <w:sz w:val="24"/>
          <w:szCs w:val="24"/>
        </w:rPr>
        <w:t>For the Respondent</w:t>
      </w:r>
      <w:r w:rsidR="00662D4B" w:rsidRPr="00DD3907">
        <w:rPr>
          <w:rFonts w:ascii="Book Antiqua" w:hAnsi="Book Antiqua"/>
          <w:sz w:val="24"/>
          <w:szCs w:val="24"/>
        </w:rPr>
        <w:t>:</w:t>
      </w:r>
      <w:r w:rsidRPr="00DD3907">
        <w:rPr>
          <w:rFonts w:ascii="Book Antiqua" w:hAnsi="Book Antiqua"/>
          <w:sz w:val="24"/>
          <w:szCs w:val="24"/>
        </w:rPr>
        <w:t xml:space="preserve"> </w:t>
      </w:r>
      <w:r w:rsidR="00DD3907">
        <w:rPr>
          <w:rFonts w:ascii="Book Antiqua" w:hAnsi="Book Antiqua"/>
          <w:sz w:val="24"/>
          <w:szCs w:val="24"/>
        </w:rPr>
        <w:t xml:space="preserve">   </w:t>
      </w:r>
      <w:r w:rsidRPr="00DD3907">
        <w:rPr>
          <w:rFonts w:ascii="Book Antiqua" w:hAnsi="Book Antiqua"/>
          <w:sz w:val="24"/>
          <w:szCs w:val="24"/>
        </w:rPr>
        <w:t>Mr</w:t>
      </w:r>
      <w:r w:rsidR="002F0880" w:rsidRPr="00DD3907">
        <w:rPr>
          <w:rFonts w:ascii="Book Antiqua" w:hAnsi="Book Antiqua"/>
          <w:sz w:val="24"/>
          <w:szCs w:val="24"/>
        </w:rPr>
        <w:t xml:space="preserve"> C Bates</w:t>
      </w:r>
      <w:r w:rsidR="00A27745" w:rsidRPr="00DD3907">
        <w:rPr>
          <w:rFonts w:ascii="Book Antiqua" w:hAnsi="Book Antiqua"/>
          <w:sz w:val="24"/>
          <w:szCs w:val="24"/>
        </w:rPr>
        <w:t>, Senior Presenting officer.</w:t>
      </w:r>
    </w:p>
    <w:p w14:paraId="2E787D8B" w14:textId="77777777" w:rsidR="00DD3907" w:rsidRDefault="00DD3907" w:rsidP="00DD3907">
      <w:pPr>
        <w:tabs>
          <w:tab w:val="left" w:pos="2520"/>
        </w:tabs>
        <w:spacing w:after="0" w:line="240" w:lineRule="auto"/>
        <w:jc w:val="center"/>
        <w:rPr>
          <w:rFonts w:ascii="Book Antiqua" w:hAnsi="Book Antiqua" w:cs="Arial"/>
          <w:b/>
          <w:sz w:val="24"/>
          <w:szCs w:val="24"/>
          <w:u w:val="single"/>
        </w:rPr>
      </w:pPr>
    </w:p>
    <w:p w14:paraId="4D54D75C" w14:textId="4AD6D364" w:rsidR="00DD3907" w:rsidRPr="00DD3907" w:rsidRDefault="00DD3907" w:rsidP="00DD3907">
      <w:pPr>
        <w:tabs>
          <w:tab w:val="left" w:pos="2520"/>
        </w:tabs>
        <w:spacing w:after="0" w:line="240" w:lineRule="auto"/>
        <w:jc w:val="center"/>
        <w:rPr>
          <w:rFonts w:ascii="Book Antiqua" w:hAnsi="Book Antiqua" w:cs="Arial"/>
          <w:b/>
          <w:sz w:val="24"/>
          <w:szCs w:val="24"/>
          <w:u w:val="single"/>
        </w:rPr>
      </w:pPr>
      <w:r w:rsidRPr="00DD3907">
        <w:rPr>
          <w:rFonts w:ascii="Book Antiqua" w:hAnsi="Book Antiqua" w:cs="Arial"/>
          <w:b/>
          <w:sz w:val="24"/>
          <w:szCs w:val="24"/>
          <w:u w:val="single"/>
        </w:rPr>
        <w:t>DECISION AND REASONS (P)</w:t>
      </w:r>
    </w:p>
    <w:p w14:paraId="6AB56E49" w14:textId="77777777" w:rsidR="00DD3907" w:rsidRPr="00DD3907" w:rsidRDefault="00DD3907" w:rsidP="00662D4B">
      <w:pPr>
        <w:jc w:val="both"/>
        <w:rPr>
          <w:rFonts w:ascii="Book Antiqua" w:hAnsi="Book Antiqua"/>
          <w:sz w:val="24"/>
          <w:szCs w:val="24"/>
        </w:rPr>
      </w:pPr>
    </w:p>
    <w:p w14:paraId="38542726" w14:textId="2B9F0FC0" w:rsidR="0023211E" w:rsidRPr="00DD3907" w:rsidRDefault="009E207A" w:rsidP="0023211E">
      <w:pPr>
        <w:jc w:val="both"/>
        <w:rPr>
          <w:rFonts w:ascii="Book Antiqua" w:hAnsi="Book Antiqua"/>
          <w:sz w:val="24"/>
          <w:szCs w:val="24"/>
        </w:rPr>
      </w:pPr>
      <w:r w:rsidRPr="00DD3907">
        <w:rPr>
          <w:rFonts w:ascii="Book Antiqua" w:eastAsia="Times New Roman" w:hAnsi="Book Antiqua"/>
          <w:color w:val="000000"/>
          <w:sz w:val="24"/>
          <w:szCs w:val="24"/>
          <w:lang w:eastAsia="en-GB"/>
        </w:rPr>
        <w:t xml:space="preserve">This has been a remote hearing which has been consented to by the parties. The form of remote hearing was video by Skype (V). A face to face hearing was not held because it was not </w:t>
      </w:r>
      <w:proofErr w:type="gramStart"/>
      <w:r w:rsidRPr="00DD3907">
        <w:rPr>
          <w:rFonts w:ascii="Book Antiqua" w:eastAsia="Times New Roman" w:hAnsi="Book Antiqua"/>
          <w:color w:val="000000"/>
          <w:sz w:val="24"/>
          <w:szCs w:val="24"/>
          <w:lang w:eastAsia="en-GB"/>
        </w:rPr>
        <w:t>practicable</w:t>
      </w:r>
      <w:proofErr w:type="gramEnd"/>
      <w:r w:rsidRPr="00DD3907">
        <w:rPr>
          <w:rFonts w:ascii="Book Antiqua" w:eastAsia="Times New Roman" w:hAnsi="Book Antiqua"/>
          <w:color w:val="000000"/>
          <w:sz w:val="24"/>
          <w:szCs w:val="24"/>
          <w:lang w:eastAsia="en-GB"/>
        </w:rPr>
        <w:t xml:space="preserve"> and all issues could be determined in a remote hearing.</w:t>
      </w:r>
      <w:r w:rsidR="00A27745" w:rsidRPr="00DD3907">
        <w:rPr>
          <w:rFonts w:ascii="Book Antiqua" w:eastAsia="Times New Roman" w:hAnsi="Book Antiqua"/>
          <w:color w:val="000000"/>
          <w:sz w:val="24"/>
          <w:szCs w:val="24"/>
          <w:lang w:eastAsia="en-GB"/>
        </w:rPr>
        <w:t xml:space="preserve"> </w:t>
      </w:r>
      <w:r w:rsidR="00805C21" w:rsidRPr="00DD3907">
        <w:rPr>
          <w:rFonts w:ascii="Book Antiqua" w:eastAsia="Times New Roman" w:hAnsi="Book Antiqua"/>
          <w:color w:val="000000"/>
          <w:sz w:val="24"/>
          <w:szCs w:val="24"/>
          <w:lang w:eastAsia="en-GB"/>
        </w:rPr>
        <w:t xml:space="preserve">At the conclusion of the hearing I reserved my decision and reasons, which I now give. </w:t>
      </w:r>
      <w:r w:rsidRPr="00DD3907">
        <w:rPr>
          <w:rFonts w:ascii="Book Antiqua" w:eastAsia="Times New Roman" w:hAnsi="Book Antiqua"/>
          <w:color w:val="000000"/>
          <w:sz w:val="24"/>
          <w:szCs w:val="24"/>
          <w:lang w:eastAsia="en-GB"/>
        </w:rPr>
        <w:t>The order made is described at the end of these reasons. </w:t>
      </w:r>
    </w:p>
    <w:p w14:paraId="6C217E13" w14:textId="3F1E94E2" w:rsidR="00734691" w:rsidRPr="00DD3907" w:rsidRDefault="00734691" w:rsidP="0023211E">
      <w:pPr>
        <w:pStyle w:val="ListParagraph"/>
        <w:numPr>
          <w:ilvl w:val="0"/>
          <w:numId w:val="1"/>
        </w:numPr>
        <w:jc w:val="both"/>
        <w:rPr>
          <w:rFonts w:ascii="Book Antiqua" w:hAnsi="Book Antiqua"/>
          <w:sz w:val="24"/>
          <w:szCs w:val="24"/>
        </w:rPr>
      </w:pPr>
      <w:r w:rsidRPr="00DD3907">
        <w:rPr>
          <w:rFonts w:ascii="Book Antiqua" w:hAnsi="Book Antiqua"/>
          <w:sz w:val="24"/>
          <w:szCs w:val="24"/>
        </w:rPr>
        <w:t>The appellant</w:t>
      </w:r>
      <w:r w:rsidR="00032087" w:rsidRPr="00DD3907">
        <w:rPr>
          <w:rFonts w:ascii="Book Antiqua" w:hAnsi="Book Antiqua"/>
          <w:sz w:val="24"/>
          <w:szCs w:val="24"/>
        </w:rPr>
        <w:t xml:space="preserve">, </w:t>
      </w:r>
      <w:r w:rsidR="00E65F56" w:rsidRPr="00DD3907">
        <w:rPr>
          <w:rFonts w:ascii="Book Antiqua" w:hAnsi="Book Antiqua"/>
          <w:sz w:val="24"/>
          <w:szCs w:val="24"/>
        </w:rPr>
        <w:t xml:space="preserve">who </w:t>
      </w:r>
      <w:r w:rsidR="0053231A" w:rsidRPr="00DD3907">
        <w:rPr>
          <w:rFonts w:ascii="Book Antiqua" w:hAnsi="Book Antiqua"/>
          <w:sz w:val="24"/>
          <w:szCs w:val="24"/>
        </w:rPr>
        <w:t xml:space="preserve">is </w:t>
      </w:r>
      <w:r w:rsidR="00E65F56" w:rsidRPr="00DD3907">
        <w:rPr>
          <w:rFonts w:ascii="Book Antiqua" w:hAnsi="Book Antiqua"/>
          <w:sz w:val="24"/>
          <w:szCs w:val="24"/>
        </w:rPr>
        <w:t>a</w:t>
      </w:r>
      <w:r w:rsidR="003C163D" w:rsidRPr="00DD3907">
        <w:rPr>
          <w:rFonts w:ascii="Book Antiqua" w:hAnsi="Book Antiqua"/>
          <w:sz w:val="24"/>
          <w:szCs w:val="24"/>
        </w:rPr>
        <w:t>n Iranian</w:t>
      </w:r>
      <w:r w:rsidR="0053231A" w:rsidRPr="00DD3907">
        <w:rPr>
          <w:rFonts w:ascii="Book Antiqua" w:hAnsi="Book Antiqua"/>
          <w:sz w:val="24"/>
          <w:szCs w:val="24"/>
        </w:rPr>
        <w:t xml:space="preserve"> </w:t>
      </w:r>
      <w:r w:rsidR="00E65F56" w:rsidRPr="00DD3907">
        <w:rPr>
          <w:rFonts w:ascii="Book Antiqua" w:hAnsi="Book Antiqua"/>
          <w:sz w:val="24"/>
          <w:szCs w:val="24"/>
        </w:rPr>
        <w:t xml:space="preserve">national </w:t>
      </w:r>
      <w:r w:rsidR="003C163D" w:rsidRPr="00DD3907">
        <w:rPr>
          <w:rFonts w:ascii="Book Antiqua" w:hAnsi="Book Antiqua"/>
          <w:sz w:val="24"/>
          <w:szCs w:val="24"/>
        </w:rPr>
        <w:t>with date of birth given as 3.1.91</w:t>
      </w:r>
      <w:r w:rsidR="00F023EA" w:rsidRPr="00DD3907">
        <w:rPr>
          <w:rFonts w:ascii="Book Antiqua" w:hAnsi="Book Antiqua"/>
          <w:sz w:val="24"/>
          <w:szCs w:val="24"/>
        </w:rPr>
        <w:t xml:space="preserve">, </w:t>
      </w:r>
      <w:r w:rsidRPr="00DD3907">
        <w:rPr>
          <w:rFonts w:ascii="Book Antiqua" w:hAnsi="Book Antiqua"/>
          <w:sz w:val="24"/>
          <w:szCs w:val="24"/>
        </w:rPr>
        <w:t xml:space="preserve">has appealed to the Upper Tribunal </w:t>
      </w:r>
      <w:r w:rsidR="003C163D" w:rsidRPr="00DD3907">
        <w:rPr>
          <w:rFonts w:ascii="Book Antiqua" w:hAnsi="Book Antiqua"/>
          <w:sz w:val="24"/>
          <w:szCs w:val="24"/>
        </w:rPr>
        <w:t xml:space="preserve">with permission </w:t>
      </w:r>
      <w:r w:rsidRPr="00DD3907">
        <w:rPr>
          <w:rFonts w:ascii="Book Antiqua" w:hAnsi="Book Antiqua"/>
          <w:sz w:val="24"/>
          <w:szCs w:val="24"/>
        </w:rPr>
        <w:t xml:space="preserve">against the decision of the First-tier Tribunal </w:t>
      </w:r>
      <w:r w:rsidR="00E73154" w:rsidRPr="00DD3907">
        <w:rPr>
          <w:rFonts w:ascii="Book Antiqua" w:hAnsi="Book Antiqua"/>
          <w:sz w:val="24"/>
          <w:szCs w:val="24"/>
        </w:rPr>
        <w:t xml:space="preserve">promulgated </w:t>
      </w:r>
      <w:r w:rsidR="003C163D" w:rsidRPr="00DD3907">
        <w:rPr>
          <w:rFonts w:ascii="Book Antiqua" w:hAnsi="Book Antiqua"/>
          <w:sz w:val="24"/>
          <w:szCs w:val="24"/>
        </w:rPr>
        <w:t>27.4.20</w:t>
      </w:r>
      <w:r w:rsidR="00617657" w:rsidRPr="00DD3907">
        <w:rPr>
          <w:rFonts w:ascii="Book Antiqua" w:hAnsi="Book Antiqua"/>
          <w:sz w:val="24"/>
          <w:szCs w:val="24"/>
        </w:rPr>
        <w:t xml:space="preserve">, dismissing </w:t>
      </w:r>
      <w:r w:rsidR="003A004C" w:rsidRPr="00DD3907">
        <w:rPr>
          <w:rFonts w:ascii="Book Antiqua" w:hAnsi="Book Antiqua"/>
          <w:sz w:val="24"/>
          <w:szCs w:val="24"/>
        </w:rPr>
        <w:t>on a</w:t>
      </w:r>
      <w:bookmarkStart w:id="0" w:name="_GoBack"/>
      <w:bookmarkEnd w:id="0"/>
      <w:r w:rsidR="003A004C" w:rsidRPr="00DD3907">
        <w:rPr>
          <w:rFonts w:ascii="Book Antiqua" w:hAnsi="Book Antiqua"/>
          <w:sz w:val="24"/>
          <w:szCs w:val="24"/>
        </w:rPr>
        <w:t xml:space="preserve">ll grounds </w:t>
      </w:r>
      <w:r w:rsidR="00617657" w:rsidRPr="00DD3907">
        <w:rPr>
          <w:rFonts w:ascii="Book Antiqua" w:hAnsi="Book Antiqua"/>
          <w:sz w:val="24"/>
          <w:szCs w:val="24"/>
        </w:rPr>
        <w:t>h</w:t>
      </w:r>
      <w:r w:rsidR="00B96320" w:rsidRPr="00DD3907">
        <w:rPr>
          <w:rFonts w:ascii="Book Antiqua" w:hAnsi="Book Antiqua"/>
          <w:sz w:val="24"/>
          <w:szCs w:val="24"/>
        </w:rPr>
        <w:t>er</w:t>
      </w:r>
      <w:r w:rsidR="00617657" w:rsidRPr="00DD3907">
        <w:rPr>
          <w:rFonts w:ascii="Book Antiqua" w:hAnsi="Book Antiqua"/>
          <w:sz w:val="24"/>
          <w:szCs w:val="24"/>
        </w:rPr>
        <w:t xml:space="preserve"> appeal against </w:t>
      </w:r>
      <w:r w:rsidR="00617657" w:rsidRPr="00DD3907">
        <w:rPr>
          <w:rFonts w:ascii="Book Antiqua" w:hAnsi="Book Antiqua"/>
          <w:sz w:val="24"/>
          <w:szCs w:val="24"/>
        </w:rPr>
        <w:lastRenderedPageBreak/>
        <w:t>the decision of the Secretary of State, dated</w:t>
      </w:r>
      <w:r w:rsidR="00B96320" w:rsidRPr="00DD3907">
        <w:rPr>
          <w:rFonts w:ascii="Book Antiqua" w:hAnsi="Book Antiqua"/>
          <w:sz w:val="24"/>
          <w:szCs w:val="24"/>
        </w:rPr>
        <w:t xml:space="preserve"> 2.12.19</w:t>
      </w:r>
      <w:r w:rsidR="00617657" w:rsidRPr="00DD3907">
        <w:rPr>
          <w:rFonts w:ascii="Book Antiqua" w:hAnsi="Book Antiqua"/>
          <w:sz w:val="24"/>
          <w:szCs w:val="24"/>
        </w:rPr>
        <w:t>, to refuse h</w:t>
      </w:r>
      <w:r w:rsidR="00B96320" w:rsidRPr="00DD3907">
        <w:rPr>
          <w:rFonts w:ascii="Book Antiqua" w:hAnsi="Book Antiqua"/>
          <w:sz w:val="24"/>
          <w:szCs w:val="24"/>
        </w:rPr>
        <w:t>er claim for international protection</w:t>
      </w:r>
      <w:r w:rsidR="00881066" w:rsidRPr="00DD3907">
        <w:rPr>
          <w:rFonts w:ascii="Book Antiqua" w:hAnsi="Book Antiqua"/>
          <w:sz w:val="24"/>
          <w:szCs w:val="24"/>
        </w:rPr>
        <w:t xml:space="preserve">. </w:t>
      </w:r>
      <w:r w:rsidR="00617657" w:rsidRPr="00DD3907">
        <w:rPr>
          <w:rFonts w:ascii="Book Antiqua" w:hAnsi="Book Antiqua"/>
          <w:sz w:val="24"/>
          <w:szCs w:val="24"/>
        </w:rPr>
        <w:t xml:space="preserve"> </w:t>
      </w:r>
    </w:p>
    <w:p w14:paraId="4B10622D" w14:textId="41881B09" w:rsidR="00475495" w:rsidRPr="00DD3907" w:rsidRDefault="00475495" w:rsidP="00741F22">
      <w:pPr>
        <w:numPr>
          <w:ilvl w:val="0"/>
          <w:numId w:val="1"/>
        </w:numPr>
        <w:jc w:val="both"/>
        <w:rPr>
          <w:rFonts w:ascii="Book Antiqua" w:hAnsi="Book Antiqua"/>
          <w:sz w:val="24"/>
          <w:szCs w:val="24"/>
        </w:rPr>
      </w:pPr>
      <w:r w:rsidRPr="00DD3907">
        <w:rPr>
          <w:rFonts w:ascii="Book Antiqua" w:hAnsi="Book Antiqua"/>
          <w:sz w:val="24"/>
          <w:szCs w:val="24"/>
        </w:rPr>
        <w:t>I have carefully considered the decision of the First-tier Tribunal</w:t>
      </w:r>
      <w:r w:rsidR="00643137" w:rsidRPr="00DD3907">
        <w:rPr>
          <w:rFonts w:ascii="Book Antiqua" w:hAnsi="Book Antiqua"/>
          <w:sz w:val="24"/>
          <w:szCs w:val="24"/>
        </w:rPr>
        <w:t xml:space="preserve"> </w:t>
      </w:r>
      <w:r w:rsidRPr="00DD3907">
        <w:rPr>
          <w:rFonts w:ascii="Book Antiqua" w:hAnsi="Book Antiqua"/>
          <w:sz w:val="24"/>
          <w:szCs w:val="24"/>
        </w:rPr>
        <w:t xml:space="preserve">in the light of the submissions </w:t>
      </w:r>
      <w:r w:rsidR="005F441B" w:rsidRPr="00DD3907">
        <w:rPr>
          <w:rFonts w:ascii="Book Antiqua" w:hAnsi="Book Antiqua"/>
          <w:sz w:val="24"/>
          <w:szCs w:val="24"/>
        </w:rPr>
        <w:t>made to me at the remote hearing</w:t>
      </w:r>
      <w:r w:rsidR="00FF7701" w:rsidRPr="00DD3907">
        <w:rPr>
          <w:rFonts w:ascii="Book Antiqua" w:hAnsi="Book Antiqua"/>
          <w:sz w:val="24"/>
          <w:szCs w:val="24"/>
        </w:rPr>
        <w:t>, the grant of permission,</w:t>
      </w:r>
      <w:r w:rsidR="005F441B" w:rsidRPr="00DD3907">
        <w:rPr>
          <w:rFonts w:ascii="Book Antiqua" w:hAnsi="Book Antiqua"/>
          <w:sz w:val="24"/>
          <w:szCs w:val="24"/>
        </w:rPr>
        <w:t xml:space="preserve"> </w:t>
      </w:r>
      <w:r w:rsidRPr="00DD3907">
        <w:rPr>
          <w:rFonts w:ascii="Book Antiqua" w:hAnsi="Book Antiqua"/>
          <w:sz w:val="24"/>
          <w:szCs w:val="24"/>
        </w:rPr>
        <w:t xml:space="preserve">and </w:t>
      </w:r>
      <w:r w:rsidR="00FF7701" w:rsidRPr="00DD3907">
        <w:rPr>
          <w:rFonts w:ascii="Book Antiqua" w:hAnsi="Book Antiqua"/>
          <w:sz w:val="24"/>
          <w:szCs w:val="24"/>
        </w:rPr>
        <w:t>Ms Cleghorn’s</w:t>
      </w:r>
      <w:r w:rsidRPr="00DD3907">
        <w:rPr>
          <w:rFonts w:ascii="Book Antiqua" w:hAnsi="Book Antiqua"/>
          <w:sz w:val="24"/>
          <w:szCs w:val="24"/>
        </w:rPr>
        <w:t xml:space="preserve"> </w:t>
      </w:r>
      <w:r w:rsidR="00176801" w:rsidRPr="00DD3907">
        <w:rPr>
          <w:rFonts w:ascii="Book Antiqua" w:hAnsi="Book Antiqua"/>
          <w:sz w:val="24"/>
          <w:szCs w:val="24"/>
        </w:rPr>
        <w:t xml:space="preserve">well-drafted </w:t>
      </w:r>
      <w:r w:rsidRPr="00DD3907">
        <w:rPr>
          <w:rFonts w:ascii="Book Antiqua" w:hAnsi="Book Antiqua"/>
          <w:sz w:val="24"/>
          <w:szCs w:val="24"/>
        </w:rPr>
        <w:t xml:space="preserve">grounds of application for permission to appeal to the Upper Tribunal.  </w:t>
      </w:r>
    </w:p>
    <w:p w14:paraId="4A4D2C9B" w14:textId="2FE6BA5C" w:rsidR="006E6A15" w:rsidRPr="00DD3907" w:rsidRDefault="00176801" w:rsidP="00741F22">
      <w:pPr>
        <w:numPr>
          <w:ilvl w:val="0"/>
          <w:numId w:val="1"/>
        </w:numPr>
        <w:jc w:val="both"/>
        <w:rPr>
          <w:rFonts w:ascii="Book Antiqua" w:hAnsi="Book Antiqua"/>
          <w:sz w:val="24"/>
          <w:szCs w:val="24"/>
        </w:rPr>
      </w:pPr>
      <w:r w:rsidRPr="00DD3907">
        <w:rPr>
          <w:rFonts w:ascii="Book Antiqua" w:hAnsi="Book Antiqua"/>
          <w:sz w:val="24"/>
          <w:szCs w:val="24"/>
        </w:rPr>
        <w:t>The</w:t>
      </w:r>
      <w:r w:rsidR="006E6A15" w:rsidRPr="00DD3907">
        <w:rPr>
          <w:rFonts w:ascii="Book Antiqua" w:hAnsi="Book Antiqua"/>
          <w:sz w:val="24"/>
          <w:szCs w:val="24"/>
        </w:rPr>
        <w:t xml:space="preserve"> grounds of application for permission to appeal </w:t>
      </w:r>
      <w:r w:rsidR="007E325B" w:rsidRPr="00DD3907">
        <w:rPr>
          <w:rFonts w:ascii="Book Antiqua" w:hAnsi="Book Antiqua"/>
          <w:sz w:val="24"/>
          <w:szCs w:val="24"/>
        </w:rPr>
        <w:t xml:space="preserve">first argue </w:t>
      </w:r>
      <w:r w:rsidR="00B43D8D" w:rsidRPr="00DD3907">
        <w:rPr>
          <w:rFonts w:ascii="Book Antiqua" w:hAnsi="Book Antiqua"/>
          <w:sz w:val="24"/>
          <w:szCs w:val="24"/>
        </w:rPr>
        <w:t xml:space="preserve">(G1) </w:t>
      </w:r>
      <w:r w:rsidR="006E6A15" w:rsidRPr="00DD3907">
        <w:rPr>
          <w:rFonts w:ascii="Book Antiqua" w:hAnsi="Book Antiqua"/>
          <w:sz w:val="24"/>
          <w:szCs w:val="24"/>
        </w:rPr>
        <w:t>that the First-tier Tribunal</w:t>
      </w:r>
      <w:r w:rsidR="00BB51C0" w:rsidRPr="00DD3907">
        <w:rPr>
          <w:rFonts w:ascii="Book Antiqua" w:hAnsi="Book Antiqua"/>
          <w:sz w:val="24"/>
          <w:szCs w:val="24"/>
        </w:rPr>
        <w:t xml:space="preserve"> placed undue reliance on discrepancies between the Screening Interview and other evidence</w:t>
      </w:r>
      <w:r w:rsidR="00067366" w:rsidRPr="00DD3907">
        <w:rPr>
          <w:rFonts w:ascii="Book Antiqua" w:hAnsi="Book Antiqua"/>
          <w:sz w:val="24"/>
          <w:szCs w:val="24"/>
        </w:rPr>
        <w:t xml:space="preserve">, causing the Tribunal to have grave concerns as to the reliability of the </w:t>
      </w:r>
      <w:r w:rsidR="007E325B" w:rsidRPr="00DD3907">
        <w:rPr>
          <w:rFonts w:ascii="Book Antiqua" w:hAnsi="Book Antiqua"/>
          <w:sz w:val="24"/>
          <w:szCs w:val="24"/>
        </w:rPr>
        <w:t xml:space="preserve">evidence adduced in support of the appellant. </w:t>
      </w:r>
    </w:p>
    <w:p w14:paraId="00444F46" w14:textId="73C153B1" w:rsidR="007E325B" w:rsidRPr="00DD3907" w:rsidRDefault="007E325B" w:rsidP="00741F22">
      <w:pPr>
        <w:numPr>
          <w:ilvl w:val="0"/>
          <w:numId w:val="1"/>
        </w:numPr>
        <w:jc w:val="both"/>
        <w:rPr>
          <w:rFonts w:ascii="Book Antiqua" w:hAnsi="Book Antiqua"/>
          <w:sz w:val="24"/>
          <w:szCs w:val="24"/>
        </w:rPr>
      </w:pPr>
      <w:r w:rsidRPr="00DD3907">
        <w:rPr>
          <w:rFonts w:ascii="Book Antiqua" w:hAnsi="Book Antiqua"/>
          <w:sz w:val="24"/>
          <w:szCs w:val="24"/>
        </w:rPr>
        <w:t xml:space="preserve">It is also argued (G2) that the judge failed to </w:t>
      </w:r>
      <w:r w:rsidR="00E21F57" w:rsidRPr="00DD3907">
        <w:rPr>
          <w:rFonts w:ascii="Book Antiqua" w:hAnsi="Book Antiqua"/>
          <w:sz w:val="24"/>
          <w:szCs w:val="24"/>
        </w:rPr>
        <w:t xml:space="preserve">consider the supporting evidence of MK, that </w:t>
      </w:r>
      <w:r w:rsidR="005B5964" w:rsidRPr="00DD3907">
        <w:rPr>
          <w:rFonts w:ascii="Book Antiqua" w:hAnsi="Book Antiqua"/>
          <w:sz w:val="24"/>
          <w:szCs w:val="24"/>
        </w:rPr>
        <w:t>impermissible findings were made in relation to the appellant’s alleged hospitalisation (G3)</w:t>
      </w:r>
      <w:r w:rsidR="00B43D8D" w:rsidRPr="00DD3907">
        <w:rPr>
          <w:rFonts w:ascii="Book Antiqua" w:hAnsi="Book Antiqua"/>
          <w:sz w:val="24"/>
          <w:szCs w:val="24"/>
        </w:rPr>
        <w:t>;</w:t>
      </w:r>
      <w:r w:rsidR="005B5964" w:rsidRPr="00DD3907">
        <w:rPr>
          <w:rFonts w:ascii="Book Antiqua" w:hAnsi="Book Antiqua"/>
          <w:sz w:val="24"/>
          <w:szCs w:val="24"/>
        </w:rPr>
        <w:t xml:space="preserve"> </w:t>
      </w:r>
      <w:r w:rsidR="00B43D8D" w:rsidRPr="00DD3907">
        <w:rPr>
          <w:rFonts w:ascii="Book Antiqua" w:hAnsi="Book Antiqua"/>
          <w:sz w:val="24"/>
          <w:szCs w:val="24"/>
        </w:rPr>
        <w:t>that the judge failed to apply the HJ (Iran) principle to consider how the appellant would behave on return to Iran (G4); and failed to consider material evidence</w:t>
      </w:r>
      <w:r w:rsidR="00863C6C" w:rsidRPr="00DD3907">
        <w:rPr>
          <w:rFonts w:ascii="Book Antiqua" w:hAnsi="Book Antiqua"/>
          <w:sz w:val="24"/>
          <w:szCs w:val="24"/>
        </w:rPr>
        <w:t>, in particular the appellant’s claim that she had been raped (G5).</w:t>
      </w:r>
    </w:p>
    <w:p w14:paraId="429D8AE4" w14:textId="1D252C4F" w:rsidR="000B18DA" w:rsidRPr="00DD3907" w:rsidRDefault="00364C01" w:rsidP="003D4C06">
      <w:pPr>
        <w:numPr>
          <w:ilvl w:val="0"/>
          <w:numId w:val="1"/>
        </w:numPr>
        <w:jc w:val="both"/>
        <w:rPr>
          <w:rFonts w:ascii="Book Antiqua" w:hAnsi="Book Antiqua"/>
          <w:sz w:val="24"/>
          <w:szCs w:val="24"/>
        </w:rPr>
      </w:pPr>
      <w:r w:rsidRPr="00DD3907">
        <w:rPr>
          <w:rFonts w:ascii="Book Antiqua" w:hAnsi="Book Antiqua"/>
          <w:sz w:val="24"/>
          <w:szCs w:val="24"/>
        </w:rPr>
        <w:t>Per</w:t>
      </w:r>
      <w:r w:rsidR="002E282F" w:rsidRPr="00DD3907">
        <w:rPr>
          <w:rFonts w:ascii="Book Antiqua" w:hAnsi="Book Antiqua"/>
          <w:sz w:val="24"/>
          <w:szCs w:val="24"/>
        </w:rPr>
        <w:t xml:space="preserve">mission to appeal was granted </w:t>
      </w:r>
      <w:r w:rsidR="00295A16" w:rsidRPr="00DD3907">
        <w:rPr>
          <w:rFonts w:ascii="Book Antiqua" w:hAnsi="Book Antiqua"/>
          <w:sz w:val="24"/>
          <w:szCs w:val="24"/>
        </w:rPr>
        <w:t>on limited grounds by First-tier Tribunal Judge Page on 22.5.20</w:t>
      </w:r>
      <w:r w:rsidR="00863C6C" w:rsidRPr="00DD3907">
        <w:rPr>
          <w:rFonts w:ascii="Book Antiqua" w:hAnsi="Book Antiqua"/>
          <w:sz w:val="24"/>
          <w:szCs w:val="24"/>
        </w:rPr>
        <w:t xml:space="preserve">. </w:t>
      </w:r>
      <w:r w:rsidR="002E676E" w:rsidRPr="00DD3907">
        <w:rPr>
          <w:rFonts w:ascii="Book Antiqua" w:hAnsi="Book Antiqua"/>
          <w:sz w:val="24"/>
          <w:szCs w:val="24"/>
        </w:rPr>
        <w:t xml:space="preserve">In respect of G1, </w:t>
      </w:r>
      <w:r w:rsidR="000B1129" w:rsidRPr="00DD3907">
        <w:rPr>
          <w:rFonts w:ascii="Book Antiqua" w:hAnsi="Book Antiqua"/>
          <w:sz w:val="24"/>
          <w:szCs w:val="24"/>
        </w:rPr>
        <w:t>Judge Page</w:t>
      </w:r>
      <w:r w:rsidR="002E676E" w:rsidRPr="00DD3907">
        <w:rPr>
          <w:rFonts w:ascii="Book Antiqua" w:hAnsi="Book Antiqua"/>
          <w:sz w:val="24"/>
          <w:szCs w:val="24"/>
        </w:rPr>
        <w:t xml:space="preserve"> considered</w:t>
      </w:r>
      <w:r w:rsidR="000B1129" w:rsidRPr="00DD3907">
        <w:rPr>
          <w:rFonts w:ascii="Book Antiqua" w:hAnsi="Book Antiqua"/>
          <w:sz w:val="24"/>
          <w:szCs w:val="24"/>
        </w:rPr>
        <w:t xml:space="preserve"> that the judge’s remarks were ‘cursive</w:t>
      </w:r>
      <w:r w:rsidR="000B1F35" w:rsidRPr="00DD3907">
        <w:rPr>
          <w:rFonts w:ascii="Book Antiqua" w:hAnsi="Book Antiqua"/>
          <w:sz w:val="24"/>
          <w:szCs w:val="24"/>
        </w:rPr>
        <w:t xml:space="preserve">’; in respect of G2 it </w:t>
      </w:r>
      <w:r w:rsidR="000F4BF2" w:rsidRPr="00DD3907">
        <w:rPr>
          <w:rFonts w:ascii="Book Antiqua" w:hAnsi="Book Antiqua"/>
          <w:sz w:val="24"/>
          <w:szCs w:val="24"/>
        </w:rPr>
        <w:t xml:space="preserve">was considered </w:t>
      </w:r>
      <w:r w:rsidR="000B1F35" w:rsidRPr="00DD3907">
        <w:rPr>
          <w:rFonts w:ascii="Book Antiqua" w:hAnsi="Book Antiqua"/>
          <w:sz w:val="24"/>
          <w:szCs w:val="24"/>
        </w:rPr>
        <w:t xml:space="preserve">arguable that the judge </w:t>
      </w:r>
      <w:proofErr w:type="gramStart"/>
      <w:r w:rsidR="000B1F35" w:rsidRPr="00DD3907">
        <w:rPr>
          <w:rFonts w:ascii="Book Antiqua" w:hAnsi="Book Antiqua"/>
          <w:sz w:val="24"/>
          <w:szCs w:val="24"/>
        </w:rPr>
        <w:t>gave inadequate consideration to</w:t>
      </w:r>
      <w:proofErr w:type="gramEnd"/>
      <w:r w:rsidR="000B1F35" w:rsidRPr="00DD3907">
        <w:rPr>
          <w:rFonts w:ascii="Book Antiqua" w:hAnsi="Book Antiqua"/>
          <w:sz w:val="24"/>
          <w:szCs w:val="24"/>
        </w:rPr>
        <w:t xml:space="preserve"> the evidence of MK</w:t>
      </w:r>
      <w:r w:rsidR="00CB79E7" w:rsidRPr="00DD3907">
        <w:rPr>
          <w:rFonts w:ascii="Book Antiqua" w:hAnsi="Book Antiqua"/>
          <w:sz w:val="24"/>
          <w:szCs w:val="24"/>
        </w:rPr>
        <w:t xml:space="preserve"> and, if the evidence was not accepted</w:t>
      </w:r>
      <w:r w:rsidR="00880F67" w:rsidRPr="00DD3907">
        <w:rPr>
          <w:rFonts w:ascii="Book Antiqua" w:hAnsi="Book Antiqua"/>
          <w:sz w:val="24"/>
          <w:szCs w:val="24"/>
        </w:rPr>
        <w:t xml:space="preserve"> or given very little weight</w:t>
      </w:r>
      <w:r w:rsidR="00CB79E7" w:rsidRPr="00DD3907">
        <w:rPr>
          <w:rFonts w:ascii="Book Antiqua" w:hAnsi="Book Antiqua"/>
          <w:sz w:val="24"/>
          <w:szCs w:val="24"/>
        </w:rPr>
        <w:t xml:space="preserve">, </w:t>
      </w:r>
      <w:r w:rsidR="000F4BF2" w:rsidRPr="00DD3907">
        <w:rPr>
          <w:rFonts w:ascii="Book Antiqua" w:hAnsi="Book Antiqua"/>
          <w:sz w:val="24"/>
          <w:szCs w:val="24"/>
        </w:rPr>
        <w:t xml:space="preserve">the judge </w:t>
      </w:r>
      <w:r w:rsidR="00CB79E7" w:rsidRPr="00DD3907">
        <w:rPr>
          <w:rFonts w:ascii="Book Antiqua" w:hAnsi="Book Antiqua"/>
          <w:sz w:val="24"/>
          <w:szCs w:val="24"/>
        </w:rPr>
        <w:t xml:space="preserve">failed to give </w:t>
      </w:r>
      <w:r w:rsidR="00880F67" w:rsidRPr="00DD3907">
        <w:rPr>
          <w:rFonts w:ascii="Book Antiqua" w:hAnsi="Book Antiqua"/>
          <w:sz w:val="24"/>
          <w:szCs w:val="24"/>
        </w:rPr>
        <w:t xml:space="preserve">adequate </w:t>
      </w:r>
      <w:r w:rsidR="00CB79E7" w:rsidRPr="00DD3907">
        <w:rPr>
          <w:rFonts w:ascii="Book Antiqua" w:hAnsi="Book Antiqua"/>
          <w:sz w:val="24"/>
          <w:szCs w:val="24"/>
        </w:rPr>
        <w:t>reasons</w:t>
      </w:r>
      <w:r w:rsidR="00A155E9" w:rsidRPr="00DD3907">
        <w:rPr>
          <w:rFonts w:ascii="Book Antiqua" w:hAnsi="Book Antiqua"/>
          <w:sz w:val="24"/>
          <w:szCs w:val="24"/>
        </w:rPr>
        <w:t>.</w:t>
      </w:r>
      <w:r w:rsidR="00CB79E7" w:rsidRPr="00DD3907">
        <w:rPr>
          <w:rFonts w:ascii="Book Antiqua" w:hAnsi="Book Antiqua"/>
          <w:sz w:val="24"/>
          <w:szCs w:val="24"/>
        </w:rPr>
        <w:t xml:space="preserve"> </w:t>
      </w:r>
      <w:r w:rsidR="003B3E9E" w:rsidRPr="00DD3907">
        <w:rPr>
          <w:rFonts w:ascii="Book Antiqua" w:hAnsi="Book Antiqua"/>
          <w:sz w:val="24"/>
          <w:szCs w:val="24"/>
        </w:rPr>
        <w:t>In respect of G4</w:t>
      </w:r>
      <w:r w:rsidR="00620162" w:rsidRPr="00DD3907">
        <w:rPr>
          <w:rFonts w:ascii="Book Antiqua" w:hAnsi="Book Antiqua"/>
          <w:sz w:val="24"/>
          <w:szCs w:val="24"/>
        </w:rPr>
        <w:t xml:space="preserve">, at [27] the judge had accepted that if she had come to the attention of the authorities in 2017, as alleged, </w:t>
      </w:r>
      <w:r w:rsidR="00C15728" w:rsidRPr="00DD3907">
        <w:rPr>
          <w:rFonts w:ascii="Book Antiqua" w:hAnsi="Book Antiqua"/>
          <w:sz w:val="24"/>
          <w:szCs w:val="24"/>
        </w:rPr>
        <w:t>she would be at risk on return.</w:t>
      </w:r>
      <w:r w:rsidR="00A155E9" w:rsidRPr="00DD3907">
        <w:rPr>
          <w:rFonts w:ascii="Book Antiqua" w:hAnsi="Book Antiqua"/>
          <w:sz w:val="24"/>
          <w:szCs w:val="24"/>
        </w:rPr>
        <w:t xml:space="preserve"> I</w:t>
      </w:r>
      <w:r w:rsidR="00E66A42" w:rsidRPr="00DD3907">
        <w:rPr>
          <w:rFonts w:ascii="Book Antiqua" w:hAnsi="Book Antiqua"/>
          <w:sz w:val="24"/>
          <w:szCs w:val="24"/>
        </w:rPr>
        <w:t>t was considered arguable that</w:t>
      </w:r>
      <w:r w:rsidR="005A6092" w:rsidRPr="00DD3907">
        <w:rPr>
          <w:rFonts w:ascii="Book Antiqua" w:hAnsi="Book Antiqua"/>
          <w:sz w:val="24"/>
          <w:szCs w:val="24"/>
        </w:rPr>
        <w:t>,</w:t>
      </w:r>
      <w:r w:rsidR="00E66A42" w:rsidRPr="00DD3907">
        <w:rPr>
          <w:rFonts w:ascii="Book Antiqua" w:hAnsi="Book Antiqua"/>
          <w:sz w:val="24"/>
          <w:szCs w:val="24"/>
        </w:rPr>
        <w:t xml:space="preserve"> given </w:t>
      </w:r>
      <w:r w:rsidR="003C5FC5" w:rsidRPr="00DD3907">
        <w:rPr>
          <w:rFonts w:ascii="Book Antiqua" w:hAnsi="Book Antiqua"/>
          <w:sz w:val="24"/>
          <w:szCs w:val="24"/>
        </w:rPr>
        <w:t xml:space="preserve">it was </w:t>
      </w:r>
      <w:r w:rsidR="00E66A42" w:rsidRPr="00DD3907">
        <w:rPr>
          <w:rFonts w:ascii="Book Antiqua" w:hAnsi="Book Antiqua"/>
          <w:sz w:val="24"/>
          <w:szCs w:val="24"/>
        </w:rPr>
        <w:t>accepted that the appellant was a member of the Iran National Front</w:t>
      </w:r>
      <w:r w:rsidR="005A6092" w:rsidRPr="00DD3907">
        <w:rPr>
          <w:rFonts w:ascii="Book Antiqua" w:hAnsi="Book Antiqua"/>
          <w:sz w:val="24"/>
          <w:szCs w:val="24"/>
        </w:rPr>
        <w:t>, the judge did not consider how she</w:t>
      </w:r>
      <w:r w:rsidR="009B12CC" w:rsidRPr="00DD3907">
        <w:rPr>
          <w:rFonts w:ascii="Book Antiqua" w:hAnsi="Book Antiqua"/>
          <w:sz w:val="24"/>
          <w:szCs w:val="24"/>
        </w:rPr>
        <w:t xml:space="preserve"> would manifest her political opinions on </w:t>
      </w:r>
      <w:r w:rsidR="005A6092" w:rsidRPr="00DD3907">
        <w:rPr>
          <w:rFonts w:ascii="Book Antiqua" w:hAnsi="Book Antiqua"/>
          <w:sz w:val="24"/>
          <w:szCs w:val="24"/>
        </w:rPr>
        <w:t>return to Iran</w:t>
      </w:r>
      <w:r w:rsidR="009B12CC" w:rsidRPr="00DD3907">
        <w:rPr>
          <w:rFonts w:ascii="Book Antiqua" w:hAnsi="Book Antiqua"/>
          <w:sz w:val="24"/>
          <w:szCs w:val="24"/>
        </w:rPr>
        <w:t xml:space="preserve">. In respect of G5, it was considered arguable that </w:t>
      </w:r>
      <w:r w:rsidR="0035223A" w:rsidRPr="00DD3907">
        <w:rPr>
          <w:rFonts w:ascii="Book Antiqua" w:hAnsi="Book Antiqua"/>
          <w:sz w:val="24"/>
          <w:szCs w:val="24"/>
        </w:rPr>
        <w:t xml:space="preserve">the judge failed to consider material evidence </w:t>
      </w:r>
      <w:r w:rsidR="004515AA" w:rsidRPr="00DD3907">
        <w:rPr>
          <w:rFonts w:ascii="Book Antiqua" w:hAnsi="Book Antiqua"/>
          <w:sz w:val="24"/>
          <w:szCs w:val="24"/>
        </w:rPr>
        <w:t>in stating at [29(1)] that the appellant had given no real detail of the treatment she had received</w:t>
      </w:r>
      <w:r w:rsidR="0035223A" w:rsidRPr="00DD3907">
        <w:rPr>
          <w:rFonts w:ascii="Book Antiqua" w:hAnsi="Book Antiqua"/>
          <w:sz w:val="24"/>
          <w:szCs w:val="24"/>
        </w:rPr>
        <w:t xml:space="preserve">, despite having noted </w:t>
      </w:r>
      <w:r w:rsidR="001717E4" w:rsidRPr="00DD3907">
        <w:rPr>
          <w:rFonts w:ascii="Book Antiqua" w:hAnsi="Book Antiqua"/>
          <w:sz w:val="24"/>
          <w:szCs w:val="24"/>
        </w:rPr>
        <w:t xml:space="preserve">at [16] </w:t>
      </w:r>
      <w:r w:rsidR="00B74DC2" w:rsidRPr="00DD3907">
        <w:rPr>
          <w:rFonts w:ascii="Book Antiqua" w:hAnsi="Book Antiqua"/>
          <w:sz w:val="24"/>
          <w:szCs w:val="24"/>
        </w:rPr>
        <w:t xml:space="preserve">the appellant’s core account </w:t>
      </w:r>
      <w:r w:rsidR="001717E4" w:rsidRPr="00DD3907">
        <w:rPr>
          <w:rFonts w:ascii="Book Antiqua" w:hAnsi="Book Antiqua"/>
          <w:sz w:val="24"/>
          <w:szCs w:val="24"/>
        </w:rPr>
        <w:t>that she had been raped during a three-day detention</w:t>
      </w:r>
      <w:r w:rsidR="006749B1" w:rsidRPr="00DD3907">
        <w:rPr>
          <w:rFonts w:ascii="Book Antiqua" w:hAnsi="Book Antiqua"/>
          <w:sz w:val="24"/>
          <w:szCs w:val="24"/>
        </w:rPr>
        <w:t xml:space="preserve">. </w:t>
      </w:r>
    </w:p>
    <w:p w14:paraId="6424BCF9" w14:textId="44E46DA7" w:rsidR="00880F67" w:rsidRPr="00DD3907" w:rsidRDefault="00880F67" w:rsidP="003D4C06">
      <w:pPr>
        <w:numPr>
          <w:ilvl w:val="0"/>
          <w:numId w:val="1"/>
        </w:numPr>
        <w:jc w:val="both"/>
        <w:rPr>
          <w:rFonts w:ascii="Book Antiqua" w:hAnsi="Book Antiqua"/>
          <w:sz w:val="24"/>
          <w:szCs w:val="24"/>
        </w:rPr>
      </w:pPr>
      <w:r w:rsidRPr="00DD3907">
        <w:rPr>
          <w:rFonts w:ascii="Book Antiqua" w:hAnsi="Book Antiqua"/>
          <w:sz w:val="24"/>
          <w:szCs w:val="24"/>
        </w:rPr>
        <w:t>Permission was refused in respect of G3</w:t>
      </w:r>
      <w:r w:rsidR="00BE391F" w:rsidRPr="00DD3907">
        <w:rPr>
          <w:rFonts w:ascii="Book Antiqua" w:hAnsi="Book Antiqua"/>
          <w:sz w:val="24"/>
          <w:szCs w:val="24"/>
        </w:rPr>
        <w:t xml:space="preserve">, on the basis that the </w:t>
      </w:r>
      <w:r w:rsidR="00591B1F" w:rsidRPr="00DD3907">
        <w:rPr>
          <w:rFonts w:ascii="Book Antiqua" w:hAnsi="Book Antiqua"/>
          <w:sz w:val="24"/>
          <w:szCs w:val="24"/>
        </w:rPr>
        <w:t xml:space="preserve">claim as to </w:t>
      </w:r>
      <w:r w:rsidR="00BE391F" w:rsidRPr="00DD3907">
        <w:rPr>
          <w:rFonts w:ascii="Book Antiqua" w:hAnsi="Book Antiqua"/>
          <w:sz w:val="24"/>
          <w:szCs w:val="24"/>
        </w:rPr>
        <w:t xml:space="preserve">hospitalisation </w:t>
      </w:r>
      <w:r w:rsidR="00591B1F" w:rsidRPr="00DD3907">
        <w:rPr>
          <w:rFonts w:ascii="Book Antiqua" w:hAnsi="Book Antiqua"/>
          <w:sz w:val="24"/>
          <w:szCs w:val="24"/>
        </w:rPr>
        <w:t>for spinal surgery</w:t>
      </w:r>
      <w:r w:rsidR="00A27265" w:rsidRPr="00DD3907">
        <w:rPr>
          <w:rFonts w:ascii="Book Antiqua" w:hAnsi="Book Antiqua"/>
          <w:sz w:val="24"/>
          <w:szCs w:val="24"/>
        </w:rPr>
        <w:t xml:space="preserve"> was a credibility issue</w:t>
      </w:r>
      <w:r w:rsidR="003B3E9E" w:rsidRPr="00DD3907">
        <w:rPr>
          <w:rFonts w:ascii="Book Antiqua" w:hAnsi="Book Antiqua"/>
          <w:sz w:val="24"/>
          <w:szCs w:val="24"/>
        </w:rPr>
        <w:t xml:space="preserve"> rather than a medical finding, as alleged.</w:t>
      </w:r>
    </w:p>
    <w:p w14:paraId="0A4F7A1C" w14:textId="71AF1746" w:rsidR="00176801" w:rsidRPr="00DD3907" w:rsidRDefault="00176801" w:rsidP="003D4C06">
      <w:pPr>
        <w:numPr>
          <w:ilvl w:val="0"/>
          <w:numId w:val="1"/>
        </w:numPr>
        <w:jc w:val="both"/>
        <w:rPr>
          <w:rFonts w:ascii="Book Antiqua" w:hAnsi="Book Antiqua"/>
          <w:sz w:val="24"/>
          <w:szCs w:val="24"/>
        </w:rPr>
      </w:pPr>
      <w:r w:rsidRPr="00DD3907">
        <w:rPr>
          <w:rFonts w:ascii="Book Antiqua" w:hAnsi="Book Antiqua"/>
          <w:sz w:val="24"/>
          <w:szCs w:val="24"/>
        </w:rPr>
        <w:t>At the outset of the hearing, Ms Cleghorn sought to renew the application for permission on G</w:t>
      </w:r>
      <w:r w:rsidR="00571C85" w:rsidRPr="00DD3907">
        <w:rPr>
          <w:rFonts w:ascii="Book Antiqua" w:hAnsi="Book Antiqua"/>
          <w:sz w:val="24"/>
          <w:szCs w:val="24"/>
        </w:rPr>
        <w:t>3, arguing that it was “part and parcel” of the overall grounds and should be considered. I reserved my decision on that, but</w:t>
      </w:r>
      <w:r w:rsidR="00B66570" w:rsidRPr="00DD3907">
        <w:rPr>
          <w:rFonts w:ascii="Book Antiqua" w:hAnsi="Book Antiqua"/>
          <w:sz w:val="24"/>
          <w:szCs w:val="24"/>
        </w:rPr>
        <w:t xml:space="preserve"> on reflection agree that G3 should also be considered in the error of law considerations. </w:t>
      </w:r>
    </w:p>
    <w:p w14:paraId="1251B4DE" w14:textId="4EED3986" w:rsidR="00DA2059" w:rsidRPr="00DD3907" w:rsidRDefault="00712424" w:rsidP="00C67D19">
      <w:pPr>
        <w:numPr>
          <w:ilvl w:val="0"/>
          <w:numId w:val="1"/>
        </w:numPr>
        <w:jc w:val="both"/>
        <w:rPr>
          <w:rFonts w:ascii="Book Antiqua" w:hAnsi="Book Antiqua"/>
          <w:sz w:val="24"/>
          <w:szCs w:val="24"/>
        </w:rPr>
      </w:pPr>
      <w:r w:rsidRPr="00DD3907">
        <w:rPr>
          <w:rFonts w:ascii="Book Antiqua" w:hAnsi="Book Antiqua"/>
          <w:sz w:val="24"/>
          <w:szCs w:val="24"/>
        </w:rPr>
        <w:t>In relation to all the grounds, i</w:t>
      </w:r>
      <w:r w:rsidR="00DA2059" w:rsidRPr="00DD3907">
        <w:rPr>
          <w:rFonts w:ascii="Book Antiqua" w:hAnsi="Book Antiqua"/>
          <w:sz w:val="24"/>
          <w:szCs w:val="24"/>
        </w:rPr>
        <w:t xml:space="preserve">t is important to note </w:t>
      </w:r>
      <w:r w:rsidR="00B66570" w:rsidRPr="00DD3907">
        <w:rPr>
          <w:rFonts w:ascii="Book Antiqua" w:hAnsi="Book Antiqua"/>
          <w:sz w:val="24"/>
          <w:szCs w:val="24"/>
        </w:rPr>
        <w:t xml:space="preserve">at the outset </w:t>
      </w:r>
      <w:r w:rsidR="00DA2059" w:rsidRPr="00DD3907">
        <w:rPr>
          <w:rFonts w:ascii="Book Antiqua" w:hAnsi="Book Antiqua"/>
          <w:sz w:val="24"/>
          <w:szCs w:val="24"/>
        </w:rPr>
        <w:t xml:space="preserve">that at [5], again at [28], and again at [31] the judge confirmed that all evidence had been </w:t>
      </w:r>
      <w:proofErr w:type="gramStart"/>
      <w:r w:rsidR="00DA2059" w:rsidRPr="00DD3907">
        <w:rPr>
          <w:rFonts w:ascii="Book Antiqua" w:hAnsi="Book Antiqua"/>
          <w:sz w:val="24"/>
          <w:szCs w:val="24"/>
        </w:rPr>
        <w:t xml:space="preserve">taken into </w:t>
      </w:r>
      <w:r w:rsidR="00DA2059" w:rsidRPr="00DD3907">
        <w:rPr>
          <w:rFonts w:ascii="Book Antiqua" w:hAnsi="Book Antiqua"/>
          <w:sz w:val="24"/>
          <w:szCs w:val="24"/>
        </w:rPr>
        <w:lastRenderedPageBreak/>
        <w:t>account</w:t>
      </w:r>
      <w:proofErr w:type="gramEnd"/>
      <w:r w:rsidR="00DA2059" w:rsidRPr="00DD3907">
        <w:rPr>
          <w:rFonts w:ascii="Book Antiqua" w:hAnsi="Book Antiqua"/>
          <w:sz w:val="24"/>
          <w:szCs w:val="24"/>
        </w:rPr>
        <w:t xml:space="preserve"> in the round before findings were made. At [31] the judge explained that anxious consideration had been given to the “considerable volume of evidence,” and that as much credit as the judge could was given to the limited consistency of the appellant’s account. The </w:t>
      </w:r>
      <w:r w:rsidR="0002611F" w:rsidRPr="00DD3907">
        <w:rPr>
          <w:rFonts w:ascii="Book Antiqua" w:hAnsi="Book Antiqua"/>
          <w:sz w:val="24"/>
          <w:szCs w:val="24"/>
        </w:rPr>
        <w:t xml:space="preserve">also </w:t>
      </w:r>
      <w:r w:rsidR="00DA2059" w:rsidRPr="00DD3907">
        <w:rPr>
          <w:rFonts w:ascii="Book Antiqua" w:hAnsi="Book Antiqua"/>
          <w:sz w:val="24"/>
          <w:szCs w:val="24"/>
        </w:rPr>
        <w:t>judge stated, “I also take account that at the SI the Appellant had only just arrived in the UK and that the interpreter used for that interview was present only by telephone.”</w:t>
      </w:r>
    </w:p>
    <w:p w14:paraId="5AF55F31" w14:textId="67CAC82D" w:rsidR="00DA2059" w:rsidRPr="00DD3907" w:rsidRDefault="00DA2059" w:rsidP="00DA2059">
      <w:pPr>
        <w:jc w:val="both"/>
        <w:rPr>
          <w:rFonts w:ascii="Book Antiqua" w:hAnsi="Book Antiqua"/>
          <w:sz w:val="24"/>
          <w:szCs w:val="24"/>
        </w:rPr>
      </w:pPr>
      <w:r w:rsidRPr="00DD3907">
        <w:rPr>
          <w:rFonts w:ascii="Book Antiqua" w:hAnsi="Book Antiqua"/>
          <w:sz w:val="24"/>
          <w:szCs w:val="24"/>
        </w:rPr>
        <w:t>Ground 1</w:t>
      </w:r>
    </w:p>
    <w:p w14:paraId="6AA05DBA" w14:textId="73B3CAA2" w:rsidR="00B2364D" w:rsidRPr="00DD3907" w:rsidRDefault="00BD7823" w:rsidP="003D4C06">
      <w:pPr>
        <w:numPr>
          <w:ilvl w:val="0"/>
          <w:numId w:val="1"/>
        </w:numPr>
        <w:jc w:val="both"/>
        <w:rPr>
          <w:rFonts w:ascii="Book Antiqua" w:hAnsi="Book Antiqua"/>
          <w:sz w:val="24"/>
          <w:szCs w:val="24"/>
        </w:rPr>
      </w:pPr>
      <w:r w:rsidRPr="00DD3907">
        <w:rPr>
          <w:rFonts w:ascii="Book Antiqua" w:hAnsi="Book Antiqua"/>
          <w:sz w:val="24"/>
          <w:szCs w:val="24"/>
        </w:rPr>
        <w:t>The strongest of all five grounds is that in relation to G1 and the alleged over-reliance of the judge on the appellant’s account in the SI.</w:t>
      </w:r>
      <w:r w:rsidR="00B2364D" w:rsidRPr="00DD3907">
        <w:rPr>
          <w:rFonts w:ascii="Book Antiqua" w:hAnsi="Book Antiqua"/>
          <w:sz w:val="24"/>
          <w:szCs w:val="24"/>
        </w:rPr>
        <w:t xml:space="preserve"> As Ms Cleghorn submitted, several of the credibility findings can be traced back to the concerns about the SI. </w:t>
      </w:r>
    </w:p>
    <w:p w14:paraId="4BDC217A" w14:textId="09580AED" w:rsidR="009D05A1" w:rsidRPr="00DD3907" w:rsidRDefault="00F724AE" w:rsidP="003D4C06">
      <w:pPr>
        <w:numPr>
          <w:ilvl w:val="0"/>
          <w:numId w:val="1"/>
        </w:numPr>
        <w:jc w:val="both"/>
        <w:rPr>
          <w:rFonts w:ascii="Book Antiqua" w:hAnsi="Book Antiqua"/>
          <w:sz w:val="24"/>
          <w:szCs w:val="24"/>
        </w:rPr>
      </w:pPr>
      <w:r w:rsidRPr="00DD3907">
        <w:rPr>
          <w:rFonts w:ascii="Book Antiqua" w:hAnsi="Book Antiqua"/>
          <w:sz w:val="24"/>
          <w:szCs w:val="24"/>
        </w:rPr>
        <w:t xml:space="preserve">The judge summarised the appellant’s case given in the SI. I’ve also looked carefully at the SI, though the handwriting is a little difficult to read. </w:t>
      </w:r>
      <w:r w:rsidR="00B2364D" w:rsidRPr="00DD3907">
        <w:rPr>
          <w:rFonts w:ascii="Book Antiqua" w:hAnsi="Book Antiqua"/>
          <w:sz w:val="24"/>
          <w:szCs w:val="24"/>
        </w:rPr>
        <w:t xml:space="preserve">At </w:t>
      </w:r>
      <w:r w:rsidR="00AB6EE2" w:rsidRPr="00DD3907">
        <w:rPr>
          <w:rFonts w:ascii="Book Antiqua" w:hAnsi="Book Antiqua"/>
          <w:sz w:val="24"/>
          <w:szCs w:val="24"/>
        </w:rPr>
        <w:t>2.1</w:t>
      </w:r>
      <w:r w:rsidR="0064203B" w:rsidRPr="00DD3907">
        <w:rPr>
          <w:rFonts w:ascii="Book Antiqua" w:hAnsi="Book Antiqua"/>
          <w:sz w:val="24"/>
          <w:szCs w:val="24"/>
        </w:rPr>
        <w:t>,</w:t>
      </w:r>
      <w:r w:rsidR="00AB6EE2" w:rsidRPr="00DD3907">
        <w:rPr>
          <w:rFonts w:ascii="Book Antiqua" w:hAnsi="Book Antiqua"/>
          <w:sz w:val="24"/>
          <w:szCs w:val="24"/>
        </w:rPr>
        <w:t xml:space="preserve"> </w:t>
      </w:r>
      <w:r w:rsidR="008F7466" w:rsidRPr="00DD3907">
        <w:rPr>
          <w:rFonts w:ascii="Book Antiqua" w:hAnsi="Book Antiqua"/>
          <w:sz w:val="24"/>
          <w:szCs w:val="24"/>
        </w:rPr>
        <w:t xml:space="preserve">in reply to the question about medical conditions, </w:t>
      </w:r>
      <w:r w:rsidR="0064203B" w:rsidRPr="00DD3907">
        <w:rPr>
          <w:rFonts w:ascii="Book Antiqua" w:hAnsi="Book Antiqua"/>
          <w:sz w:val="24"/>
          <w:szCs w:val="24"/>
        </w:rPr>
        <w:t xml:space="preserve">she </w:t>
      </w:r>
      <w:r w:rsidR="008F7466" w:rsidRPr="00DD3907">
        <w:rPr>
          <w:rFonts w:ascii="Book Antiqua" w:hAnsi="Book Antiqua"/>
          <w:sz w:val="24"/>
          <w:szCs w:val="24"/>
        </w:rPr>
        <w:t>said that she only had injuries from being beaten up</w:t>
      </w:r>
      <w:r w:rsidR="002541CF" w:rsidRPr="00DD3907">
        <w:rPr>
          <w:rFonts w:ascii="Book Antiqua" w:hAnsi="Book Antiqua"/>
          <w:sz w:val="24"/>
          <w:szCs w:val="24"/>
        </w:rPr>
        <w:t xml:space="preserve"> and referred to an injury to her back</w:t>
      </w:r>
      <w:r w:rsidR="00A47CBD" w:rsidRPr="00DD3907">
        <w:rPr>
          <w:rFonts w:ascii="Book Antiqua" w:hAnsi="Book Antiqua"/>
          <w:sz w:val="24"/>
          <w:szCs w:val="24"/>
        </w:rPr>
        <w:t xml:space="preserve"> for which she had an operation</w:t>
      </w:r>
      <w:r w:rsidR="002541CF" w:rsidRPr="00DD3907">
        <w:rPr>
          <w:rFonts w:ascii="Book Antiqua" w:hAnsi="Book Antiqua"/>
          <w:sz w:val="24"/>
          <w:szCs w:val="24"/>
        </w:rPr>
        <w:t xml:space="preserve">. </w:t>
      </w:r>
      <w:r w:rsidR="009D05A1" w:rsidRPr="00DD3907">
        <w:rPr>
          <w:rFonts w:ascii="Book Antiqua" w:hAnsi="Book Antiqua"/>
          <w:sz w:val="24"/>
          <w:szCs w:val="24"/>
        </w:rPr>
        <w:t xml:space="preserve">At 2.5 she said that she had been sexually assaulted by rape when arrested for a week on 14.7.17. </w:t>
      </w:r>
    </w:p>
    <w:p w14:paraId="6C78A7FE" w14:textId="04361162" w:rsidR="005F3CCF" w:rsidRPr="00DD3907" w:rsidRDefault="00D82C04" w:rsidP="003D4C06">
      <w:pPr>
        <w:numPr>
          <w:ilvl w:val="0"/>
          <w:numId w:val="1"/>
        </w:numPr>
        <w:jc w:val="both"/>
        <w:rPr>
          <w:rFonts w:ascii="Book Antiqua" w:hAnsi="Book Antiqua"/>
          <w:sz w:val="24"/>
          <w:szCs w:val="24"/>
        </w:rPr>
      </w:pPr>
      <w:r w:rsidRPr="00DD3907">
        <w:rPr>
          <w:rFonts w:ascii="Book Antiqua" w:hAnsi="Book Antiqua"/>
          <w:sz w:val="24"/>
          <w:szCs w:val="24"/>
        </w:rPr>
        <w:t xml:space="preserve">At 4.1 </w:t>
      </w:r>
      <w:r w:rsidR="002F1E58" w:rsidRPr="00DD3907">
        <w:rPr>
          <w:rFonts w:ascii="Book Antiqua" w:hAnsi="Book Antiqua"/>
          <w:sz w:val="24"/>
          <w:szCs w:val="24"/>
        </w:rPr>
        <w:t xml:space="preserve">of the SI </w:t>
      </w:r>
      <w:r w:rsidRPr="00DD3907">
        <w:rPr>
          <w:rFonts w:ascii="Book Antiqua" w:hAnsi="Book Antiqua"/>
          <w:sz w:val="24"/>
          <w:szCs w:val="24"/>
        </w:rPr>
        <w:t>she stated that she was involved in political activity</w:t>
      </w:r>
      <w:r w:rsidR="002C16DA" w:rsidRPr="00DD3907">
        <w:rPr>
          <w:rFonts w:ascii="Book Antiqua" w:hAnsi="Book Antiqua"/>
          <w:sz w:val="24"/>
          <w:szCs w:val="24"/>
        </w:rPr>
        <w:t>, organising demonstrations, as a result of which she was arrested on 14.7.17 and imprisoned for one week</w:t>
      </w:r>
      <w:r w:rsidR="00561836" w:rsidRPr="00DD3907">
        <w:rPr>
          <w:rFonts w:ascii="Book Antiqua" w:hAnsi="Book Antiqua"/>
          <w:sz w:val="24"/>
          <w:szCs w:val="24"/>
        </w:rPr>
        <w:t>, during which she was abused</w:t>
      </w:r>
      <w:r w:rsidR="00F365DC" w:rsidRPr="00DD3907">
        <w:rPr>
          <w:rFonts w:ascii="Book Antiqua" w:hAnsi="Book Antiqua"/>
          <w:sz w:val="24"/>
          <w:szCs w:val="24"/>
        </w:rPr>
        <w:t xml:space="preserve">, sexually assaulted and raped. </w:t>
      </w:r>
      <w:r w:rsidR="00E55F28" w:rsidRPr="00DD3907">
        <w:rPr>
          <w:rFonts w:ascii="Book Antiqua" w:hAnsi="Book Antiqua"/>
          <w:sz w:val="24"/>
          <w:szCs w:val="24"/>
        </w:rPr>
        <w:t xml:space="preserve">In the </w:t>
      </w:r>
      <w:r w:rsidR="007873F4" w:rsidRPr="00DD3907">
        <w:rPr>
          <w:rFonts w:ascii="Book Antiqua" w:hAnsi="Book Antiqua"/>
          <w:sz w:val="24"/>
          <w:szCs w:val="24"/>
        </w:rPr>
        <w:t xml:space="preserve">Preliminary Questionnaire </w:t>
      </w:r>
      <w:r w:rsidR="00E55F28" w:rsidRPr="00DD3907">
        <w:rPr>
          <w:rFonts w:ascii="Book Antiqua" w:hAnsi="Book Antiqua"/>
          <w:sz w:val="24"/>
          <w:szCs w:val="24"/>
        </w:rPr>
        <w:t xml:space="preserve">she relied on political activity, stating that she had been arrested and imprisoned in Iran during which she was subjected to physical, sexual and verbal abuse. </w:t>
      </w:r>
      <w:r w:rsidR="00166BA4" w:rsidRPr="00DD3907">
        <w:rPr>
          <w:rFonts w:ascii="Book Antiqua" w:hAnsi="Book Antiqua"/>
          <w:sz w:val="24"/>
          <w:szCs w:val="24"/>
        </w:rPr>
        <w:t>She specifically referred to back pain from an injury in prison.</w:t>
      </w:r>
      <w:r w:rsidR="00474005" w:rsidRPr="00DD3907">
        <w:rPr>
          <w:rFonts w:ascii="Book Antiqua" w:hAnsi="Book Antiqua"/>
          <w:sz w:val="24"/>
          <w:szCs w:val="24"/>
        </w:rPr>
        <w:t xml:space="preserve"> </w:t>
      </w:r>
      <w:r w:rsidR="00A5015F" w:rsidRPr="00DD3907">
        <w:rPr>
          <w:rFonts w:ascii="Book Antiqua" w:hAnsi="Book Antiqua"/>
          <w:sz w:val="24"/>
          <w:szCs w:val="24"/>
        </w:rPr>
        <w:t xml:space="preserve">As has been noted it was in a medical appointment some two weeks later that there was any mention of attending a demonstration in 2018. </w:t>
      </w:r>
      <w:r w:rsidR="00F752E7" w:rsidRPr="00DD3907">
        <w:rPr>
          <w:rFonts w:ascii="Book Antiqua" w:hAnsi="Book Antiqua"/>
          <w:sz w:val="24"/>
          <w:szCs w:val="24"/>
        </w:rPr>
        <w:t xml:space="preserve">In </w:t>
      </w:r>
      <w:r w:rsidR="00474005" w:rsidRPr="00DD3907">
        <w:rPr>
          <w:rFonts w:ascii="Book Antiqua" w:hAnsi="Book Antiqua"/>
          <w:sz w:val="24"/>
          <w:szCs w:val="24"/>
        </w:rPr>
        <w:t xml:space="preserve">her </w:t>
      </w:r>
      <w:r w:rsidR="00F752E7" w:rsidRPr="00DD3907">
        <w:rPr>
          <w:rFonts w:ascii="Book Antiqua" w:hAnsi="Book Antiqua"/>
          <w:sz w:val="24"/>
          <w:szCs w:val="24"/>
        </w:rPr>
        <w:t xml:space="preserve">later </w:t>
      </w:r>
      <w:r w:rsidR="00474005" w:rsidRPr="00DD3907">
        <w:rPr>
          <w:rFonts w:ascii="Book Antiqua" w:hAnsi="Book Antiqua"/>
          <w:sz w:val="24"/>
          <w:szCs w:val="24"/>
        </w:rPr>
        <w:t xml:space="preserve">asylum interview (AIR) </w:t>
      </w:r>
      <w:r w:rsidR="00976F59" w:rsidRPr="00DD3907">
        <w:rPr>
          <w:rFonts w:ascii="Book Antiqua" w:hAnsi="Book Antiqua"/>
          <w:sz w:val="24"/>
          <w:szCs w:val="24"/>
        </w:rPr>
        <w:t>she referred to attending another demonstration in August 2018</w:t>
      </w:r>
      <w:r w:rsidR="00A006B8" w:rsidRPr="00DD3907">
        <w:rPr>
          <w:rFonts w:ascii="Book Antiqua" w:hAnsi="Book Antiqua"/>
          <w:sz w:val="24"/>
          <w:szCs w:val="24"/>
        </w:rPr>
        <w:t xml:space="preserve">, during which she was hit on the back, sustaining a </w:t>
      </w:r>
      <w:r w:rsidR="00152011" w:rsidRPr="00DD3907">
        <w:rPr>
          <w:rFonts w:ascii="Book Antiqua" w:hAnsi="Book Antiqua"/>
          <w:sz w:val="24"/>
          <w:szCs w:val="24"/>
        </w:rPr>
        <w:t xml:space="preserve">spinal fracture requiring an operation. However, she stated she was only in hospital a few hours before being discharged home. </w:t>
      </w:r>
    </w:p>
    <w:p w14:paraId="3317274E" w14:textId="545435EC" w:rsidR="004676D9" w:rsidRPr="00DD3907" w:rsidRDefault="001D0B42" w:rsidP="003D4C06">
      <w:pPr>
        <w:numPr>
          <w:ilvl w:val="0"/>
          <w:numId w:val="1"/>
        </w:numPr>
        <w:jc w:val="both"/>
        <w:rPr>
          <w:rFonts w:ascii="Book Antiqua" w:hAnsi="Book Antiqua"/>
          <w:sz w:val="24"/>
          <w:szCs w:val="24"/>
        </w:rPr>
      </w:pPr>
      <w:r w:rsidRPr="00DD3907">
        <w:rPr>
          <w:rFonts w:ascii="Book Antiqua" w:hAnsi="Book Antiqua"/>
          <w:sz w:val="24"/>
          <w:szCs w:val="24"/>
        </w:rPr>
        <w:t xml:space="preserve">Within the various </w:t>
      </w:r>
      <w:r w:rsidR="00F752E7" w:rsidRPr="00DD3907">
        <w:rPr>
          <w:rFonts w:ascii="Book Antiqua" w:hAnsi="Book Antiqua"/>
          <w:sz w:val="24"/>
          <w:szCs w:val="24"/>
        </w:rPr>
        <w:t>sub-</w:t>
      </w:r>
      <w:r w:rsidRPr="00DD3907">
        <w:rPr>
          <w:rFonts w:ascii="Book Antiqua" w:hAnsi="Book Antiqua"/>
          <w:sz w:val="24"/>
          <w:szCs w:val="24"/>
        </w:rPr>
        <w:t xml:space="preserve">paragraphs </w:t>
      </w:r>
      <w:r w:rsidR="00F752E7" w:rsidRPr="00DD3907">
        <w:rPr>
          <w:rFonts w:ascii="Book Antiqua" w:hAnsi="Book Antiqua"/>
          <w:sz w:val="24"/>
          <w:szCs w:val="24"/>
        </w:rPr>
        <w:t xml:space="preserve">of </w:t>
      </w:r>
      <w:r w:rsidRPr="00DD3907">
        <w:rPr>
          <w:rFonts w:ascii="Book Antiqua" w:hAnsi="Book Antiqua"/>
          <w:sz w:val="24"/>
          <w:szCs w:val="24"/>
        </w:rPr>
        <w:t xml:space="preserve">[28] the judge </w:t>
      </w:r>
      <w:r w:rsidR="00BE4043" w:rsidRPr="00DD3907">
        <w:rPr>
          <w:rFonts w:ascii="Book Antiqua" w:hAnsi="Book Antiqua"/>
          <w:sz w:val="24"/>
          <w:szCs w:val="24"/>
        </w:rPr>
        <w:t xml:space="preserve">observed that there was no reference in the SI to the August </w:t>
      </w:r>
      <w:r w:rsidR="00B20FDE" w:rsidRPr="00DD3907">
        <w:rPr>
          <w:rFonts w:ascii="Book Antiqua" w:hAnsi="Book Antiqua"/>
          <w:sz w:val="24"/>
          <w:szCs w:val="24"/>
        </w:rPr>
        <w:t xml:space="preserve">2018 </w:t>
      </w:r>
      <w:r w:rsidR="00BE4043" w:rsidRPr="00DD3907">
        <w:rPr>
          <w:rFonts w:ascii="Book Antiqua" w:hAnsi="Book Antiqua"/>
          <w:sz w:val="24"/>
          <w:szCs w:val="24"/>
        </w:rPr>
        <w:t>demonstrat</w:t>
      </w:r>
      <w:r w:rsidR="00B20FDE" w:rsidRPr="00DD3907">
        <w:rPr>
          <w:rFonts w:ascii="Book Antiqua" w:hAnsi="Book Antiqua"/>
          <w:sz w:val="24"/>
          <w:szCs w:val="24"/>
        </w:rPr>
        <w:t>ion</w:t>
      </w:r>
      <w:r w:rsidR="002F3041" w:rsidRPr="00DD3907">
        <w:rPr>
          <w:rFonts w:ascii="Book Antiqua" w:hAnsi="Book Antiqua"/>
          <w:sz w:val="24"/>
          <w:szCs w:val="24"/>
        </w:rPr>
        <w:t xml:space="preserve"> or injuries sustained then. It appears </w:t>
      </w:r>
      <w:r w:rsidR="00D54AE5" w:rsidRPr="00DD3907">
        <w:rPr>
          <w:rFonts w:ascii="Book Antiqua" w:hAnsi="Book Antiqua"/>
          <w:sz w:val="24"/>
          <w:szCs w:val="24"/>
        </w:rPr>
        <w:t xml:space="preserve">to me </w:t>
      </w:r>
      <w:r w:rsidR="002F3041" w:rsidRPr="00DD3907">
        <w:rPr>
          <w:rFonts w:ascii="Book Antiqua" w:hAnsi="Book Antiqua"/>
          <w:sz w:val="24"/>
          <w:szCs w:val="24"/>
        </w:rPr>
        <w:t>that</w:t>
      </w:r>
      <w:r w:rsidR="00934E2B" w:rsidRPr="00DD3907">
        <w:rPr>
          <w:rFonts w:ascii="Book Antiqua" w:hAnsi="Book Antiqua"/>
          <w:sz w:val="24"/>
          <w:szCs w:val="24"/>
        </w:rPr>
        <w:t xml:space="preserve"> whilst the appellant referred</w:t>
      </w:r>
      <w:r w:rsidR="00D54AE5" w:rsidRPr="00DD3907">
        <w:rPr>
          <w:rFonts w:ascii="Book Antiqua" w:hAnsi="Book Antiqua"/>
          <w:sz w:val="24"/>
          <w:szCs w:val="24"/>
        </w:rPr>
        <w:t xml:space="preserve"> in the SI </w:t>
      </w:r>
      <w:r w:rsidR="00934E2B" w:rsidRPr="00DD3907">
        <w:rPr>
          <w:rFonts w:ascii="Book Antiqua" w:hAnsi="Book Antiqua"/>
          <w:sz w:val="24"/>
          <w:szCs w:val="24"/>
        </w:rPr>
        <w:t xml:space="preserve">to a back operation, she related it to the 2017 detention and mistreatment. </w:t>
      </w:r>
      <w:r w:rsidR="005B32EA" w:rsidRPr="00DD3907">
        <w:rPr>
          <w:rFonts w:ascii="Book Antiqua" w:hAnsi="Book Antiqua"/>
          <w:sz w:val="24"/>
          <w:szCs w:val="24"/>
        </w:rPr>
        <w:t xml:space="preserve">More significant is that the present claim is that the catalyst for her departure was the August demonstration, after which her home was raided. However, </w:t>
      </w:r>
      <w:r w:rsidR="005D2A04" w:rsidRPr="00DD3907">
        <w:rPr>
          <w:rFonts w:ascii="Book Antiqua" w:hAnsi="Book Antiqua"/>
          <w:sz w:val="24"/>
          <w:szCs w:val="24"/>
        </w:rPr>
        <w:t>in the SI she relates the ransacking of her home in August 2018 in her absence but made no mention of that raid arising after attending a demonstrat</w:t>
      </w:r>
      <w:r w:rsidR="006B5135" w:rsidRPr="00DD3907">
        <w:rPr>
          <w:rFonts w:ascii="Book Antiqua" w:hAnsi="Book Antiqua"/>
          <w:sz w:val="24"/>
          <w:szCs w:val="24"/>
        </w:rPr>
        <w:t>ion</w:t>
      </w:r>
      <w:r w:rsidR="005D2A04" w:rsidRPr="00DD3907">
        <w:rPr>
          <w:rFonts w:ascii="Book Antiqua" w:hAnsi="Book Antiqua"/>
          <w:sz w:val="24"/>
          <w:szCs w:val="24"/>
        </w:rPr>
        <w:t xml:space="preserve">, or of being in hospital as a result of an injury sustained at the demonstration. </w:t>
      </w:r>
      <w:r w:rsidR="004676D9" w:rsidRPr="00DD3907">
        <w:rPr>
          <w:rFonts w:ascii="Book Antiqua" w:hAnsi="Book Antiqua"/>
          <w:sz w:val="24"/>
          <w:szCs w:val="24"/>
        </w:rPr>
        <w:t xml:space="preserve">In his submissions, Mr Bates made the point that </w:t>
      </w:r>
      <w:r w:rsidR="00D63CDE" w:rsidRPr="00DD3907">
        <w:rPr>
          <w:rFonts w:ascii="Book Antiqua" w:hAnsi="Book Antiqua"/>
          <w:sz w:val="24"/>
          <w:szCs w:val="24"/>
        </w:rPr>
        <w:t xml:space="preserve">whilst an appellant may be expected to give brief details, she in fact gave quite a bit of detail at 4.1 and 4.2. I agree with the submission that it is significant that </w:t>
      </w:r>
      <w:r w:rsidR="00FB4B5B" w:rsidRPr="00DD3907">
        <w:rPr>
          <w:rFonts w:ascii="Book Antiqua" w:hAnsi="Book Antiqua"/>
          <w:sz w:val="24"/>
          <w:szCs w:val="24"/>
        </w:rPr>
        <w:lastRenderedPageBreak/>
        <w:t xml:space="preserve">when </w:t>
      </w:r>
      <w:proofErr w:type="gramStart"/>
      <w:r w:rsidR="00FB4B5B" w:rsidRPr="00DD3907">
        <w:rPr>
          <w:rFonts w:ascii="Book Antiqua" w:hAnsi="Book Antiqua"/>
          <w:sz w:val="24"/>
          <w:szCs w:val="24"/>
        </w:rPr>
        <w:t>specifically</w:t>
      </w:r>
      <w:proofErr w:type="gramEnd"/>
      <w:r w:rsidR="00FB4B5B" w:rsidRPr="00DD3907">
        <w:rPr>
          <w:rFonts w:ascii="Book Antiqua" w:hAnsi="Book Antiqua"/>
          <w:sz w:val="24"/>
          <w:szCs w:val="24"/>
        </w:rPr>
        <w:t xml:space="preserve"> for the reason why </w:t>
      </w:r>
      <w:r w:rsidR="00983DB1" w:rsidRPr="00DD3907">
        <w:rPr>
          <w:rFonts w:ascii="Book Antiqua" w:hAnsi="Book Antiqua"/>
          <w:sz w:val="24"/>
          <w:szCs w:val="24"/>
        </w:rPr>
        <w:t xml:space="preserve">she was forced to leave Iran, she made no mention of the August 2018 demonstration and its aftermath. The appellant’s </w:t>
      </w:r>
      <w:r w:rsidR="004B0598" w:rsidRPr="00DD3907">
        <w:rPr>
          <w:rFonts w:ascii="Book Antiqua" w:hAnsi="Book Antiqua"/>
          <w:sz w:val="24"/>
          <w:szCs w:val="24"/>
        </w:rPr>
        <w:t xml:space="preserve">later account was that it was these events that prompted her urgent departure. I consider that the judge was entitled to regard the omission of the August 2018 demonstration and hospitalisation as an anomaly undermining her account. </w:t>
      </w:r>
    </w:p>
    <w:p w14:paraId="6223C55F" w14:textId="31AF748E" w:rsidR="008A7F2A" w:rsidRPr="00DD3907" w:rsidRDefault="002F1976" w:rsidP="003D4C06">
      <w:pPr>
        <w:numPr>
          <w:ilvl w:val="0"/>
          <w:numId w:val="1"/>
        </w:numPr>
        <w:jc w:val="both"/>
        <w:rPr>
          <w:rFonts w:ascii="Book Antiqua" w:hAnsi="Book Antiqua"/>
          <w:sz w:val="24"/>
          <w:szCs w:val="24"/>
        </w:rPr>
      </w:pPr>
      <w:r w:rsidRPr="00DD3907">
        <w:rPr>
          <w:rFonts w:ascii="Book Antiqua" w:hAnsi="Book Antiqua"/>
          <w:sz w:val="24"/>
          <w:szCs w:val="24"/>
        </w:rPr>
        <w:t xml:space="preserve">At [28.3] the judge pointed out that the name </w:t>
      </w:r>
      <w:r w:rsidR="003E0B52" w:rsidRPr="00DD3907">
        <w:rPr>
          <w:rFonts w:ascii="Book Antiqua" w:hAnsi="Book Antiqua"/>
          <w:sz w:val="24"/>
          <w:szCs w:val="24"/>
        </w:rPr>
        <w:t xml:space="preserve">given in the SI </w:t>
      </w:r>
      <w:r w:rsidRPr="00DD3907">
        <w:rPr>
          <w:rFonts w:ascii="Book Antiqua" w:hAnsi="Book Antiqua"/>
          <w:sz w:val="24"/>
          <w:szCs w:val="24"/>
        </w:rPr>
        <w:t xml:space="preserve">of the </w:t>
      </w:r>
      <w:r w:rsidR="00A85932" w:rsidRPr="00DD3907">
        <w:rPr>
          <w:rFonts w:ascii="Book Antiqua" w:hAnsi="Book Antiqua"/>
          <w:sz w:val="24"/>
          <w:szCs w:val="24"/>
        </w:rPr>
        <w:t>political entity</w:t>
      </w:r>
      <w:r w:rsidR="00B40FC8" w:rsidRPr="00DD3907">
        <w:rPr>
          <w:rFonts w:ascii="Book Antiqua" w:hAnsi="Book Antiqua"/>
          <w:sz w:val="24"/>
          <w:szCs w:val="24"/>
        </w:rPr>
        <w:t xml:space="preserve"> </w:t>
      </w:r>
      <w:r w:rsidR="003E0B52" w:rsidRPr="00DD3907">
        <w:rPr>
          <w:rFonts w:ascii="Book Antiqua" w:hAnsi="Book Antiqua"/>
          <w:sz w:val="24"/>
          <w:szCs w:val="24"/>
        </w:rPr>
        <w:t xml:space="preserve">for which she organised demonstrations </w:t>
      </w:r>
      <w:r w:rsidR="00B40FC8" w:rsidRPr="00DD3907">
        <w:rPr>
          <w:rFonts w:ascii="Book Antiqua" w:hAnsi="Book Antiqua"/>
          <w:sz w:val="24"/>
          <w:szCs w:val="24"/>
        </w:rPr>
        <w:t xml:space="preserve">was different to that given by the witness MK. </w:t>
      </w:r>
    </w:p>
    <w:p w14:paraId="772860B3" w14:textId="58C52FC1" w:rsidR="00A85932" w:rsidRPr="00DD3907" w:rsidRDefault="00E40B3F" w:rsidP="00C67D19">
      <w:pPr>
        <w:numPr>
          <w:ilvl w:val="0"/>
          <w:numId w:val="1"/>
        </w:numPr>
        <w:jc w:val="both"/>
        <w:rPr>
          <w:rFonts w:ascii="Book Antiqua" w:hAnsi="Book Antiqua"/>
          <w:sz w:val="24"/>
          <w:szCs w:val="24"/>
        </w:rPr>
      </w:pPr>
      <w:r w:rsidRPr="00DD3907">
        <w:rPr>
          <w:rFonts w:ascii="Book Antiqua" w:hAnsi="Book Antiqua"/>
          <w:sz w:val="24"/>
          <w:szCs w:val="24"/>
        </w:rPr>
        <w:t>I am satisfied that a</w:t>
      </w:r>
      <w:r w:rsidR="00A85932" w:rsidRPr="00DD3907">
        <w:rPr>
          <w:rFonts w:ascii="Book Antiqua" w:hAnsi="Book Antiqua"/>
          <w:sz w:val="24"/>
          <w:szCs w:val="24"/>
        </w:rPr>
        <w:t xml:space="preserve">fter considering the evidence as a whole, as the judge confirmed </w:t>
      </w:r>
      <w:r w:rsidR="0023733C" w:rsidRPr="00DD3907">
        <w:rPr>
          <w:rFonts w:ascii="Book Antiqua" w:hAnsi="Book Antiqua"/>
          <w:sz w:val="24"/>
          <w:szCs w:val="24"/>
        </w:rPr>
        <w:t>on several occasions</w:t>
      </w:r>
      <w:r w:rsidRPr="00DD3907">
        <w:rPr>
          <w:rFonts w:ascii="Book Antiqua" w:hAnsi="Book Antiqua"/>
          <w:sz w:val="24"/>
          <w:szCs w:val="24"/>
        </w:rPr>
        <w:t xml:space="preserve"> had been done</w:t>
      </w:r>
      <w:r w:rsidR="0023733C" w:rsidRPr="00DD3907">
        <w:rPr>
          <w:rFonts w:ascii="Book Antiqua" w:hAnsi="Book Antiqua"/>
          <w:sz w:val="24"/>
          <w:szCs w:val="24"/>
        </w:rPr>
        <w:t>,</w:t>
      </w:r>
      <w:r w:rsidR="00A85932" w:rsidRPr="00DD3907">
        <w:rPr>
          <w:rFonts w:ascii="Book Antiqua" w:hAnsi="Book Antiqua"/>
          <w:sz w:val="24"/>
          <w:szCs w:val="24"/>
        </w:rPr>
        <w:t xml:space="preserve"> the judge was entitled to take account of significant discrepancies or inconsistencies between the appellant’s initial account in the Screening Interview and her later accounts</w:t>
      </w:r>
      <w:r w:rsidR="00CE2B83" w:rsidRPr="00DD3907">
        <w:rPr>
          <w:rFonts w:ascii="Book Antiqua" w:hAnsi="Book Antiqua"/>
          <w:sz w:val="24"/>
          <w:szCs w:val="24"/>
        </w:rPr>
        <w:t xml:space="preserve">, whilst </w:t>
      </w:r>
      <w:r w:rsidR="00A64B2D" w:rsidRPr="00DD3907">
        <w:rPr>
          <w:rFonts w:ascii="Book Antiqua" w:hAnsi="Book Antiqua"/>
          <w:sz w:val="24"/>
          <w:szCs w:val="24"/>
        </w:rPr>
        <w:t xml:space="preserve">at the same time </w:t>
      </w:r>
      <w:r w:rsidR="00CE2B83" w:rsidRPr="00DD3907">
        <w:rPr>
          <w:rFonts w:ascii="Book Antiqua" w:hAnsi="Book Antiqua"/>
          <w:sz w:val="24"/>
          <w:szCs w:val="24"/>
        </w:rPr>
        <w:t xml:space="preserve">making allowance for the fact that the appellant had only just arrived in the UK and that the interpreter was </w:t>
      </w:r>
      <w:r w:rsidR="00C254AF" w:rsidRPr="00DD3907">
        <w:rPr>
          <w:rFonts w:ascii="Book Antiqua" w:hAnsi="Book Antiqua"/>
          <w:sz w:val="24"/>
          <w:szCs w:val="24"/>
        </w:rPr>
        <w:t xml:space="preserve">working via telephone. </w:t>
      </w:r>
      <w:r w:rsidR="00A85932" w:rsidRPr="00DD3907">
        <w:rPr>
          <w:rFonts w:ascii="Book Antiqua" w:hAnsi="Book Antiqua"/>
          <w:sz w:val="24"/>
          <w:szCs w:val="24"/>
        </w:rPr>
        <w:t xml:space="preserve">Whilst the Screening Interview (Screening Interview) is intended to be a brief initial summary of the claim, the appellant can nevertheless be expected to be truthful. </w:t>
      </w:r>
      <w:r w:rsidR="00286945" w:rsidRPr="00DD3907">
        <w:rPr>
          <w:rFonts w:ascii="Book Antiqua" w:hAnsi="Book Antiqua"/>
          <w:sz w:val="24"/>
          <w:szCs w:val="24"/>
        </w:rPr>
        <w:t>There is a world of difference between a</w:t>
      </w:r>
      <w:r w:rsidR="00F148EB" w:rsidRPr="00DD3907">
        <w:rPr>
          <w:rFonts w:ascii="Book Antiqua" w:hAnsi="Book Antiqua"/>
          <w:sz w:val="24"/>
          <w:szCs w:val="24"/>
        </w:rPr>
        <w:t xml:space="preserve"> brief</w:t>
      </w:r>
      <w:r w:rsidR="00286945" w:rsidRPr="00DD3907">
        <w:rPr>
          <w:rFonts w:ascii="Book Antiqua" w:hAnsi="Book Antiqua"/>
          <w:sz w:val="24"/>
          <w:szCs w:val="24"/>
        </w:rPr>
        <w:t xml:space="preserve"> SI in which</w:t>
      </w:r>
      <w:r w:rsidR="00F148EB" w:rsidRPr="00DD3907">
        <w:rPr>
          <w:rFonts w:ascii="Book Antiqua" w:hAnsi="Book Antiqua"/>
          <w:sz w:val="24"/>
          <w:szCs w:val="24"/>
        </w:rPr>
        <w:t xml:space="preserve"> some</w:t>
      </w:r>
      <w:r w:rsidR="00286945" w:rsidRPr="00DD3907">
        <w:rPr>
          <w:rFonts w:ascii="Book Antiqua" w:hAnsi="Book Antiqua"/>
          <w:sz w:val="24"/>
          <w:szCs w:val="24"/>
        </w:rPr>
        <w:t xml:space="preserve"> details are not give</w:t>
      </w:r>
      <w:r w:rsidR="00F148EB" w:rsidRPr="00DD3907">
        <w:rPr>
          <w:rFonts w:ascii="Book Antiqua" w:hAnsi="Book Antiqua"/>
          <w:sz w:val="24"/>
          <w:szCs w:val="24"/>
        </w:rPr>
        <w:t xml:space="preserve">n and specific details that were provided but which are inconsistent with the appellant’s later accounts. </w:t>
      </w:r>
      <w:r w:rsidR="002636BF" w:rsidRPr="00DD3907">
        <w:rPr>
          <w:rFonts w:ascii="Book Antiqua" w:hAnsi="Book Antiqua"/>
          <w:sz w:val="24"/>
          <w:szCs w:val="24"/>
        </w:rPr>
        <w:t>I am satisfied that the appellant could be reasonably expected to at least mention the primary facts</w:t>
      </w:r>
      <w:r w:rsidR="00877820" w:rsidRPr="00DD3907">
        <w:rPr>
          <w:rFonts w:ascii="Book Antiqua" w:hAnsi="Book Antiqua"/>
          <w:sz w:val="24"/>
          <w:szCs w:val="24"/>
        </w:rPr>
        <w:t xml:space="preserve">, described by Mr Bates as </w:t>
      </w:r>
      <w:r w:rsidR="000651AF" w:rsidRPr="00DD3907">
        <w:rPr>
          <w:rFonts w:ascii="Book Antiqua" w:hAnsi="Book Antiqua"/>
          <w:sz w:val="24"/>
          <w:szCs w:val="24"/>
        </w:rPr>
        <w:t xml:space="preserve">the </w:t>
      </w:r>
      <w:r w:rsidR="00877820" w:rsidRPr="00DD3907">
        <w:rPr>
          <w:rFonts w:ascii="Book Antiqua" w:hAnsi="Book Antiqua"/>
          <w:sz w:val="24"/>
          <w:szCs w:val="24"/>
        </w:rPr>
        <w:t xml:space="preserve">“stripped down account”, </w:t>
      </w:r>
      <w:r w:rsidR="002636BF" w:rsidRPr="00DD3907">
        <w:rPr>
          <w:rFonts w:ascii="Book Antiqua" w:hAnsi="Book Antiqua"/>
          <w:sz w:val="24"/>
          <w:szCs w:val="24"/>
        </w:rPr>
        <w:t>which prompted her departure. She was not unable to give considerable detail but the account she gave then was significantly different to that given later</w:t>
      </w:r>
      <w:r w:rsidR="00664107" w:rsidRPr="00DD3907">
        <w:rPr>
          <w:rFonts w:ascii="Book Antiqua" w:hAnsi="Book Antiqua"/>
          <w:sz w:val="24"/>
          <w:szCs w:val="24"/>
        </w:rPr>
        <w:t xml:space="preserve"> and not merely by the extent of detail. I am satisfied that t</w:t>
      </w:r>
      <w:r w:rsidR="00591326" w:rsidRPr="00DD3907">
        <w:rPr>
          <w:rFonts w:ascii="Book Antiqua" w:hAnsi="Book Antiqua"/>
          <w:sz w:val="24"/>
          <w:szCs w:val="24"/>
        </w:rPr>
        <w:t>he judge was entitled to describe these matters as troubling in the overall assessment of credibility. No error of law is disclosed.</w:t>
      </w:r>
      <w:r w:rsidR="00F148EB" w:rsidRPr="00DD3907">
        <w:rPr>
          <w:rFonts w:ascii="Book Antiqua" w:hAnsi="Book Antiqua"/>
          <w:sz w:val="24"/>
          <w:szCs w:val="24"/>
        </w:rPr>
        <w:t xml:space="preserve">  </w:t>
      </w:r>
    </w:p>
    <w:p w14:paraId="3C2BCB70" w14:textId="7C60229F" w:rsidR="00A85932" w:rsidRPr="00DD3907" w:rsidRDefault="00591326" w:rsidP="00485D92">
      <w:pPr>
        <w:jc w:val="both"/>
        <w:rPr>
          <w:rFonts w:ascii="Book Antiqua" w:hAnsi="Book Antiqua"/>
          <w:sz w:val="24"/>
          <w:szCs w:val="24"/>
        </w:rPr>
      </w:pPr>
      <w:r w:rsidRPr="00DD3907">
        <w:rPr>
          <w:rFonts w:ascii="Book Antiqua" w:hAnsi="Book Antiqua"/>
          <w:sz w:val="24"/>
          <w:szCs w:val="24"/>
        </w:rPr>
        <w:t>Ground 2</w:t>
      </w:r>
    </w:p>
    <w:p w14:paraId="745E3BFB" w14:textId="2CB8D5D9" w:rsidR="00DA2059" w:rsidRPr="00DD3907" w:rsidRDefault="009E29EF" w:rsidP="003D4C06">
      <w:pPr>
        <w:numPr>
          <w:ilvl w:val="0"/>
          <w:numId w:val="1"/>
        </w:numPr>
        <w:jc w:val="both"/>
        <w:rPr>
          <w:rFonts w:ascii="Book Antiqua" w:hAnsi="Book Antiqua"/>
          <w:sz w:val="24"/>
          <w:szCs w:val="24"/>
        </w:rPr>
      </w:pPr>
      <w:r w:rsidRPr="00DD3907">
        <w:rPr>
          <w:rFonts w:ascii="Book Antiqua" w:hAnsi="Book Antiqua"/>
          <w:sz w:val="24"/>
          <w:szCs w:val="24"/>
        </w:rPr>
        <w:t>I am not satisfied that the</w:t>
      </w:r>
      <w:r w:rsidR="003D38BF" w:rsidRPr="00DD3907">
        <w:rPr>
          <w:rFonts w:ascii="Book Antiqua" w:hAnsi="Book Antiqua"/>
          <w:sz w:val="24"/>
          <w:szCs w:val="24"/>
        </w:rPr>
        <w:t xml:space="preserve"> judge failed</w:t>
      </w:r>
      <w:r w:rsidR="00904BDC" w:rsidRPr="00DD3907">
        <w:rPr>
          <w:rFonts w:ascii="Book Antiqua" w:hAnsi="Book Antiqua"/>
          <w:sz w:val="24"/>
          <w:szCs w:val="24"/>
        </w:rPr>
        <w:t xml:space="preserve"> to </w:t>
      </w:r>
      <w:proofErr w:type="gramStart"/>
      <w:r w:rsidR="00904BDC" w:rsidRPr="00DD3907">
        <w:rPr>
          <w:rFonts w:ascii="Book Antiqua" w:hAnsi="Book Antiqua"/>
          <w:sz w:val="24"/>
          <w:szCs w:val="24"/>
        </w:rPr>
        <w:t>take into account</w:t>
      </w:r>
      <w:proofErr w:type="gramEnd"/>
      <w:r w:rsidR="00904BDC" w:rsidRPr="00DD3907">
        <w:rPr>
          <w:rFonts w:ascii="Book Antiqua" w:hAnsi="Book Antiqua"/>
          <w:sz w:val="24"/>
          <w:szCs w:val="24"/>
        </w:rPr>
        <w:t xml:space="preserve"> the corroborative evidence of the witness MK</w:t>
      </w:r>
      <w:r w:rsidR="00C74F2F" w:rsidRPr="00DD3907">
        <w:rPr>
          <w:rFonts w:ascii="Book Antiqua" w:hAnsi="Book Antiqua"/>
          <w:sz w:val="24"/>
          <w:szCs w:val="24"/>
        </w:rPr>
        <w:t>, the leader of the party in the UK</w:t>
      </w:r>
      <w:r w:rsidR="00904BDC" w:rsidRPr="00DD3907">
        <w:rPr>
          <w:rFonts w:ascii="Book Antiqua" w:hAnsi="Book Antiqua"/>
          <w:sz w:val="24"/>
          <w:szCs w:val="24"/>
        </w:rPr>
        <w:t xml:space="preserve">. </w:t>
      </w:r>
      <w:r w:rsidR="00A57F4E" w:rsidRPr="00DD3907">
        <w:rPr>
          <w:rFonts w:ascii="Book Antiqua" w:hAnsi="Book Antiqua"/>
          <w:sz w:val="24"/>
          <w:szCs w:val="24"/>
        </w:rPr>
        <w:t xml:space="preserve">The evidence </w:t>
      </w:r>
      <w:r w:rsidR="00A64FB5" w:rsidRPr="00DD3907">
        <w:rPr>
          <w:rFonts w:ascii="Book Antiqua" w:hAnsi="Book Antiqua"/>
          <w:sz w:val="24"/>
          <w:szCs w:val="24"/>
        </w:rPr>
        <w:t xml:space="preserve">of this witness </w:t>
      </w:r>
      <w:r w:rsidR="00A57F4E" w:rsidRPr="00DD3907">
        <w:rPr>
          <w:rFonts w:ascii="Book Antiqua" w:hAnsi="Book Antiqua"/>
          <w:sz w:val="24"/>
          <w:szCs w:val="24"/>
        </w:rPr>
        <w:t>was summarised at [18.1] and [18.2].</w:t>
      </w:r>
    </w:p>
    <w:p w14:paraId="1DB8AD6E" w14:textId="6D4C0E87" w:rsidR="00A57F4E" w:rsidRPr="00DD3907" w:rsidRDefault="001F58E2" w:rsidP="003D4C06">
      <w:pPr>
        <w:numPr>
          <w:ilvl w:val="0"/>
          <w:numId w:val="1"/>
        </w:numPr>
        <w:jc w:val="both"/>
        <w:rPr>
          <w:rFonts w:ascii="Book Antiqua" w:hAnsi="Book Antiqua"/>
          <w:sz w:val="24"/>
          <w:szCs w:val="24"/>
        </w:rPr>
      </w:pPr>
      <w:r w:rsidRPr="00DD3907">
        <w:rPr>
          <w:rFonts w:ascii="Book Antiqua" w:hAnsi="Book Antiqua"/>
          <w:sz w:val="24"/>
          <w:szCs w:val="24"/>
        </w:rPr>
        <w:t>The relevance of MK</w:t>
      </w:r>
      <w:r w:rsidR="006B2F41" w:rsidRPr="00DD3907">
        <w:rPr>
          <w:rFonts w:ascii="Book Antiqua" w:hAnsi="Book Antiqua"/>
          <w:sz w:val="24"/>
          <w:szCs w:val="24"/>
        </w:rPr>
        <w:t xml:space="preserve"> was limited</w:t>
      </w:r>
      <w:r w:rsidR="000651AF" w:rsidRPr="00DD3907">
        <w:rPr>
          <w:rFonts w:ascii="Book Antiqua" w:hAnsi="Book Antiqua"/>
          <w:sz w:val="24"/>
          <w:szCs w:val="24"/>
        </w:rPr>
        <w:t xml:space="preserve"> and could not bear specifically on the alleged events in Iran</w:t>
      </w:r>
      <w:r w:rsidR="00A57F4E" w:rsidRPr="00DD3907">
        <w:rPr>
          <w:rFonts w:ascii="Book Antiqua" w:hAnsi="Book Antiqua"/>
          <w:sz w:val="24"/>
          <w:szCs w:val="24"/>
        </w:rPr>
        <w:t>, even though he was adduced to confirm the appellant’s asserted membership of the party in the UK</w:t>
      </w:r>
      <w:r w:rsidR="0051377A" w:rsidRPr="00DD3907">
        <w:rPr>
          <w:rFonts w:ascii="Book Antiqua" w:hAnsi="Book Antiqua"/>
          <w:sz w:val="24"/>
          <w:szCs w:val="24"/>
        </w:rPr>
        <w:t xml:space="preserve">. </w:t>
      </w:r>
      <w:r w:rsidR="00C45539" w:rsidRPr="00DD3907">
        <w:rPr>
          <w:rFonts w:ascii="Book Antiqua" w:hAnsi="Book Antiqua"/>
          <w:sz w:val="24"/>
          <w:szCs w:val="24"/>
        </w:rPr>
        <w:t xml:space="preserve">Although the judge had some concerns as to how MK came to be involved and at whose behest, those concerns were </w:t>
      </w:r>
      <w:r w:rsidR="00BD7823" w:rsidRPr="00DD3907">
        <w:rPr>
          <w:rFonts w:ascii="Book Antiqua" w:hAnsi="Book Antiqua"/>
          <w:sz w:val="24"/>
          <w:szCs w:val="24"/>
        </w:rPr>
        <w:t xml:space="preserve">observations only and did </w:t>
      </w:r>
      <w:r w:rsidR="00C45539" w:rsidRPr="00DD3907">
        <w:rPr>
          <w:rFonts w:ascii="Book Antiqua" w:hAnsi="Book Antiqua"/>
          <w:sz w:val="24"/>
          <w:szCs w:val="24"/>
        </w:rPr>
        <w:t xml:space="preserve">not part of the credibility findings. </w:t>
      </w:r>
    </w:p>
    <w:p w14:paraId="59F01E7D" w14:textId="369C0A08" w:rsidR="003E1EFF" w:rsidRPr="00DD3907" w:rsidRDefault="00A64FB5" w:rsidP="003D4C06">
      <w:pPr>
        <w:numPr>
          <w:ilvl w:val="0"/>
          <w:numId w:val="1"/>
        </w:numPr>
        <w:jc w:val="both"/>
        <w:rPr>
          <w:rFonts w:ascii="Book Antiqua" w:hAnsi="Book Antiqua"/>
          <w:sz w:val="24"/>
          <w:szCs w:val="24"/>
        </w:rPr>
      </w:pPr>
      <w:r w:rsidRPr="00DD3907">
        <w:rPr>
          <w:rFonts w:ascii="Book Antiqua" w:hAnsi="Book Antiqua"/>
          <w:sz w:val="24"/>
          <w:szCs w:val="24"/>
        </w:rPr>
        <w:t xml:space="preserve">It is clear from the decision that the judge took full account of MK’s evidence and it was addressed at several points. For example, </w:t>
      </w:r>
      <w:r w:rsidR="0051377A" w:rsidRPr="00DD3907">
        <w:rPr>
          <w:rFonts w:ascii="Book Antiqua" w:hAnsi="Book Antiqua"/>
          <w:sz w:val="24"/>
          <w:szCs w:val="24"/>
        </w:rPr>
        <w:t xml:space="preserve">he </w:t>
      </w:r>
      <w:proofErr w:type="gramStart"/>
      <w:r w:rsidR="0051377A" w:rsidRPr="00DD3907">
        <w:rPr>
          <w:rFonts w:ascii="Book Antiqua" w:hAnsi="Book Antiqua"/>
          <w:sz w:val="24"/>
          <w:szCs w:val="24"/>
        </w:rPr>
        <w:t>judge</w:t>
      </w:r>
      <w:proofErr w:type="gramEnd"/>
      <w:r w:rsidR="0051377A" w:rsidRPr="00DD3907">
        <w:rPr>
          <w:rFonts w:ascii="Book Antiqua" w:hAnsi="Book Antiqua"/>
          <w:sz w:val="24"/>
          <w:szCs w:val="24"/>
        </w:rPr>
        <w:t xml:space="preserve"> pointed out the discrepancy as to the name of the organisation referred to above. </w:t>
      </w:r>
      <w:r w:rsidR="007A54B9" w:rsidRPr="00DD3907">
        <w:rPr>
          <w:rFonts w:ascii="Book Antiqua" w:hAnsi="Book Antiqua"/>
          <w:sz w:val="24"/>
          <w:szCs w:val="24"/>
        </w:rPr>
        <w:t>At</w:t>
      </w:r>
      <w:r w:rsidR="00FF580E" w:rsidRPr="00DD3907">
        <w:rPr>
          <w:rFonts w:ascii="Book Antiqua" w:hAnsi="Book Antiqua"/>
          <w:sz w:val="24"/>
          <w:szCs w:val="24"/>
        </w:rPr>
        <w:t xml:space="preserve"> [29.2] it was noted that MK gave a different date for the demonstration in his witness statement</w:t>
      </w:r>
      <w:r w:rsidR="007C2584" w:rsidRPr="00DD3907">
        <w:rPr>
          <w:rFonts w:ascii="Book Antiqua" w:hAnsi="Book Antiqua"/>
          <w:sz w:val="24"/>
          <w:szCs w:val="24"/>
        </w:rPr>
        <w:t>, asserting there</w:t>
      </w:r>
      <w:r w:rsidR="00FF580E" w:rsidRPr="00DD3907">
        <w:rPr>
          <w:rFonts w:ascii="Book Antiqua" w:hAnsi="Book Antiqua"/>
          <w:sz w:val="24"/>
          <w:szCs w:val="24"/>
        </w:rPr>
        <w:t xml:space="preserve"> that it took place in 2017. </w:t>
      </w:r>
      <w:r w:rsidR="008001CD" w:rsidRPr="00DD3907">
        <w:rPr>
          <w:rFonts w:ascii="Book Antiqua" w:hAnsi="Book Antiqua"/>
          <w:sz w:val="24"/>
          <w:szCs w:val="24"/>
        </w:rPr>
        <w:t>At [29.</w:t>
      </w:r>
      <w:r w:rsidR="00CA77F7" w:rsidRPr="00DD3907">
        <w:rPr>
          <w:rFonts w:ascii="Book Antiqua" w:hAnsi="Book Antiqua"/>
          <w:sz w:val="24"/>
          <w:szCs w:val="24"/>
        </w:rPr>
        <w:t>6</w:t>
      </w:r>
      <w:r w:rsidR="008001CD" w:rsidRPr="00DD3907">
        <w:rPr>
          <w:rFonts w:ascii="Book Antiqua" w:hAnsi="Book Antiqua"/>
          <w:sz w:val="24"/>
          <w:szCs w:val="24"/>
        </w:rPr>
        <w:t xml:space="preserve">] the judge made an adverse credibility finding </w:t>
      </w:r>
      <w:r w:rsidR="00FD2F14" w:rsidRPr="00DD3907">
        <w:rPr>
          <w:rFonts w:ascii="Book Antiqua" w:hAnsi="Book Antiqua"/>
          <w:sz w:val="24"/>
          <w:szCs w:val="24"/>
        </w:rPr>
        <w:t xml:space="preserve">as the timescale within which the appellant was issued a </w:t>
      </w:r>
      <w:r w:rsidR="00FD2F14" w:rsidRPr="00DD3907">
        <w:rPr>
          <w:rFonts w:ascii="Book Antiqua" w:hAnsi="Book Antiqua"/>
          <w:sz w:val="24"/>
          <w:szCs w:val="24"/>
        </w:rPr>
        <w:lastRenderedPageBreak/>
        <w:t>membership card by MK.</w:t>
      </w:r>
      <w:r w:rsidR="00700096" w:rsidRPr="00DD3907">
        <w:rPr>
          <w:rFonts w:ascii="Book Antiqua" w:hAnsi="Book Antiqua"/>
          <w:sz w:val="24"/>
          <w:szCs w:val="24"/>
        </w:rPr>
        <w:t xml:space="preserve"> </w:t>
      </w:r>
      <w:r w:rsidR="005B2D35" w:rsidRPr="00DD3907">
        <w:rPr>
          <w:rFonts w:ascii="Book Antiqua" w:hAnsi="Book Antiqua"/>
          <w:sz w:val="24"/>
          <w:szCs w:val="24"/>
        </w:rPr>
        <w:t xml:space="preserve">At [29.5] </w:t>
      </w:r>
      <w:r w:rsidR="007951E0" w:rsidRPr="00DD3907">
        <w:rPr>
          <w:rFonts w:ascii="Book Antiqua" w:hAnsi="Book Antiqua"/>
          <w:sz w:val="24"/>
          <w:szCs w:val="24"/>
        </w:rPr>
        <w:t xml:space="preserve">the judge set out a variety of concerns about </w:t>
      </w:r>
      <w:r w:rsidR="00CA77F7" w:rsidRPr="00DD3907">
        <w:rPr>
          <w:rFonts w:ascii="Book Antiqua" w:hAnsi="Book Antiqua"/>
          <w:sz w:val="24"/>
          <w:szCs w:val="24"/>
        </w:rPr>
        <w:t>the shared narrative involving</w:t>
      </w:r>
      <w:r w:rsidR="003E1EFF" w:rsidRPr="00DD3907">
        <w:rPr>
          <w:rFonts w:ascii="Book Antiqua" w:hAnsi="Book Antiqua"/>
          <w:sz w:val="24"/>
          <w:szCs w:val="24"/>
        </w:rPr>
        <w:t xml:space="preserve"> MK.</w:t>
      </w:r>
      <w:r w:rsidR="00CA77F7" w:rsidRPr="00DD3907">
        <w:rPr>
          <w:rFonts w:ascii="Book Antiqua" w:hAnsi="Book Antiqua"/>
          <w:sz w:val="24"/>
          <w:szCs w:val="24"/>
        </w:rPr>
        <w:t xml:space="preserve"> </w:t>
      </w:r>
      <w:r w:rsidR="003E1EFF" w:rsidRPr="00DD3907">
        <w:rPr>
          <w:rFonts w:ascii="Book Antiqua" w:hAnsi="Book Antiqua"/>
          <w:sz w:val="24"/>
          <w:szCs w:val="24"/>
        </w:rPr>
        <w:t>Whilst the judge accepted the membership card at [2</w:t>
      </w:r>
      <w:r w:rsidR="00C2430B" w:rsidRPr="00DD3907">
        <w:rPr>
          <w:rFonts w:ascii="Book Antiqua" w:hAnsi="Book Antiqua"/>
          <w:sz w:val="24"/>
          <w:szCs w:val="24"/>
        </w:rPr>
        <w:t>6], it is not the case that the judge accepted that the appellant was a genuinely involved in political activity for the party in the UK</w:t>
      </w:r>
      <w:r w:rsidR="007A54B9" w:rsidRPr="00DD3907">
        <w:rPr>
          <w:rFonts w:ascii="Book Antiqua" w:hAnsi="Book Antiqua"/>
          <w:sz w:val="24"/>
          <w:szCs w:val="24"/>
        </w:rPr>
        <w:t xml:space="preserve">. This conclusion was reached after taking account of MK’s evidence. </w:t>
      </w:r>
    </w:p>
    <w:p w14:paraId="0F1D19E3" w14:textId="04278EA1" w:rsidR="00591326" w:rsidRPr="00DD3907" w:rsidRDefault="007C2584" w:rsidP="003D4C06">
      <w:pPr>
        <w:numPr>
          <w:ilvl w:val="0"/>
          <w:numId w:val="1"/>
        </w:numPr>
        <w:jc w:val="both"/>
        <w:rPr>
          <w:rFonts w:ascii="Book Antiqua" w:hAnsi="Book Antiqua"/>
          <w:sz w:val="24"/>
          <w:szCs w:val="24"/>
        </w:rPr>
      </w:pPr>
      <w:r w:rsidRPr="00DD3907">
        <w:rPr>
          <w:rFonts w:ascii="Book Antiqua" w:hAnsi="Book Antiqua"/>
          <w:sz w:val="24"/>
          <w:szCs w:val="24"/>
        </w:rPr>
        <w:t>In summary, I find that m</w:t>
      </w:r>
      <w:r w:rsidR="00700096" w:rsidRPr="00DD3907">
        <w:rPr>
          <w:rFonts w:ascii="Book Antiqua" w:hAnsi="Book Antiqua"/>
          <w:sz w:val="24"/>
          <w:szCs w:val="24"/>
        </w:rPr>
        <w:t xml:space="preserve">uch of this ground is not an identification of an error of law but a disagreement with the findings and an attempt to reargue the appeal. It is not necessary for the judge to refer to every aspect of the evidence, provided </w:t>
      </w:r>
      <w:proofErr w:type="gramStart"/>
      <w:r w:rsidR="00700096" w:rsidRPr="00DD3907">
        <w:rPr>
          <w:rFonts w:ascii="Book Antiqua" w:hAnsi="Book Antiqua"/>
          <w:sz w:val="24"/>
          <w:szCs w:val="24"/>
        </w:rPr>
        <w:t>it is clear that the</w:t>
      </w:r>
      <w:proofErr w:type="gramEnd"/>
      <w:r w:rsidR="00700096" w:rsidRPr="00DD3907">
        <w:rPr>
          <w:rFonts w:ascii="Book Antiqua" w:hAnsi="Book Antiqua"/>
          <w:sz w:val="24"/>
          <w:szCs w:val="24"/>
        </w:rPr>
        <w:t xml:space="preserve"> evidence has been taken into account in the round</w:t>
      </w:r>
      <w:r w:rsidR="00361B23" w:rsidRPr="00DD3907">
        <w:rPr>
          <w:rFonts w:ascii="Book Antiqua" w:hAnsi="Book Antiqua"/>
          <w:sz w:val="24"/>
          <w:szCs w:val="24"/>
        </w:rPr>
        <w:t xml:space="preserve">. I am satisfied that it was. </w:t>
      </w:r>
    </w:p>
    <w:p w14:paraId="7C977859" w14:textId="640100DE" w:rsidR="00480C99" w:rsidRPr="00DD3907" w:rsidRDefault="00480C99" w:rsidP="00480C99">
      <w:pPr>
        <w:jc w:val="both"/>
        <w:rPr>
          <w:rFonts w:ascii="Book Antiqua" w:hAnsi="Book Antiqua"/>
          <w:sz w:val="24"/>
          <w:szCs w:val="24"/>
        </w:rPr>
      </w:pPr>
      <w:r w:rsidRPr="00DD3907">
        <w:rPr>
          <w:rFonts w:ascii="Book Antiqua" w:hAnsi="Book Antiqua"/>
          <w:sz w:val="24"/>
          <w:szCs w:val="24"/>
        </w:rPr>
        <w:t>Ground 3</w:t>
      </w:r>
    </w:p>
    <w:p w14:paraId="158B2D7A" w14:textId="19CEB95C" w:rsidR="00480C99" w:rsidRPr="00DD3907" w:rsidRDefault="00480C99" w:rsidP="003D4C06">
      <w:pPr>
        <w:numPr>
          <w:ilvl w:val="0"/>
          <w:numId w:val="1"/>
        </w:numPr>
        <w:jc w:val="both"/>
        <w:rPr>
          <w:rFonts w:ascii="Book Antiqua" w:hAnsi="Book Antiqua"/>
          <w:sz w:val="24"/>
          <w:szCs w:val="24"/>
        </w:rPr>
      </w:pPr>
      <w:r w:rsidRPr="00DD3907">
        <w:rPr>
          <w:rFonts w:ascii="Book Antiqua" w:hAnsi="Book Antiqua"/>
          <w:sz w:val="24"/>
          <w:szCs w:val="24"/>
        </w:rPr>
        <w:t xml:space="preserve">The claim that the judge made impermissible findings </w:t>
      </w:r>
      <w:r w:rsidR="00D12E33" w:rsidRPr="00DD3907">
        <w:rPr>
          <w:rFonts w:ascii="Book Antiqua" w:hAnsi="Book Antiqua"/>
          <w:sz w:val="24"/>
          <w:szCs w:val="24"/>
        </w:rPr>
        <w:t xml:space="preserve">in relation to the appellant’s claim of hospitalisation for an operation and then discharged home within hours, I agree with the judge refusing permission that </w:t>
      </w:r>
      <w:r w:rsidR="005E606A" w:rsidRPr="00DD3907">
        <w:rPr>
          <w:rFonts w:ascii="Book Antiqua" w:hAnsi="Book Antiqua"/>
          <w:sz w:val="24"/>
          <w:szCs w:val="24"/>
        </w:rPr>
        <w:t xml:space="preserve">the judge was not expressing any medical opinion but considering the claim in the context of the evidence overall as not credible. </w:t>
      </w:r>
      <w:r w:rsidR="00740C12" w:rsidRPr="00DD3907">
        <w:rPr>
          <w:rFonts w:ascii="Book Antiqua" w:hAnsi="Book Antiqua"/>
          <w:sz w:val="24"/>
          <w:szCs w:val="24"/>
        </w:rPr>
        <w:t xml:space="preserve">No error of law is disclosed. </w:t>
      </w:r>
    </w:p>
    <w:p w14:paraId="0472B3D5" w14:textId="75AB5474" w:rsidR="00361B23" w:rsidRPr="00DD3907" w:rsidRDefault="00361B23" w:rsidP="00480C99">
      <w:pPr>
        <w:jc w:val="both"/>
        <w:rPr>
          <w:rFonts w:ascii="Book Antiqua" w:hAnsi="Book Antiqua"/>
          <w:sz w:val="24"/>
          <w:szCs w:val="24"/>
        </w:rPr>
      </w:pPr>
      <w:r w:rsidRPr="00DD3907">
        <w:rPr>
          <w:rFonts w:ascii="Book Antiqua" w:hAnsi="Book Antiqua"/>
          <w:sz w:val="24"/>
          <w:szCs w:val="24"/>
        </w:rPr>
        <w:t>Ground 4</w:t>
      </w:r>
    </w:p>
    <w:p w14:paraId="044135BA" w14:textId="5C6F99BF" w:rsidR="00361B23" w:rsidRPr="00DD3907" w:rsidRDefault="00361B23" w:rsidP="003D4C06">
      <w:pPr>
        <w:numPr>
          <w:ilvl w:val="0"/>
          <w:numId w:val="1"/>
        </w:numPr>
        <w:jc w:val="both"/>
        <w:rPr>
          <w:rFonts w:ascii="Book Antiqua" w:hAnsi="Book Antiqua"/>
          <w:sz w:val="24"/>
          <w:szCs w:val="24"/>
        </w:rPr>
      </w:pPr>
      <w:r w:rsidRPr="00DD3907">
        <w:rPr>
          <w:rFonts w:ascii="Book Antiqua" w:hAnsi="Book Antiqua"/>
          <w:sz w:val="24"/>
          <w:szCs w:val="24"/>
        </w:rPr>
        <w:t xml:space="preserve">I do not accept that the First-tier Tribunal </w:t>
      </w:r>
      <w:r w:rsidR="00B00A23" w:rsidRPr="00DD3907">
        <w:rPr>
          <w:rFonts w:ascii="Book Antiqua" w:hAnsi="Book Antiqua"/>
          <w:sz w:val="24"/>
          <w:szCs w:val="24"/>
        </w:rPr>
        <w:t xml:space="preserve">ignored the </w:t>
      </w:r>
      <w:r w:rsidR="00B00A23" w:rsidRPr="00DD3907">
        <w:rPr>
          <w:rFonts w:ascii="Book Antiqua" w:hAnsi="Book Antiqua"/>
          <w:sz w:val="24"/>
          <w:szCs w:val="24"/>
          <w:u w:val="single"/>
        </w:rPr>
        <w:t>HJ (Iran)</w:t>
      </w:r>
      <w:r w:rsidR="00B00A23" w:rsidRPr="00DD3907">
        <w:rPr>
          <w:rFonts w:ascii="Book Antiqua" w:hAnsi="Book Antiqua"/>
          <w:sz w:val="24"/>
          <w:szCs w:val="24"/>
        </w:rPr>
        <w:t xml:space="preserve"> consideration. </w:t>
      </w:r>
      <w:r w:rsidR="00A66E04" w:rsidRPr="00DD3907">
        <w:rPr>
          <w:rFonts w:ascii="Book Antiqua" w:hAnsi="Book Antiqua"/>
          <w:sz w:val="24"/>
          <w:szCs w:val="24"/>
        </w:rPr>
        <w:t>The decision comprises extensive and detailed adverse credibility findings. At [29.7] the judge found that the appellant’s account of her involvement with the party in Iran lacked meaningful detail</w:t>
      </w:r>
      <w:r w:rsidR="003D18C6" w:rsidRPr="00DD3907">
        <w:rPr>
          <w:rFonts w:ascii="Book Antiqua" w:hAnsi="Book Antiqua"/>
          <w:sz w:val="24"/>
          <w:szCs w:val="24"/>
        </w:rPr>
        <w:t xml:space="preserve"> and her rationale for becoming involved again in 2018 was not convincing to the lower standard of proof. </w:t>
      </w:r>
      <w:r w:rsidR="00D42E8B" w:rsidRPr="00DD3907">
        <w:rPr>
          <w:rFonts w:ascii="Book Antiqua" w:hAnsi="Book Antiqua"/>
          <w:sz w:val="24"/>
          <w:szCs w:val="24"/>
        </w:rPr>
        <w:t>At [29.9] the judge concluded that the appellant’s account had been embellished</w:t>
      </w:r>
      <w:r w:rsidR="001C0437" w:rsidRPr="00DD3907">
        <w:rPr>
          <w:rFonts w:ascii="Book Antiqua" w:hAnsi="Book Antiqua"/>
          <w:sz w:val="24"/>
          <w:szCs w:val="24"/>
        </w:rPr>
        <w:t xml:space="preserve"> and rejected the claim to have attended any demonstration</w:t>
      </w:r>
      <w:r w:rsidR="00FB440D" w:rsidRPr="00DD3907">
        <w:rPr>
          <w:rFonts w:ascii="Book Antiqua" w:hAnsi="Book Antiqua"/>
          <w:sz w:val="24"/>
          <w:szCs w:val="24"/>
        </w:rPr>
        <w:t xml:space="preserve">. </w:t>
      </w:r>
      <w:proofErr w:type="gramStart"/>
      <w:r w:rsidR="00FB440D" w:rsidRPr="00DD3907">
        <w:rPr>
          <w:rFonts w:ascii="Book Antiqua" w:hAnsi="Book Antiqua"/>
          <w:sz w:val="24"/>
          <w:szCs w:val="24"/>
        </w:rPr>
        <w:t>In essence, her</w:t>
      </w:r>
      <w:proofErr w:type="gramEnd"/>
      <w:r w:rsidR="00FB440D" w:rsidRPr="00DD3907">
        <w:rPr>
          <w:rFonts w:ascii="Book Antiqua" w:hAnsi="Book Antiqua"/>
          <w:sz w:val="24"/>
          <w:szCs w:val="24"/>
        </w:rPr>
        <w:t xml:space="preserve"> entire factual claim as to events in Iran before leaving in 2018 was rejected, for the reasons clearly set out in the decision. </w:t>
      </w:r>
      <w:r w:rsidR="00A66E04" w:rsidRPr="00DD3907">
        <w:rPr>
          <w:rFonts w:ascii="Book Antiqua" w:hAnsi="Book Antiqua"/>
          <w:sz w:val="24"/>
          <w:szCs w:val="24"/>
        </w:rPr>
        <w:t xml:space="preserve"> </w:t>
      </w:r>
      <w:r w:rsidR="005E1759" w:rsidRPr="00DD3907">
        <w:rPr>
          <w:rFonts w:ascii="Book Antiqua" w:hAnsi="Book Antiqua"/>
          <w:sz w:val="24"/>
          <w:szCs w:val="24"/>
        </w:rPr>
        <w:t>At [32] the judge concluded that the appellant had failed to prove, even to the lower standard of proof, that she was involved with the party in Iran, or that she had been arrested and detained in 2017, or that she had attended a further demonstration in August 2018</w:t>
      </w:r>
      <w:r w:rsidR="00E83AFB" w:rsidRPr="00DD3907">
        <w:rPr>
          <w:rFonts w:ascii="Book Antiqua" w:hAnsi="Book Antiqua"/>
          <w:sz w:val="24"/>
          <w:szCs w:val="24"/>
        </w:rPr>
        <w:t xml:space="preserve">. It was not accepted that the appellant came to the attention of the authorities at any time, or that her home had been raided on any occasion. </w:t>
      </w:r>
    </w:p>
    <w:p w14:paraId="406A1079" w14:textId="2AA9CFDF" w:rsidR="00524DDA" w:rsidRPr="00DD3907" w:rsidRDefault="00524DDA" w:rsidP="003D4C06">
      <w:pPr>
        <w:numPr>
          <w:ilvl w:val="0"/>
          <w:numId w:val="1"/>
        </w:numPr>
        <w:jc w:val="both"/>
        <w:rPr>
          <w:rFonts w:ascii="Book Antiqua" w:hAnsi="Book Antiqua"/>
          <w:sz w:val="24"/>
          <w:szCs w:val="24"/>
        </w:rPr>
      </w:pPr>
      <w:r w:rsidRPr="00DD3907">
        <w:rPr>
          <w:rFonts w:ascii="Book Antiqua" w:hAnsi="Book Antiqua"/>
          <w:sz w:val="24"/>
          <w:szCs w:val="24"/>
        </w:rPr>
        <w:t xml:space="preserve">In relation to the </w:t>
      </w:r>
      <w:r w:rsidRPr="00DD3907">
        <w:rPr>
          <w:rFonts w:ascii="Book Antiqua" w:hAnsi="Book Antiqua"/>
          <w:i/>
          <w:iCs/>
          <w:sz w:val="24"/>
          <w:szCs w:val="24"/>
        </w:rPr>
        <w:t>sur place</w:t>
      </w:r>
      <w:r w:rsidRPr="00DD3907">
        <w:rPr>
          <w:rFonts w:ascii="Book Antiqua" w:hAnsi="Book Antiqua"/>
          <w:sz w:val="24"/>
          <w:szCs w:val="24"/>
        </w:rPr>
        <w:t xml:space="preserve"> activities, these were carefully considered at [34] onwards</w:t>
      </w:r>
      <w:r w:rsidR="00B41A8B" w:rsidRPr="00DD3907">
        <w:rPr>
          <w:rFonts w:ascii="Book Antiqua" w:hAnsi="Book Antiqua"/>
          <w:sz w:val="24"/>
          <w:szCs w:val="24"/>
        </w:rPr>
        <w:t xml:space="preserve"> but found to lack detail and credibilit</w:t>
      </w:r>
      <w:r w:rsidR="00746090" w:rsidRPr="00DD3907">
        <w:rPr>
          <w:rFonts w:ascii="Book Antiqua" w:hAnsi="Book Antiqua"/>
          <w:sz w:val="24"/>
          <w:szCs w:val="24"/>
        </w:rPr>
        <w:t xml:space="preserve">y, despite a careful examination of the evidence, including the artwork the appellant claimed to have created for the party. </w:t>
      </w:r>
      <w:r w:rsidR="00B47BBF" w:rsidRPr="00DD3907">
        <w:rPr>
          <w:rFonts w:ascii="Book Antiqua" w:hAnsi="Book Antiqua"/>
          <w:sz w:val="24"/>
          <w:szCs w:val="24"/>
        </w:rPr>
        <w:t xml:space="preserve">The judge concluded that there was no social media evidence that was genuine or </w:t>
      </w:r>
      <w:r w:rsidR="00A346D9" w:rsidRPr="00DD3907">
        <w:rPr>
          <w:rFonts w:ascii="Book Antiqua" w:hAnsi="Book Antiqua"/>
          <w:sz w:val="24"/>
          <w:szCs w:val="24"/>
        </w:rPr>
        <w:t>proven to be in the public domain. At [37] the judge did not accept that she had posted anti-Iranian regime messages on Facebook</w:t>
      </w:r>
      <w:r w:rsidR="00387E9C" w:rsidRPr="00DD3907">
        <w:rPr>
          <w:rFonts w:ascii="Book Antiqua" w:hAnsi="Book Antiqua"/>
          <w:sz w:val="24"/>
          <w:szCs w:val="24"/>
        </w:rPr>
        <w:t xml:space="preserve"> or that such would be known to the authorities on her return to Iran, so that she was not at risk. </w:t>
      </w:r>
      <w:r w:rsidR="006A1652" w:rsidRPr="00DD3907">
        <w:rPr>
          <w:rFonts w:ascii="Book Antiqua" w:hAnsi="Book Antiqua"/>
          <w:sz w:val="24"/>
          <w:szCs w:val="24"/>
        </w:rPr>
        <w:t xml:space="preserve">In the circumstances, there was no basis for there being any risk on return. </w:t>
      </w:r>
    </w:p>
    <w:p w14:paraId="4F98627F" w14:textId="300C9DDD" w:rsidR="00740C12" w:rsidRPr="00DD3907" w:rsidRDefault="00816B36" w:rsidP="003D4C06">
      <w:pPr>
        <w:numPr>
          <w:ilvl w:val="0"/>
          <w:numId w:val="1"/>
        </w:numPr>
        <w:jc w:val="both"/>
        <w:rPr>
          <w:rFonts w:ascii="Book Antiqua" w:hAnsi="Book Antiqua"/>
          <w:sz w:val="24"/>
          <w:szCs w:val="24"/>
        </w:rPr>
      </w:pPr>
      <w:r w:rsidRPr="00DD3907">
        <w:rPr>
          <w:rFonts w:ascii="Book Antiqua" w:hAnsi="Book Antiqua"/>
          <w:sz w:val="24"/>
          <w:szCs w:val="24"/>
        </w:rPr>
        <w:t xml:space="preserve">In response to Mr Bates’ submissions, Ms Cleghorn effectively accepted that this ground could not be made out on the findings made. However, she related it back to the alleged over-reliance on the SI, which I have addressed above. </w:t>
      </w:r>
      <w:r w:rsidR="009C6AF5" w:rsidRPr="00DD3907">
        <w:rPr>
          <w:rFonts w:ascii="Book Antiqua" w:hAnsi="Book Antiqua"/>
          <w:sz w:val="24"/>
          <w:szCs w:val="24"/>
        </w:rPr>
        <w:t xml:space="preserve">Summarising her position, Ms Cleghorn submitted that if one removes those adverse credibility findings which relate to or arise out of the SI, there is very little left on which to make adverse credibility findings. </w:t>
      </w:r>
      <w:r w:rsidR="00612340" w:rsidRPr="00DD3907">
        <w:rPr>
          <w:rFonts w:ascii="Book Antiqua" w:hAnsi="Book Antiqua"/>
          <w:sz w:val="24"/>
          <w:szCs w:val="24"/>
        </w:rPr>
        <w:t xml:space="preserve">However, for the reasons set out herein, I am not satisfied that the judge made an over-reliance on the SI </w:t>
      </w:r>
      <w:r w:rsidR="00B13C5F" w:rsidRPr="00DD3907">
        <w:rPr>
          <w:rFonts w:ascii="Book Antiqua" w:hAnsi="Book Antiqua"/>
          <w:sz w:val="24"/>
          <w:szCs w:val="24"/>
        </w:rPr>
        <w:t xml:space="preserve">or even expected the appellant to provide a detailed account at that time. I have already noted that the judge </w:t>
      </w:r>
      <w:proofErr w:type="gramStart"/>
      <w:r w:rsidR="00B13C5F" w:rsidRPr="00DD3907">
        <w:rPr>
          <w:rFonts w:ascii="Book Antiqua" w:hAnsi="Book Antiqua"/>
          <w:sz w:val="24"/>
          <w:szCs w:val="24"/>
        </w:rPr>
        <w:t>took into account</w:t>
      </w:r>
      <w:proofErr w:type="gramEnd"/>
      <w:r w:rsidR="00B13C5F" w:rsidRPr="00DD3907">
        <w:rPr>
          <w:rFonts w:ascii="Book Antiqua" w:hAnsi="Book Antiqua"/>
          <w:sz w:val="24"/>
          <w:szCs w:val="24"/>
        </w:rPr>
        <w:t xml:space="preserve"> the difficult circumstances of the SI. I am satisfied that no error of law is disclosed.</w:t>
      </w:r>
    </w:p>
    <w:p w14:paraId="08E967C6" w14:textId="6B046DAA" w:rsidR="005E1759" w:rsidRPr="00DD3907" w:rsidRDefault="006A1652" w:rsidP="006A1652">
      <w:pPr>
        <w:jc w:val="both"/>
        <w:rPr>
          <w:rFonts w:ascii="Book Antiqua" w:hAnsi="Book Antiqua"/>
          <w:sz w:val="24"/>
          <w:szCs w:val="24"/>
        </w:rPr>
      </w:pPr>
      <w:r w:rsidRPr="00DD3907">
        <w:rPr>
          <w:rFonts w:ascii="Book Antiqua" w:hAnsi="Book Antiqua"/>
          <w:sz w:val="24"/>
          <w:szCs w:val="24"/>
        </w:rPr>
        <w:t>Ground 5</w:t>
      </w:r>
    </w:p>
    <w:p w14:paraId="7CB0FE9B" w14:textId="0D0D5699" w:rsidR="000C11A9" w:rsidRPr="00DD3907" w:rsidRDefault="001D6EBE" w:rsidP="00D90DEF">
      <w:pPr>
        <w:numPr>
          <w:ilvl w:val="0"/>
          <w:numId w:val="1"/>
        </w:numPr>
        <w:jc w:val="both"/>
        <w:rPr>
          <w:rFonts w:ascii="Book Antiqua" w:hAnsi="Book Antiqua"/>
          <w:sz w:val="24"/>
          <w:szCs w:val="24"/>
        </w:rPr>
      </w:pPr>
      <w:r w:rsidRPr="00DD3907">
        <w:rPr>
          <w:rFonts w:ascii="Book Antiqua" w:hAnsi="Book Antiqua"/>
          <w:sz w:val="24"/>
          <w:szCs w:val="24"/>
        </w:rPr>
        <w:t xml:space="preserve">Whilst a serious allegation, ground 5 adds </w:t>
      </w:r>
      <w:r w:rsidR="00097BF0" w:rsidRPr="00DD3907">
        <w:rPr>
          <w:rFonts w:ascii="Book Antiqua" w:hAnsi="Book Antiqua"/>
          <w:sz w:val="24"/>
          <w:szCs w:val="24"/>
        </w:rPr>
        <w:t>little</w:t>
      </w:r>
      <w:r w:rsidRPr="00DD3907">
        <w:rPr>
          <w:rFonts w:ascii="Book Antiqua" w:hAnsi="Book Antiqua"/>
          <w:sz w:val="24"/>
          <w:szCs w:val="24"/>
        </w:rPr>
        <w:t xml:space="preserve"> to the appellant’s claim of an error of law on the part of the First-tier Tribunal. </w:t>
      </w:r>
      <w:r w:rsidR="005C1A5B" w:rsidRPr="00DD3907">
        <w:rPr>
          <w:rFonts w:ascii="Book Antiqua" w:hAnsi="Book Antiqua"/>
          <w:sz w:val="24"/>
          <w:szCs w:val="24"/>
        </w:rPr>
        <w:t>At [29.1] the judge found it not credible that the appellant had told her family nothing of what happened to her or even where she had been after a week of alleged detention and mistreatment causing injury</w:t>
      </w:r>
      <w:r w:rsidR="0008641D" w:rsidRPr="00DD3907">
        <w:rPr>
          <w:rFonts w:ascii="Book Antiqua" w:hAnsi="Book Antiqua"/>
          <w:sz w:val="24"/>
          <w:szCs w:val="24"/>
        </w:rPr>
        <w:t xml:space="preserve"> in addition to sexual abuse and rape. </w:t>
      </w:r>
      <w:r w:rsidR="00052525" w:rsidRPr="00DD3907">
        <w:rPr>
          <w:rFonts w:ascii="Book Antiqua" w:hAnsi="Book Antiqua"/>
          <w:sz w:val="24"/>
          <w:szCs w:val="24"/>
        </w:rPr>
        <w:t>Ms Cleghorn submitted, not unreasonably</w:t>
      </w:r>
      <w:r w:rsidR="00735F4C" w:rsidRPr="00DD3907">
        <w:rPr>
          <w:rFonts w:ascii="Book Antiqua" w:hAnsi="Book Antiqua"/>
          <w:sz w:val="24"/>
          <w:szCs w:val="24"/>
        </w:rPr>
        <w:t>,</w:t>
      </w:r>
      <w:r w:rsidR="00052525" w:rsidRPr="00DD3907">
        <w:rPr>
          <w:rFonts w:ascii="Book Antiqua" w:hAnsi="Book Antiqua"/>
          <w:sz w:val="24"/>
          <w:szCs w:val="24"/>
        </w:rPr>
        <w:t xml:space="preserve"> that </w:t>
      </w:r>
      <w:r w:rsidR="00735F4C" w:rsidRPr="00DD3907">
        <w:rPr>
          <w:rFonts w:ascii="Book Antiqua" w:hAnsi="Book Antiqua"/>
          <w:sz w:val="24"/>
          <w:szCs w:val="24"/>
        </w:rPr>
        <w:t xml:space="preserve">reticence to recall a </w:t>
      </w:r>
      <w:r w:rsidR="00052525" w:rsidRPr="00DD3907">
        <w:rPr>
          <w:rFonts w:ascii="Book Antiqua" w:hAnsi="Book Antiqua"/>
          <w:sz w:val="24"/>
          <w:szCs w:val="24"/>
        </w:rPr>
        <w:t>traumatic event such as rape</w:t>
      </w:r>
      <w:r w:rsidR="00735F4C" w:rsidRPr="00DD3907">
        <w:rPr>
          <w:rFonts w:ascii="Book Antiqua" w:hAnsi="Book Antiqua"/>
          <w:sz w:val="24"/>
          <w:szCs w:val="24"/>
        </w:rPr>
        <w:t xml:space="preserve"> may well extent to other aspects of the same incident.</w:t>
      </w:r>
      <w:r w:rsidR="00052525" w:rsidRPr="00DD3907">
        <w:rPr>
          <w:rFonts w:ascii="Book Antiqua" w:hAnsi="Book Antiqua"/>
          <w:sz w:val="24"/>
          <w:szCs w:val="24"/>
        </w:rPr>
        <w:t xml:space="preserve"> </w:t>
      </w:r>
      <w:r w:rsidR="00735F4C" w:rsidRPr="00DD3907">
        <w:rPr>
          <w:rFonts w:ascii="Book Antiqua" w:hAnsi="Book Antiqua"/>
          <w:sz w:val="24"/>
          <w:szCs w:val="24"/>
        </w:rPr>
        <w:t>However, w</w:t>
      </w:r>
      <w:r w:rsidR="0008641D" w:rsidRPr="00DD3907">
        <w:rPr>
          <w:rFonts w:ascii="Book Antiqua" w:hAnsi="Book Antiqua"/>
          <w:sz w:val="24"/>
          <w:szCs w:val="24"/>
        </w:rPr>
        <w:t>hilst a victim of rape may be reticent about</w:t>
      </w:r>
      <w:r w:rsidR="00082E66" w:rsidRPr="00DD3907">
        <w:rPr>
          <w:rFonts w:ascii="Book Antiqua" w:hAnsi="Book Antiqua"/>
          <w:sz w:val="24"/>
          <w:szCs w:val="24"/>
        </w:rPr>
        <w:t xml:space="preserve"> such matters, for obvious reasons, </w:t>
      </w:r>
      <w:r w:rsidR="00816B36" w:rsidRPr="00DD3907">
        <w:rPr>
          <w:rFonts w:ascii="Book Antiqua" w:hAnsi="Book Antiqua"/>
          <w:sz w:val="24"/>
          <w:szCs w:val="24"/>
        </w:rPr>
        <w:t xml:space="preserve">as Mr Bates accepted, </w:t>
      </w:r>
      <w:r w:rsidR="00082E66" w:rsidRPr="00DD3907">
        <w:rPr>
          <w:rFonts w:ascii="Book Antiqua" w:hAnsi="Book Antiqua"/>
          <w:sz w:val="24"/>
          <w:szCs w:val="24"/>
        </w:rPr>
        <w:t>the judge’s concern was that nothing at all was said</w:t>
      </w:r>
      <w:r w:rsidR="001E53F1" w:rsidRPr="00DD3907">
        <w:rPr>
          <w:rFonts w:ascii="Book Antiqua" w:hAnsi="Book Antiqua"/>
          <w:sz w:val="24"/>
          <w:szCs w:val="24"/>
        </w:rPr>
        <w:t xml:space="preserve"> to the family</w:t>
      </w:r>
      <w:r w:rsidR="00082E66" w:rsidRPr="00DD3907">
        <w:rPr>
          <w:rFonts w:ascii="Book Antiqua" w:hAnsi="Book Antiqua"/>
          <w:sz w:val="24"/>
          <w:szCs w:val="24"/>
        </w:rPr>
        <w:t xml:space="preserve">, </w:t>
      </w:r>
      <w:r w:rsidR="001E53F1" w:rsidRPr="00DD3907">
        <w:rPr>
          <w:rFonts w:ascii="Book Antiqua" w:hAnsi="Book Antiqua"/>
          <w:sz w:val="24"/>
          <w:szCs w:val="24"/>
        </w:rPr>
        <w:t xml:space="preserve">not </w:t>
      </w:r>
      <w:r w:rsidR="00082E66" w:rsidRPr="00DD3907">
        <w:rPr>
          <w:rFonts w:ascii="Book Antiqua" w:hAnsi="Book Antiqua"/>
          <w:sz w:val="24"/>
          <w:szCs w:val="24"/>
        </w:rPr>
        <w:t xml:space="preserve">even about where she had been for a week. </w:t>
      </w:r>
      <w:r w:rsidR="001E53F1" w:rsidRPr="00DD3907">
        <w:rPr>
          <w:rFonts w:ascii="Book Antiqua" w:hAnsi="Book Antiqua"/>
          <w:sz w:val="24"/>
          <w:szCs w:val="24"/>
        </w:rPr>
        <w:t>I further note that t</w:t>
      </w:r>
      <w:r w:rsidR="00EE2215" w:rsidRPr="00DD3907">
        <w:rPr>
          <w:rFonts w:ascii="Book Antiqua" w:hAnsi="Book Antiqua"/>
          <w:sz w:val="24"/>
          <w:szCs w:val="24"/>
        </w:rPr>
        <w:t xml:space="preserve">he appellant was perfectly willing to disclose in the SI </w:t>
      </w:r>
      <w:r w:rsidR="005A3322" w:rsidRPr="00DD3907">
        <w:rPr>
          <w:rFonts w:ascii="Book Antiqua" w:hAnsi="Book Antiqua"/>
          <w:sz w:val="24"/>
          <w:szCs w:val="24"/>
        </w:rPr>
        <w:t xml:space="preserve">and later accounts </w:t>
      </w:r>
      <w:r w:rsidR="00EE2215" w:rsidRPr="00DD3907">
        <w:rPr>
          <w:rFonts w:ascii="Book Antiqua" w:hAnsi="Book Antiqua"/>
          <w:sz w:val="24"/>
          <w:szCs w:val="24"/>
        </w:rPr>
        <w:t>that she had been sexually abused and raped</w:t>
      </w:r>
      <w:r w:rsidR="005A3322" w:rsidRPr="00DD3907">
        <w:rPr>
          <w:rFonts w:ascii="Book Antiqua" w:hAnsi="Book Antiqua"/>
          <w:sz w:val="24"/>
          <w:szCs w:val="24"/>
        </w:rPr>
        <w:t xml:space="preserve">, but at [29.1] the judge noted the absence of detail of her account, not just in the SI but in her evidence overall, such as where she was </w:t>
      </w:r>
      <w:r w:rsidR="00B90836" w:rsidRPr="00DD3907">
        <w:rPr>
          <w:rFonts w:ascii="Book Antiqua" w:hAnsi="Book Antiqua"/>
          <w:sz w:val="24"/>
          <w:szCs w:val="24"/>
        </w:rPr>
        <w:t xml:space="preserve">detained or anything particular about the treatment she received. </w:t>
      </w:r>
      <w:r w:rsidR="001E53F1" w:rsidRPr="00DD3907">
        <w:rPr>
          <w:rFonts w:ascii="Book Antiqua" w:hAnsi="Book Antiqua"/>
          <w:sz w:val="24"/>
          <w:szCs w:val="24"/>
        </w:rPr>
        <w:t>It was the vague generality of her account that gave the judge concern as to her credibility</w:t>
      </w:r>
      <w:r w:rsidR="004C7C83" w:rsidRPr="00DD3907">
        <w:rPr>
          <w:rFonts w:ascii="Book Antiqua" w:hAnsi="Book Antiqua"/>
          <w:sz w:val="24"/>
          <w:szCs w:val="24"/>
        </w:rPr>
        <w:t xml:space="preserve">. At no point does the judge criticise her for not detailing the nature of the rape allegation. </w:t>
      </w:r>
      <w:r w:rsidR="008532BF" w:rsidRPr="00DD3907">
        <w:rPr>
          <w:rFonts w:ascii="Book Antiqua" w:hAnsi="Book Antiqua"/>
          <w:sz w:val="24"/>
          <w:szCs w:val="24"/>
        </w:rPr>
        <w:t>It is not accurate</w:t>
      </w:r>
      <w:r w:rsidR="00F36F30" w:rsidRPr="00DD3907">
        <w:rPr>
          <w:rFonts w:ascii="Book Antiqua" w:hAnsi="Book Antiqua"/>
          <w:sz w:val="24"/>
          <w:szCs w:val="24"/>
        </w:rPr>
        <w:t xml:space="preserve"> to suggest</w:t>
      </w:r>
      <w:r w:rsidR="008532BF" w:rsidRPr="00DD3907">
        <w:rPr>
          <w:rFonts w:ascii="Book Antiqua" w:hAnsi="Book Antiqua"/>
          <w:sz w:val="24"/>
          <w:szCs w:val="24"/>
        </w:rPr>
        <w:t xml:space="preserve"> that the judge </w:t>
      </w:r>
      <w:r w:rsidR="00F36F30" w:rsidRPr="00DD3907">
        <w:rPr>
          <w:rFonts w:ascii="Book Antiqua" w:hAnsi="Book Antiqua"/>
          <w:sz w:val="24"/>
          <w:szCs w:val="24"/>
        </w:rPr>
        <w:t xml:space="preserve">ignored or </w:t>
      </w:r>
      <w:r w:rsidR="008532BF" w:rsidRPr="00DD3907">
        <w:rPr>
          <w:rFonts w:ascii="Book Antiqua" w:hAnsi="Book Antiqua"/>
          <w:sz w:val="24"/>
          <w:szCs w:val="24"/>
        </w:rPr>
        <w:t>failed to note that she claimed to have been raped</w:t>
      </w:r>
      <w:r w:rsidR="00D13D20" w:rsidRPr="00DD3907">
        <w:rPr>
          <w:rFonts w:ascii="Book Antiqua" w:hAnsi="Book Antiqua"/>
          <w:sz w:val="24"/>
          <w:szCs w:val="24"/>
        </w:rPr>
        <w:t>. In large part, this ground is a disagreement with the decision and an attempt to reargue the point, suggesting, for example, that rape would explain why she</w:t>
      </w:r>
      <w:r w:rsidR="00AB7D9E" w:rsidRPr="00DD3907">
        <w:rPr>
          <w:rFonts w:ascii="Book Antiqua" w:hAnsi="Book Antiqua"/>
          <w:sz w:val="24"/>
          <w:szCs w:val="24"/>
        </w:rPr>
        <w:t xml:space="preserve"> told her family nothing, and that</w:t>
      </w:r>
      <w:r w:rsidR="00D90DEF" w:rsidRPr="00DD3907">
        <w:rPr>
          <w:rFonts w:ascii="Book Antiqua" w:hAnsi="Book Antiqua"/>
          <w:sz w:val="24"/>
          <w:szCs w:val="24"/>
        </w:rPr>
        <w:t xml:space="preserve"> independent evidence proves that the demonstration did take place. In the premises, </w:t>
      </w:r>
      <w:r w:rsidR="00B90836" w:rsidRPr="00DD3907">
        <w:rPr>
          <w:rFonts w:ascii="Book Antiqua" w:hAnsi="Book Antiqua"/>
          <w:sz w:val="24"/>
          <w:szCs w:val="24"/>
        </w:rPr>
        <w:t xml:space="preserve">I am satisfied that </w:t>
      </w:r>
      <w:proofErr w:type="gramStart"/>
      <w:r w:rsidR="00D90DEF" w:rsidRPr="00DD3907">
        <w:rPr>
          <w:rFonts w:ascii="Book Antiqua" w:hAnsi="Book Antiqua"/>
          <w:sz w:val="24"/>
          <w:szCs w:val="24"/>
        </w:rPr>
        <w:t>all of</w:t>
      </w:r>
      <w:proofErr w:type="gramEnd"/>
      <w:r w:rsidR="00D90DEF" w:rsidRPr="00DD3907">
        <w:rPr>
          <w:rFonts w:ascii="Book Antiqua" w:hAnsi="Book Antiqua"/>
          <w:sz w:val="24"/>
          <w:szCs w:val="24"/>
        </w:rPr>
        <w:t xml:space="preserve"> </w:t>
      </w:r>
      <w:r w:rsidR="00B90836" w:rsidRPr="00DD3907">
        <w:rPr>
          <w:rFonts w:ascii="Book Antiqua" w:hAnsi="Book Antiqua"/>
          <w:sz w:val="24"/>
          <w:szCs w:val="24"/>
        </w:rPr>
        <w:t xml:space="preserve">these </w:t>
      </w:r>
      <w:r w:rsidR="000C11A9" w:rsidRPr="00DD3907">
        <w:rPr>
          <w:rFonts w:ascii="Book Antiqua" w:hAnsi="Book Antiqua"/>
          <w:sz w:val="24"/>
          <w:szCs w:val="24"/>
        </w:rPr>
        <w:t xml:space="preserve">adverse credibility </w:t>
      </w:r>
      <w:r w:rsidR="00B90836" w:rsidRPr="00DD3907">
        <w:rPr>
          <w:rFonts w:ascii="Book Antiqua" w:hAnsi="Book Antiqua"/>
          <w:sz w:val="24"/>
          <w:szCs w:val="24"/>
        </w:rPr>
        <w:t>findings were open to the judge on the evidence</w:t>
      </w:r>
      <w:r w:rsidR="000C11A9" w:rsidRPr="00DD3907">
        <w:rPr>
          <w:rFonts w:ascii="Book Antiqua" w:hAnsi="Book Antiqua"/>
          <w:sz w:val="24"/>
          <w:szCs w:val="24"/>
        </w:rPr>
        <w:t xml:space="preserve"> and for which cogent reasoning has been provided.</w:t>
      </w:r>
    </w:p>
    <w:p w14:paraId="468DB09A" w14:textId="6E4EA406" w:rsidR="00AE767F" w:rsidRPr="00DD3907" w:rsidRDefault="00AE767F" w:rsidP="0054333C">
      <w:pPr>
        <w:numPr>
          <w:ilvl w:val="0"/>
          <w:numId w:val="1"/>
        </w:numPr>
        <w:jc w:val="both"/>
        <w:rPr>
          <w:rFonts w:ascii="Book Antiqua" w:hAnsi="Book Antiqua"/>
          <w:sz w:val="24"/>
          <w:szCs w:val="24"/>
        </w:rPr>
      </w:pPr>
      <w:r w:rsidRPr="00DD3907">
        <w:rPr>
          <w:rFonts w:ascii="Book Antiqua" w:hAnsi="Book Antiqua"/>
          <w:sz w:val="24"/>
          <w:szCs w:val="24"/>
        </w:rPr>
        <w:t xml:space="preserve">In the circumstances and for the reasons set out above, I find no </w:t>
      </w:r>
      <w:r w:rsidR="007C3C30" w:rsidRPr="00DD3907">
        <w:rPr>
          <w:rFonts w:ascii="Book Antiqua" w:hAnsi="Book Antiqua"/>
          <w:sz w:val="24"/>
          <w:szCs w:val="24"/>
        </w:rPr>
        <w:t xml:space="preserve">material </w:t>
      </w:r>
      <w:r w:rsidRPr="00DD3907">
        <w:rPr>
          <w:rFonts w:ascii="Book Antiqua" w:hAnsi="Book Antiqua"/>
          <w:sz w:val="24"/>
          <w:szCs w:val="24"/>
        </w:rPr>
        <w:t xml:space="preserve">error of law in the decision of the First-tier Tribunal so that it must be set aside. </w:t>
      </w:r>
    </w:p>
    <w:p w14:paraId="70338235" w14:textId="4F183E72" w:rsidR="00AE767F" w:rsidRPr="00DD3907" w:rsidRDefault="00AE767F" w:rsidP="00AE767F">
      <w:pPr>
        <w:jc w:val="both"/>
        <w:rPr>
          <w:rFonts w:ascii="Book Antiqua" w:hAnsi="Book Antiqua"/>
          <w:b/>
          <w:bCs/>
          <w:sz w:val="24"/>
          <w:szCs w:val="24"/>
        </w:rPr>
      </w:pPr>
      <w:r w:rsidRPr="00DD3907">
        <w:rPr>
          <w:rFonts w:ascii="Book Antiqua" w:hAnsi="Book Antiqua"/>
          <w:b/>
          <w:bCs/>
          <w:sz w:val="24"/>
          <w:szCs w:val="24"/>
        </w:rPr>
        <w:t>Decision</w:t>
      </w:r>
    </w:p>
    <w:p w14:paraId="0E8DCDD2" w14:textId="6B41C9E6" w:rsidR="00475495" w:rsidRPr="00DD3907" w:rsidRDefault="00475495" w:rsidP="00881DA6">
      <w:pPr>
        <w:ind w:left="720"/>
        <w:jc w:val="both"/>
        <w:rPr>
          <w:rFonts w:ascii="Book Antiqua" w:hAnsi="Book Antiqua"/>
          <w:sz w:val="24"/>
          <w:szCs w:val="24"/>
        </w:rPr>
      </w:pPr>
      <w:r w:rsidRPr="00DD3907">
        <w:rPr>
          <w:rFonts w:ascii="Book Antiqua" w:hAnsi="Book Antiqua"/>
          <w:sz w:val="24"/>
          <w:szCs w:val="24"/>
        </w:rPr>
        <w:t xml:space="preserve">The appeal </w:t>
      </w:r>
      <w:r w:rsidR="00EF1150" w:rsidRPr="00DD3907">
        <w:rPr>
          <w:rFonts w:ascii="Book Antiqua" w:hAnsi="Book Antiqua"/>
          <w:sz w:val="24"/>
          <w:szCs w:val="24"/>
        </w:rPr>
        <w:t>to the Upper Tribunal is dismissed.</w:t>
      </w:r>
    </w:p>
    <w:p w14:paraId="55EB5A24" w14:textId="39BD5609" w:rsidR="00EF1150" w:rsidRPr="00DD3907" w:rsidRDefault="00EF1150" w:rsidP="00881DA6">
      <w:pPr>
        <w:ind w:left="720"/>
        <w:jc w:val="both"/>
        <w:rPr>
          <w:rFonts w:ascii="Book Antiqua" w:hAnsi="Book Antiqua"/>
          <w:sz w:val="24"/>
          <w:szCs w:val="24"/>
        </w:rPr>
      </w:pPr>
      <w:r w:rsidRPr="00DD3907">
        <w:rPr>
          <w:rFonts w:ascii="Book Antiqua" w:hAnsi="Book Antiqua"/>
          <w:sz w:val="24"/>
          <w:szCs w:val="24"/>
        </w:rPr>
        <w:t xml:space="preserve">The decision of the First-tier Tribunal </w:t>
      </w:r>
      <w:proofErr w:type="gramStart"/>
      <w:r w:rsidRPr="00DD3907">
        <w:rPr>
          <w:rFonts w:ascii="Book Antiqua" w:hAnsi="Book Antiqua"/>
          <w:sz w:val="24"/>
          <w:szCs w:val="24"/>
        </w:rPr>
        <w:t>stands</w:t>
      </w:r>
      <w:proofErr w:type="gramEnd"/>
      <w:r w:rsidRPr="00DD3907">
        <w:rPr>
          <w:rFonts w:ascii="Book Antiqua" w:hAnsi="Book Antiqua"/>
          <w:sz w:val="24"/>
          <w:szCs w:val="24"/>
        </w:rPr>
        <w:t xml:space="preserve"> and the appellant’s appeal remains dismissed on all grounds. </w:t>
      </w:r>
    </w:p>
    <w:p w14:paraId="2C779A13" w14:textId="13571358" w:rsidR="00D61B8E" w:rsidRPr="00DD3907" w:rsidRDefault="00D61B8E" w:rsidP="00881DA6">
      <w:pPr>
        <w:ind w:left="720"/>
        <w:jc w:val="both"/>
        <w:rPr>
          <w:rFonts w:ascii="Book Antiqua" w:hAnsi="Book Antiqua"/>
          <w:sz w:val="24"/>
          <w:szCs w:val="24"/>
        </w:rPr>
      </w:pPr>
      <w:r w:rsidRPr="00DD3907">
        <w:rPr>
          <w:rFonts w:ascii="Book Antiqua" w:hAnsi="Book Antiqua"/>
          <w:sz w:val="24"/>
          <w:szCs w:val="24"/>
        </w:rPr>
        <w:t xml:space="preserve">I make no order for costs. </w:t>
      </w:r>
    </w:p>
    <w:p w14:paraId="12909218" w14:textId="37CB8892" w:rsidR="00BE703F" w:rsidRPr="00DD3907" w:rsidRDefault="00071422" w:rsidP="008006E3">
      <w:pPr>
        <w:jc w:val="both"/>
        <w:rPr>
          <w:rFonts w:ascii="Book Antiqua" w:hAnsi="Book Antiqua"/>
          <w:b/>
          <w:bCs/>
          <w:sz w:val="24"/>
          <w:szCs w:val="24"/>
        </w:rPr>
      </w:pPr>
      <w:r w:rsidRPr="00DD3907">
        <w:rPr>
          <w:noProof/>
          <w:sz w:val="24"/>
          <w:szCs w:val="24"/>
        </w:rPr>
        <w:drawing>
          <wp:anchor distT="0" distB="0" distL="114300" distR="114300" simplePos="0" relativeHeight="251659264" behindDoc="1" locked="0" layoutInCell="1" allowOverlap="1" wp14:anchorId="53A7ED58" wp14:editId="1B90F74E">
            <wp:simplePos x="0" y="0"/>
            <wp:positionH relativeFrom="column">
              <wp:posOffset>2867025</wp:posOffset>
            </wp:positionH>
            <wp:positionV relativeFrom="paragraph">
              <wp:posOffset>127635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D77F1" w14:textId="3C2D7AC4" w:rsidR="00BE703F" w:rsidRPr="00DD3907" w:rsidRDefault="00BE703F" w:rsidP="006B4A21">
      <w:pPr>
        <w:rPr>
          <w:rFonts w:ascii="Book Antiqua" w:hAnsi="Book Antiqua"/>
          <w:sz w:val="24"/>
          <w:szCs w:val="24"/>
        </w:rPr>
      </w:pPr>
      <w:r w:rsidRPr="00DD3907">
        <w:rPr>
          <w:rFonts w:ascii="Book Antiqua" w:hAnsi="Book Antiqua"/>
          <w:sz w:val="24"/>
          <w:szCs w:val="24"/>
        </w:rPr>
        <w:t xml:space="preserve">Signed: </w:t>
      </w:r>
      <w:r w:rsidRPr="00DD3907">
        <w:rPr>
          <w:rFonts w:ascii="Lucida Handwriting" w:hAnsi="Lucida Handwriting"/>
          <w:sz w:val="24"/>
          <w:szCs w:val="24"/>
        </w:rPr>
        <w:t>DMW Pickup</w:t>
      </w:r>
    </w:p>
    <w:p w14:paraId="6CCF24AD" w14:textId="77777777" w:rsidR="00BE703F" w:rsidRPr="00DD3907" w:rsidRDefault="00BE703F" w:rsidP="006B4A21">
      <w:pPr>
        <w:rPr>
          <w:rFonts w:ascii="Book Antiqua" w:hAnsi="Book Antiqua"/>
          <w:sz w:val="24"/>
          <w:szCs w:val="24"/>
        </w:rPr>
      </w:pPr>
      <w:r w:rsidRPr="00DD3907">
        <w:rPr>
          <w:rFonts w:ascii="Book Antiqua" w:hAnsi="Book Antiqua"/>
          <w:sz w:val="24"/>
          <w:szCs w:val="24"/>
        </w:rPr>
        <w:t>Upper Tribunal Judge Pickup</w:t>
      </w:r>
    </w:p>
    <w:p w14:paraId="61BEEFAA" w14:textId="44F19738" w:rsidR="00BE703F" w:rsidRPr="00DD3907" w:rsidRDefault="00BE703F" w:rsidP="006B4A21">
      <w:pPr>
        <w:rPr>
          <w:rFonts w:ascii="Book Antiqua" w:hAnsi="Book Antiqua"/>
          <w:sz w:val="24"/>
          <w:szCs w:val="24"/>
        </w:rPr>
      </w:pPr>
      <w:r w:rsidRPr="00DD3907">
        <w:rPr>
          <w:rFonts w:ascii="Book Antiqua" w:hAnsi="Book Antiqua"/>
          <w:sz w:val="24"/>
          <w:szCs w:val="24"/>
        </w:rPr>
        <w:t xml:space="preserve">Date: </w:t>
      </w:r>
      <w:r w:rsidRPr="00DD3907">
        <w:rPr>
          <w:rFonts w:ascii="Book Antiqua" w:hAnsi="Book Antiqua"/>
          <w:sz w:val="24"/>
          <w:szCs w:val="24"/>
        </w:rPr>
        <w:tab/>
      </w:r>
      <w:r w:rsidR="00EF1150" w:rsidRPr="00DD3907">
        <w:rPr>
          <w:rFonts w:ascii="Book Antiqua" w:hAnsi="Book Antiqua"/>
          <w:sz w:val="24"/>
          <w:szCs w:val="24"/>
        </w:rPr>
        <w:t>21 August 2020</w:t>
      </w:r>
    </w:p>
    <w:p w14:paraId="175E1BCE" w14:textId="77777777" w:rsidR="00BE703F" w:rsidRPr="00DD3907" w:rsidRDefault="00BE703F" w:rsidP="008006E3">
      <w:pPr>
        <w:jc w:val="both"/>
        <w:rPr>
          <w:rFonts w:ascii="Book Antiqua" w:hAnsi="Book Antiqua"/>
          <w:b/>
          <w:bCs/>
          <w:sz w:val="24"/>
          <w:szCs w:val="24"/>
        </w:rPr>
      </w:pPr>
    </w:p>
    <w:p w14:paraId="251C041B" w14:textId="4F414E1A" w:rsidR="00A61CA2" w:rsidRPr="00DD3907" w:rsidRDefault="008006E3" w:rsidP="008006E3">
      <w:pPr>
        <w:jc w:val="both"/>
        <w:rPr>
          <w:rFonts w:ascii="Book Antiqua" w:hAnsi="Book Antiqua"/>
          <w:b/>
          <w:bCs/>
          <w:sz w:val="24"/>
          <w:szCs w:val="24"/>
        </w:rPr>
      </w:pPr>
      <w:r w:rsidRPr="00DD3907">
        <w:rPr>
          <w:rFonts w:ascii="Book Antiqua" w:hAnsi="Book Antiqua"/>
          <w:b/>
          <w:bCs/>
          <w:sz w:val="24"/>
          <w:szCs w:val="24"/>
        </w:rPr>
        <w:t>Anonymity Direction</w:t>
      </w:r>
    </w:p>
    <w:p w14:paraId="0E8D91FA" w14:textId="77777777" w:rsidR="008006E3" w:rsidRPr="00DD3907" w:rsidRDefault="008006E3" w:rsidP="008006E3">
      <w:pPr>
        <w:jc w:val="both"/>
        <w:rPr>
          <w:rFonts w:ascii="Book Antiqua" w:hAnsi="Book Antiqua"/>
          <w:sz w:val="24"/>
          <w:szCs w:val="24"/>
        </w:rPr>
      </w:pPr>
      <w:r w:rsidRPr="00DD3907">
        <w:rPr>
          <w:rFonts w:ascii="Book Antiqua" w:hAnsi="Book Antiqua"/>
          <w:sz w:val="24"/>
          <w:szCs w:val="24"/>
        </w:rPr>
        <w:t>I am satisfied, having had regard to the guidance in the Presidential Guidance Note No 1 of 2013: Anonymity Orders, that it would be appropriate to make an order in accordance with Rules 14 of the Tribunal Procedure (Upper Tribunal) Rules 2008 in the following terms:</w:t>
      </w:r>
    </w:p>
    <w:p w14:paraId="487D9157" w14:textId="2B5774CD" w:rsidR="00C2303A" w:rsidRPr="00DD3907" w:rsidRDefault="001146D1" w:rsidP="008006E3">
      <w:pPr>
        <w:ind w:left="1080"/>
        <w:jc w:val="both"/>
        <w:rPr>
          <w:rFonts w:ascii="Book Antiqua" w:hAnsi="Book Antiqua"/>
          <w:sz w:val="24"/>
          <w:szCs w:val="24"/>
        </w:rPr>
      </w:pPr>
      <w:r w:rsidRPr="00DD3907">
        <w:rPr>
          <w:noProof/>
          <w:sz w:val="24"/>
          <w:szCs w:val="24"/>
        </w:rPr>
        <w:drawing>
          <wp:anchor distT="0" distB="0" distL="114300" distR="114300" simplePos="0" relativeHeight="251661312" behindDoc="1" locked="0" layoutInCell="1" allowOverlap="1" wp14:anchorId="276D311F" wp14:editId="21566017">
            <wp:simplePos x="0" y="0"/>
            <wp:positionH relativeFrom="column">
              <wp:posOffset>3000375</wp:posOffset>
            </wp:positionH>
            <wp:positionV relativeFrom="paragraph">
              <wp:posOffset>1000125</wp:posOffset>
            </wp:positionV>
            <wp:extent cx="1520190" cy="1508125"/>
            <wp:effectExtent l="0" t="0" r="3810" b="0"/>
            <wp:wrapNone/>
            <wp:docPr id="2" name="Picture 2"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6E3" w:rsidRPr="00DD3907">
        <w:rPr>
          <w:rFonts w:ascii="Book Antiqua" w:hAnsi="Book Antiqua"/>
          <w:sz w:val="24"/>
          <w:szCs w:val="24"/>
        </w:rPr>
        <w:t>“</w:t>
      </w:r>
      <w:r w:rsidR="008006E3" w:rsidRPr="00DD3907">
        <w:rPr>
          <w:rFonts w:ascii="Book Antiqua" w:hAnsi="Book Antiqua"/>
          <w:i/>
          <w:iCs/>
          <w:sz w:val="24"/>
          <w:szCs w:val="24"/>
        </w:rPr>
        <w:t>Unless and until a tribunal or court directs otherwise, the appellant is granted anonymity. No report of these proceedings shall directly or indirectly identify him or any member of his family. This direction applies to, amongst others, both the appellant and the respondent. Failure to comply with this direction could lead to contempt of court proceedings</w:t>
      </w:r>
      <w:r w:rsidR="008006E3" w:rsidRPr="00DD3907">
        <w:rPr>
          <w:rFonts w:ascii="Book Antiqua" w:hAnsi="Book Antiqua"/>
          <w:sz w:val="24"/>
          <w:szCs w:val="24"/>
        </w:rPr>
        <w:t>.”</w:t>
      </w:r>
    </w:p>
    <w:p w14:paraId="583270AB" w14:textId="1C3EABF4" w:rsidR="00CC6465" w:rsidRPr="00DD3907" w:rsidRDefault="00CC6465" w:rsidP="00CC6465">
      <w:pPr>
        <w:rPr>
          <w:rFonts w:ascii="Book Antiqua" w:hAnsi="Book Antiqua"/>
          <w:sz w:val="24"/>
          <w:szCs w:val="24"/>
        </w:rPr>
      </w:pPr>
      <w:r w:rsidRPr="00DD3907">
        <w:rPr>
          <w:rFonts w:ascii="Book Antiqua" w:hAnsi="Book Antiqua"/>
          <w:sz w:val="24"/>
          <w:szCs w:val="24"/>
        </w:rPr>
        <w:t xml:space="preserve">Signed: </w:t>
      </w:r>
      <w:r w:rsidR="00E613DE" w:rsidRPr="00DD3907">
        <w:rPr>
          <w:rFonts w:ascii="Lucida Handwriting" w:hAnsi="Lucida Handwriting"/>
          <w:sz w:val="24"/>
          <w:szCs w:val="24"/>
        </w:rPr>
        <w:t>DMW Pickup</w:t>
      </w:r>
    </w:p>
    <w:p w14:paraId="4FA74051" w14:textId="01FC1F71" w:rsidR="00CC6465" w:rsidRPr="00DD3907" w:rsidRDefault="00CC6465" w:rsidP="00CC6465">
      <w:pPr>
        <w:rPr>
          <w:rFonts w:ascii="Book Antiqua" w:hAnsi="Book Antiqua"/>
          <w:sz w:val="24"/>
          <w:szCs w:val="24"/>
        </w:rPr>
      </w:pPr>
      <w:r w:rsidRPr="00DD3907">
        <w:rPr>
          <w:rFonts w:ascii="Book Antiqua" w:hAnsi="Book Antiqua"/>
          <w:sz w:val="24"/>
          <w:szCs w:val="24"/>
        </w:rPr>
        <w:t>Upper Tribunal Judge Pickup</w:t>
      </w:r>
    </w:p>
    <w:p w14:paraId="404EDC63" w14:textId="4B1C6AE7" w:rsidR="00CC6465" w:rsidRPr="00DD3907" w:rsidRDefault="00CC6465" w:rsidP="00CC6465">
      <w:pPr>
        <w:rPr>
          <w:rFonts w:ascii="Book Antiqua" w:hAnsi="Book Antiqua"/>
          <w:sz w:val="24"/>
          <w:szCs w:val="24"/>
        </w:rPr>
      </w:pPr>
      <w:r w:rsidRPr="00DD3907">
        <w:rPr>
          <w:rFonts w:ascii="Book Antiqua" w:hAnsi="Book Antiqua"/>
          <w:sz w:val="24"/>
          <w:szCs w:val="24"/>
        </w:rPr>
        <w:t>Date</w:t>
      </w:r>
      <w:r w:rsidR="00E613DE" w:rsidRPr="00DD3907">
        <w:rPr>
          <w:rFonts w:ascii="Book Antiqua" w:hAnsi="Book Antiqua"/>
          <w:sz w:val="24"/>
          <w:szCs w:val="24"/>
        </w:rPr>
        <w:t xml:space="preserve">: </w:t>
      </w:r>
      <w:r w:rsidR="00E613DE" w:rsidRPr="00DD3907">
        <w:rPr>
          <w:rFonts w:ascii="Book Antiqua" w:hAnsi="Book Antiqua"/>
          <w:sz w:val="24"/>
          <w:szCs w:val="24"/>
        </w:rPr>
        <w:tab/>
      </w:r>
      <w:r w:rsidR="00EF1150" w:rsidRPr="00DD3907">
        <w:rPr>
          <w:rFonts w:ascii="Book Antiqua" w:hAnsi="Book Antiqua"/>
          <w:sz w:val="24"/>
          <w:szCs w:val="24"/>
        </w:rPr>
        <w:t>21 August 2020</w:t>
      </w:r>
    </w:p>
    <w:p w14:paraId="0401F94A" w14:textId="77777777" w:rsidR="00C508DF" w:rsidRPr="00DD3907" w:rsidRDefault="00C508DF" w:rsidP="00C508DF">
      <w:pPr>
        <w:tabs>
          <w:tab w:val="left" w:pos="2520"/>
        </w:tabs>
        <w:spacing w:after="0" w:line="240" w:lineRule="auto"/>
        <w:ind w:left="540" w:hanging="540"/>
        <w:jc w:val="center"/>
        <w:rPr>
          <w:rFonts w:ascii="Book Antiqua" w:eastAsia="Times New Roman" w:hAnsi="Book Antiqua" w:cs="Arial"/>
          <w:sz w:val="24"/>
          <w:szCs w:val="24"/>
          <w:lang w:eastAsia="en-GB"/>
        </w:rPr>
      </w:pPr>
    </w:p>
    <w:p w14:paraId="5D69EF17" w14:textId="77777777" w:rsidR="00C508DF" w:rsidRPr="00DD3907" w:rsidRDefault="00C508DF" w:rsidP="00C508DF">
      <w:pPr>
        <w:tabs>
          <w:tab w:val="left" w:pos="2520"/>
        </w:tabs>
        <w:spacing w:after="0" w:line="240" w:lineRule="auto"/>
        <w:ind w:left="540" w:hanging="540"/>
        <w:jc w:val="center"/>
        <w:rPr>
          <w:rFonts w:ascii="Book Antiqua" w:eastAsia="Times New Roman" w:hAnsi="Book Antiqua" w:cs="Arial"/>
          <w:sz w:val="24"/>
          <w:szCs w:val="24"/>
          <w:lang w:eastAsia="en-GB"/>
        </w:rPr>
      </w:pPr>
    </w:p>
    <w:p w14:paraId="16ECCD55" w14:textId="1361B071" w:rsidR="008344E5" w:rsidRPr="00DD3907" w:rsidRDefault="008344E5" w:rsidP="008344E5">
      <w:pPr>
        <w:rPr>
          <w:rFonts w:ascii="Book Antiqua" w:hAnsi="Book Antiqua" w:cs="Arial"/>
          <w:sz w:val="24"/>
          <w:szCs w:val="24"/>
        </w:rPr>
      </w:pPr>
      <w:r w:rsidRPr="00DD3907">
        <w:rPr>
          <w:rFonts w:ascii="Book Antiqua" w:hAnsi="Book Antiqua" w:cs="Arial"/>
          <w:sz w:val="24"/>
          <w:szCs w:val="24"/>
        </w:rPr>
        <w:t xml:space="preserve">     </w:t>
      </w:r>
    </w:p>
    <w:sectPr w:rsidR="008344E5" w:rsidRPr="00DD3907" w:rsidSect="00396E2F">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74CE6" w14:textId="77777777" w:rsidR="00396E2F" w:rsidRDefault="00396E2F" w:rsidP="00396E2F">
      <w:pPr>
        <w:spacing w:after="0" w:line="240" w:lineRule="auto"/>
      </w:pPr>
      <w:r>
        <w:separator/>
      </w:r>
    </w:p>
  </w:endnote>
  <w:endnote w:type="continuationSeparator" w:id="0">
    <w:p w14:paraId="597072D9" w14:textId="77777777" w:rsidR="00396E2F" w:rsidRDefault="00396E2F" w:rsidP="0039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39720"/>
      <w:docPartObj>
        <w:docPartGallery w:val="Page Numbers (Bottom of Page)"/>
        <w:docPartUnique/>
      </w:docPartObj>
    </w:sdtPr>
    <w:sdtEndPr>
      <w:rPr>
        <w:rFonts w:ascii="Book Antiqua" w:hAnsi="Book Antiqua"/>
        <w:noProof/>
        <w:sz w:val="24"/>
        <w:szCs w:val="24"/>
      </w:rPr>
    </w:sdtEndPr>
    <w:sdtContent>
      <w:p w14:paraId="0BFF7C8B" w14:textId="55820097" w:rsidR="00396E2F" w:rsidRPr="00DD3907" w:rsidRDefault="00396E2F">
        <w:pPr>
          <w:pStyle w:val="Footer"/>
          <w:jc w:val="center"/>
          <w:rPr>
            <w:rFonts w:ascii="Book Antiqua" w:hAnsi="Book Antiqua"/>
            <w:sz w:val="24"/>
            <w:szCs w:val="24"/>
          </w:rPr>
        </w:pPr>
        <w:r w:rsidRPr="00DD3907">
          <w:rPr>
            <w:rFonts w:ascii="Book Antiqua" w:hAnsi="Book Antiqua"/>
            <w:sz w:val="24"/>
            <w:szCs w:val="24"/>
          </w:rPr>
          <w:fldChar w:fldCharType="begin"/>
        </w:r>
        <w:r w:rsidRPr="00DD3907">
          <w:rPr>
            <w:rFonts w:ascii="Book Antiqua" w:hAnsi="Book Antiqua"/>
            <w:sz w:val="24"/>
            <w:szCs w:val="24"/>
          </w:rPr>
          <w:instrText xml:space="preserve"> PAGE   \* MERGEFORMAT </w:instrText>
        </w:r>
        <w:r w:rsidRPr="00DD3907">
          <w:rPr>
            <w:rFonts w:ascii="Book Antiqua" w:hAnsi="Book Antiqua"/>
            <w:sz w:val="24"/>
            <w:szCs w:val="24"/>
          </w:rPr>
          <w:fldChar w:fldCharType="separate"/>
        </w:r>
        <w:r w:rsidRPr="00DD3907">
          <w:rPr>
            <w:rFonts w:ascii="Book Antiqua" w:hAnsi="Book Antiqua"/>
            <w:noProof/>
            <w:sz w:val="24"/>
            <w:szCs w:val="24"/>
          </w:rPr>
          <w:t>7</w:t>
        </w:r>
        <w:r w:rsidRPr="00DD3907">
          <w:rPr>
            <w:rFonts w:ascii="Book Antiqua" w:hAnsi="Book Antiqua"/>
            <w:noProof/>
            <w:sz w:val="24"/>
            <w:szCs w:val="24"/>
          </w:rPr>
          <w:fldChar w:fldCharType="end"/>
        </w:r>
      </w:p>
    </w:sdtContent>
  </w:sdt>
  <w:p w14:paraId="3E9AD24E" w14:textId="77777777" w:rsidR="00396E2F" w:rsidRDefault="0039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1BCEA" w14:textId="32F8FA85" w:rsidR="00396E2F" w:rsidRPr="00DD3907" w:rsidRDefault="00396E2F" w:rsidP="00396E2F">
    <w:pPr>
      <w:jc w:val="center"/>
      <w:rPr>
        <w:rFonts w:ascii="Book Antiqua" w:hAnsi="Book Antiqua" w:cs="Arial"/>
        <w:b/>
        <w:sz w:val="24"/>
        <w:szCs w:val="24"/>
      </w:rPr>
    </w:pPr>
    <w:r w:rsidRPr="00DD3907">
      <w:rPr>
        <w:rFonts w:ascii="Book Antiqua" w:hAnsi="Book Antiqua" w:cs="Arial"/>
        <w:b/>
        <w:spacing w:val="-6"/>
        <w:sz w:val="24"/>
        <w:szCs w:val="24"/>
      </w:rPr>
      <w:t>©</w:t>
    </w:r>
    <w:r w:rsidRPr="00DD3907">
      <w:rPr>
        <w:rFonts w:ascii="Book Antiqua" w:hAnsi="Book Antiqua" w:cs="Arial"/>
        <w:b/>
        <w:sz w:val="24"/>
        <w:szCs w:val="24"/>
      </w:rPr>
      <w:t xml:space="preserve"> CROWN COPYRIGHT 20</w:t>
    </w:r>
    <w:r w:rsidR="00DD3907" w:rsidRPr="00DD3907">
      <w:rPr>
        <w:rFonts w:ascii="Book Antiqua" w:hAnsi="Book Antiqua" w:cs="Arial"/>
        <w:b/>
        <w:sz w:val="24"/>
        <w:szCs w:val="24"/>
      </w:rPr>
      <w:t>20</w:t>
    </w:r>
  </w:p>
  <w:p w14:paraId="684713D5" w14:textId="77777777" w:rsidR="00396E2F" w:rsidRDefault="00396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54A18" w14:textId="77777777" w:rsidR="00396E2F" w:rsidRDefault="00396E2F" w:rsidP="00396E2F">
      <w:pPr>
        <w:spacing w:after="0" w:line="240" w:lineRule="auto"/>
      </w:pPr>
      <w:r>
        <w:separator/>
      </w:r>
    </w:p>
  </w:footnote>
  <w:footnote w:type="continuationSeparator" w:id="0">
    <w:p w14:paraId="3886DE60" w14:textId="77777777" w:rsidR="00396E2F" w:rsidRDefault="00396E2F" w:rsidP="00396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B1F4A" w14:textId="3CE72E68" w:rsidR="00396E2F" w:rsidRPr="00DD3907" w:rsidRDefault="00396E2F" w:rsidP="00DD3907">
    <w:pPr>
      <w:pStyle w:val="Header"/>
      <w:jc w:val="right"/>
      <w:rPr>
        <w:sz w:val="16"/>
        <w:szCs w:val="16"/>
      </w:rPr>
    </w:pPr>
    <w:r>
      <w:rPr>
        <w:rFonts w:ascii="Book Antiqua" w:hAnsi="Book Antiqua" w:cs="Arial"/>
        <w:b/>
        <w:color w:val="000000"/>
      </w:rPr>
      <w:t xml:space="preserve">                                                                                                    </w:t>
    </w:r>
    <w:r w:rsidRPr="00DD3907">
      <w:rPr>
        <w:rFonts w:ascii="Book Antiqua" w:hAnsi="Book Antiqua" w:cs="Arial"/>
        <w:color w:val="000000"/>
        <w:sz w:val="16"/>
        <w:szCs w:val="16"/>
      </w:rPr>
      <w:t>Appeal Number: PA/12701/2019(P)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B05E8"/>
    <w:multiLevelType w:val="hybridMultilevel"/>
    <w:tmpl w:val="87FA2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2E4358"/>
    <w:multiLevelType w:val="hybridMultilevel"/>
    <w:tmpl w:val="1EDC46D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BC4"/>
    <w:rsid w:val="00007352"/>
    <w:rsid w:val="00013879"/>
    <w:rsid w:val="00013A90"/>
    <w:rsid w:val="00015E5B"/>
    <w:rsid w:val="0002611F"/>
    <w:rsid w:val="0003044F"/>
    <w:rsid w:val="00032087"/>
    <w:rsid w:val="00032F0B"/>
    <w:rsid w:val="00045693"/>
    <w:rsid w:val="00052525"/>
    <w:rsid w:val="000651AF"/>
    <w:rsid w:val="0006726B"/>
    <w:rsid w:val="00067366"/>
    <w:rsid w:val="00067964"/>
    <w:rsid w:val="00071422"/>
    <w:rsid w:val="00072C7D"/>
    <w:rsid w:val="00082E66"/>
    <w:rsid w:val="0008641D"/>
    <w:rsid w:val="00097BF0"/>
    <w:rsid w:val="000A20EF"/>
    <w:rsid w:val="000B0072"/>
    <w:rsid w:val="000B1129"/>
    <w:rsid w:val="000B18DA"/>
    <w:rsid w:val="000B1F35"/>
    <w:rsid w:val="000C11A9"/>
    <w:rsid w:val="000D5987"/>
    <w:rsid w:val="000D7DC7"/>
    <w:rsid w:val="000E0EC3"/>
    <w:rsid w:val="000F4BF2"/>
    <w:rsid w:val="000F5FCA"/>
    <w:rsid w:val="00112FC7"/>
    <w:rsid w:val="001134F8"/>
    <w:rsid w:val="001146D1"/>
    <w:rsid w:val="00116BEB"/>
    <w:rsid w:val="00124BC9"/>
    <w:rsid w:val="00124F84"/>
    <w:rsid w:val="0013275F"/>
    <w:rsid w:val="00146EDE"/>
    <w:rsid w:val="00152011"/>
    <w:rsid w:val="00166BA4"/>
    <w:rsid w:val="001717E4"/>
    <w:rsid w:val="00175BE0"/>
    <w:rsid w:val="00176801"/>
    <w:rsid w:val="00190C9B"/>
    <w:rsid w:val="001A3379"/>
    <w:rsid w:val="001B1086"/>
    <w:rsid w:val="001B7E2B"/>
    <w:rsid w:val="001C0437"/>
    <w:rsid w:val="001C226C"/>
    <w:rsid w:val="001C22BE"/>
    <w:rsid w:val="001C46C7"/>
    <w:rsid w:val="001D0B42"/>
    <w:rsid w:val="001D6EBE"/>
    <w:rsid w:val="001E53F1"/>
    <w:rsid w:val="001F3DE5"/>
    <w:rsid w:val="001F40AB"/>
    <w:rsid w:val="001F58E2"/>
    <w:rsid w:val="00204C4E"/>
    <w:rsid w:val="00214B52"/>
    <w:rsid w:val="00216910"/>
    <w:rsid w:val="00221DCF"/>
    <w:rsid w:val="0023211E"/>
    <w:rsid w:val="0023384E"/>
    <w:rsid w:val="002342C2"/>
    <w:rsid w:val="0023733C"/>
    <w:rsid w:val="00242354"/>
    <w:rsid w:val="00245388"/>
    <w:rsid w:val="002541CF"/>
    <w:rsid w:val="002636BF"/>
    <w:rsid w:val="00286945"/>
    <w:rsid w:val="00295A16"/>
    <w:rsid w:val="002A1ED2"/>
    <w:rsid w:val="002A2276"/>
    <w:rsid w:val="002A7079"/>
    <w:rsid w:val="002B0297"/>
    <w:rsid w:val="002B31F4"/>
    <w:rsid w:val="002B4BFC"/>
    <w:rsid w:val="002C16DA"/>
    <w:rsid w:val="002E282F"/>
    <w:rsid w:val="002E676E"/>
    <w:rsid w:val="002F0880"/>
    <w:rsid w:val="002F1976"/>
    <w:rsid w:val="002F1E58"/>
    <w:rsid w:val="002F3041"/>
    <w:rsid w:val="002F4B64"/>
    <w:rsid w:val="00300755"/>
    <w:rsid w:val="00301876"/>
    <w:rsid w:val="00301C45"/>
    <w:rsid w:val="00304CAE"/>
    <w:rsid w:val="00305573"/>
    <w:rsid w:val="003067A3"/>
    <w:rsid w:val="00307574"/>
    <w:rsid w:val="00310371"/>
    <w:rsid w:val="00313D8E"/>
    <w:rsid w:val="00324095"/>
    <w:rsid w:val="00327100"/>
    <w:rsid w:val="0033103E"/>
    <w:rsid w:val="0035223A"/>
    <w:rsid w:val="00361B23"/>
    <w:rsid w:val="00364C01"/>
    <w:rsid w:val="0036518E"/>
    <w:rsid w:val="003670EC"/>
    <w:rsid w:val="00370C0F"/>
    <w:rsid w:val="00370E51"/>
    <w:rsid w:val="003740AB"/>
    <w:rsid w:val="003770ED"/>
    <w:rsid w:val="0037782A"/>
    <w:rsid w:val="00387E9C"/>
    <w:rsid w:val="00396E2F"/>
    <w:rsid w:val="003A004C"/>
    <w:rsid w:val="003B3E9E"/>
    <w:rsid w:val="003C163D"/>
    <w:rsid w:val="003C5FC5"/>
    <w:rsid w:val="003D15E8"/>
    <w:rsid w:val="003D18C6"/>
    <w:rsid w:val="003D38BF"/>
    <w:rsid w:val="003D4C06"/>
    <w:rsid w:val="003E0B52"/>
    <w:rsid w:val="003E0CBA"/>
    <w:rsid w:val="003E1EFF"/>
    <w:rsid w:val="003E5F94"/>
    <w:rsid w:val="003E71E0"/>
    <w:rsid w:val="003F4D6B"/>
    <w:rsid w:val="003F540A"/>
    <w:rsid w:val="00403F08"/>
    <w:rsid w:val="00406DD5"/>
    <w:rsid w:val="00416D77"/>
    <w:rsid w:val="00422C7A"/>
    <w:rsid w:val="00424402"/>
    <w:rsid w:val="00424F84"/>
    <w:rsid w:val="00431FF8"/>
    <w:rsid w:val="00444B27"/>
    <w:rsid w:val="004515AA"/>
    <w:rsid w:val="0045675E"/>
    <w:rsid w:val="00463C55"/>
    <w:rsid w:val="004676D9"/>
    <w:rsid w:val="00472928"/>
    <w:rsid w:val="004737BF"/>
    <w:rsid w:val="00474005"/>
    <w:rsid w:val="00475495"/>
    <w:rsid w:val="00477028"/>
    <w:rsid w:val="00480C99"/>
    <w:rsid w:val="00485D92"/>
    <w:rsid w:val="004908F4"/>
    <w:rsid w:val="00492953"/>
    <w:rsid w:val="00497B97"/>
    <w:rsid w:val="004A003C"/>
    <w:rsid w:val="004A473B"/>
    <w:rsid w:val="004A4F1B"/>
    <w:rsid w:val="004B0598"/>
    <w:rsid w:val="004B146F"/>
    <w:rsid w:val="004B1679"/>
    <w:rsid w:val="004B7734"/>
    <w:rsid w:val="004C51FE"/>
    <w:rsid w:val="004C7C83"/>
    <w:rsid w:val="004D6449"/>
    <w:rsid w:val="004E4364"/>
    <w:rsid w:val="004F5E28"/>
    <w:rsid w:val="004F739B"/>
    <w:rsid w:val="0051377A"/>
    <w:rsid w:val="00517D7A"/>
    <w:rsid w:val="00520A63"/>
    <w:rsid w:val="00524DDA"/>
    <w:rsid w:val="00525110"/>
    <w:rsid w:val="00531749"/>
    <w:rsid w:val="0053231A"/>
    <w:rsid w:val="00537159"/>
    <w:rsid w:val="0054333C"/>
    <w:rsid w:val="0055692C"/>
    <w:rsid w:val="00557C10"/>
    <w:rsid w:val="005605FD"/>
    <w:rsid w:val="00560820"/>
    <w:rsid w:val="00561836"/>
    <w:rsid w:val="00562099"/>
    <w:rsid w:val="00571C85"/>
    <w:rsid w:val="0058334E"/>
    <w:rsid w:val="00590C78"/>
    <w:rsid w:val="00591326"/>
    <w:rsid w:val="00591B1F"/>
    <w:rsid w:val="00594483"/>
    <w:rsid w:val="005A3322"/>
    <w:rsid w:val="005A6092"/>
    <w:rsid w:val="005B0749"/>
    <w:rsid w:val="005B173D"/>
    <w:rsid w:val="005B2D35"/>
    <w:rsid w:val="005B32EA"/>
    <w:rsid w:val="005B5964"/>
    <w:rsid w:val="005C1A5B"/>
    <w:rsid w:val="005C1D83"/>
    <w:rsid w:val="005D1618"/>
    <w:rsid w:val="005D2A04"/>
    <w:rsid w:val="005D7BD6"/>
    <w:rsid w:val="005E1759"/>
    <w:rsid w:val="005E606A"/>
    <w:rsid w:val="005F3CCF"/>
    <w:rsid w:val="005F441B"/>
    <w:rsid w:val="006052E7"/>
    <w:rsid w:val="006074F9"/>
    <w:rsid w:val="006119C1"/>
    <w:rsid w:val="00612340"/>
    <w:rsid w:val="00617657"/>
    <w:rsid w:val="00620162"/>
    <w:rsid w:val="0062297D"/>
    <w:rsid w:val="0062432B"/>
    <w:rsid w:val="00626F97"/>
    <w:rsid w:val="006301AF"/>
    <w:rsid w:val="00632450"/>
    <w:rsid w:val="0064203B"/>
    <w:rsid w:val="0064282D"/>
    <w:rsid w:val="00643137"/>
    <w:rsid w:val="00662D4B"/>
    <w:rsid w:val="00664107"/>
    <w:rsid w:val="00670B11"/>
    <w:rsid w:val="006749B1"/>
    <w:rsid w:val="006A1652"/>
    <w:rsid w:val="006A1A31"/>
    <w:rsid w:val="006A63B3"/>
    <w:rsid w:val="006B2F41"/>
    <w:rsid w:val="006B5135"/>
    <w:rsid w:val="006C7481"/>
    <w:rsid w:val="006E5EAC"/>
    <w:rsid w:val="006E6A15"/>
    <w:rsid w:val="006F49C6"/>
    <w:rsid w:val="00700096"/>
    <w:rsid w:val="00712424"/>
    <w:rsid w:val="00734691"/>
    <w:rsid w:val="00735F4C"/>
    <w:rsid w:val="00740C12"/>
    <w:rsid w:val="00746090"/>
    <w:rsid w:val="0075054F"/>
    <w:rsid w:val="007539E5"/>
    <w:rsid w:val="00773012"/>
    <w:rsid w:val="0078510E"/>
    <w:rsid w:val="007873F4"/>
    <w:rsid w:val="00790316"/>
    <w:rsid w:val="007905AE"/>
    <w:rsid w:val="00790616"/>
    <w:rsid w:val="00792572"/>
    <w:rsid w:val="007951E0"/>
    <w:rsid w:val="007A54B9"/>
    <w:rsid w:val="007B6899"/>
    <w:rsid w:val="007C2584"/>
    <w:rsid w:val="007C3C30"/>
    <w:rsid w:val="007E2A21"/>
    <w:rsid w:val="007E325B"/>
    <w:rsid w:val="007F1E83"/>
    <w:rsid w:val="007F2B88"/>
    <w:rsid w:val="008001CD"/>
    <w:rsid w:val="008006E3"/>
    <w:rsid w:val="00802363"/>
    <w:rsid w:val="008035C1"/>
    <w:rsid w:val="00805C21"/>
    <w:rsid w:val="00814947"/>
    <w:rsid w:val="00816A92"/>
    <w:rsid w:val="00816B36"/>
    <w:rsid w:val="008344E5"/>
    <w:rsid w:val="00836F5F"/>
    <w:rsid w:val="008532BF"/>
    <w:rsid w:val="00854961"/>
    <w:rsid w:val="00863C6C"/>
    <w:rsid w:val="00876E4E"/>
    <w:rsid w:val="00877820"/>
    <w:rsid w:val="00880F67"/>
    <w:rsid w:val="00881066"/>
    <w:rsid w:val="0088159D"/>
    <w:rsid w:val="00881DA6"/>
    <w:rsid w:val="008A31FA"/>
    <w:rsid w:val="008A7F2A"/>
    <w:rsid w:val="008C051B"/>
    <w:rsid w:val="008E285E"/>
    <w:rsid w:val="008F7466"/>
    <w:rsid w:val="0090201F"/>
    <w:rsid w:val="00903C48"/>
    <w:rsid w:val="00904BDC"/>
    <w:rsid w:val="0090679F"/>
    <w:rsid w:val="009119AF"/>
    <w:rsid w:val="00914D00"/>
    <w:rsid w:val="00914EB5"/>
    <w:rsid w:val="00922841"/>
    <w:rsid w:val="0093160D"/>
    <w:rsid w:val="0093406A"/>
    <w:rsid w:val="00934E2B"/>
    <w:rsid w:val="00940C70"/>
    <w:rsid w:val="009455C3"/>
    <w:rsid w:val="00945EB7"/>
    <w:rsid w:val="00952A82"/>
    <w:rsid w:val="0097335A"/>
    <w:rsid w:val="00976F59"/>
    <w:rsid w:val="00982C0C"/>
    <w:rsid w:val="00983DB1"/>
    <w:rsid w:val="0099260B"/>
    <w:rsid w:val="00996DC5"/>
    <w:rsid w:val="009B12CC"/>
    <w:rsid w:val="009B4F6A"/>
    <w:rsid w:val="009B5D78"/>
    <w:rsid w:val="009C6AF5"/>
    <w:rsid w:val="009D05A1"/>
    <w:rsid w:val="009D2B85"/>
    <w:rsid w:val="009D325E"/>
    <w:rsid w:val="009D3576"/>
    <w:rsid w:val="009E207A"/>
    <w:rsid w:val="009E29EF"/>
    <w:rsid w:val="009E3E60"/>
    <w:rsid w:val="009E4658"/>
    <w:rsid w:val="009F3AF8"/>
    <w:rsid w:val="00A006B8"/>
    <w:rsid w:val="00A155E9"/>
    <w:rsid w:val="00A27265"/>
    <w:rsid w:val="00A27745"/>
    <w:rsid w:val="00A3196D"/>
    <w:rsid w:val="00A346D9"/>
    <w:rsid w:val="00A46658"/>
    <w:rsid w:val="00A47B16"/>
    <w:rsid w:val="00A47CBD"/>
    <w:rsid w:val="00A5015F"/>
    <w:rsid w:val="00A578C8"/>
    <w:rsid w:val="00A57F4E"/>
    <w:rsid w:val="00A61CA2"/>
    <w:rsid w:val="00A6232D"/>
    <w:rsid w:val="00A64B2D"/>
    <w:rsid w:val="00A64FB5"/>
    <w:rsid w:val="00A66E04"/>
    <w:rsid w:val="00A81976"/>
    <w:rsid w:val="00A83977"/>
    <w:rsid w:val="00A84043"/>
    <w:rsid w:val="00A847D1"/>
    <w:rsid w:val="00A85932"/>
    <w:rsid w:val="00A87ADF"/>
    <w:rsid w:val="00A91C9C"/>
    <w:rsid w:val="00AB3BC1"/>
    <w:rsid w:val="00AB6EE2"/>
    <w:rsid w:val="00AB7D9E"/>
    <w:rsid w:val="00AE5710"/>
    <w:rsid w:val="00AE767F"/>
    <w:rsid w:val="00B00A23"/>
    <w:rsid w:val="00B13C5F"/>
    <w:rsid w:val="00B15F54"/>
    <w:rsid w:val="00B20FDE"/>
    <w:rsid w:val="00B2364D"/>
    <w:rsid w:val="00B25D4F"/>
    <w:rsid w:val="00B379D6"/>
    <w:rsid w:val="00B40FC8"/>
    <w:rsid w:val="00B41A8B"/>
    <w:rsid w:val="00B43D8D"/>
    <w:rsid w:val="00B47632"/>
    <w:rsid w:val="00B47BBF"/>
    <w:rsid w:val="00B602AD"/>
    <w:rsid w:val="00B66570"/>
    <w:rsid w:val="00B74DC2"/>
    <w:rsid w:val="00B76458"/>
    <w:rsid w:val="00B80161"/>
    <w:rsid w:val="00B82C20"/>
    <w:rsid w:val="00B82D9E"/>
    <w:rsid w:val="00B90836"/>
    <w:rsid w:val="00B92287"/>
    <w:rsid w:val="00B938F6"/>
    <w:rsid w:val="00B96320"/>
    <w:rsid w:val="00BA68B7"/>
    <w:rsid w:val="00BB51C0"/>
    <w:rsid w:val="00BC387D"/>
    <w:rsid w:val="00BC6C2D"/>
    <w:rsid w:val="00BC7544"/>
    <w:rsid w:val="00BD48DE"/>
    <w:rsid w:val="00BD6AD2"/>
    <w:rsid w:val="00BD7823"/>
    <w:rsid w:val="00BE391F"/>
    <w:rsid w:val="00BE4043"/>
    <w:rsid w:val="00BE703F"/>
    <w:rsid w:val="00C15728"/>
    <w:rsid w:val="00C204D1"/>
    <w:rsid w:val="00C2303A"/>
    <w:rsid w:val="00C2430B"/>
    <w:rsid w:val="00C254AF"/>
    <w:rsid w:val="00C43600"/>
    <w:rsid w:val="00C45539"/>
    <w:rsid w:val="00C508DF"/>
    <w:rsid w:val="00C55E0E"/>
    <w:rsid w:val="00C74AE8"/>
    <w:rsid w:val="00C74F2F"/>
    <w:rsid w:val="00C91547"/>
    <w:rsid w:val="00C9702C"/>
    <w:rsid w:val="00C975DD"/>
    <w:rsid w:val="00CA77F7"/>
    <w:rsid w:val="00CB624E"/>
    <w:rsid w:val="00CB79E7"/>
    <w:rsid w:val="00CC40DF"/>
    <w:rsid w:val="00CC6465"/>
    <w:rsid w:val="00CD49B6"/>
    <w:rsid w:val="00CD676B"/>
    <w:rsid w:val="00CE2B83"/>
    <w:rsid w:val="00D0038A"/>
    <w:rsid w:val="00D05B7F"/>
    <w:rsid w:val="00D12E33"/>
    <w:rsid w:val="00D13D20"/>
    <w:rsid w:val="00D36366"/>
    <w:rsid w:val="00D42E8B"/>
    <w:rsid w:val="00D46F59"/>
    <w:rsid w:val="00D54AE5"/>
    <w:rsid w:val="00D57B33"/>
    <w:rsid w:val="00D61B8E"/>
    <w:rsid w:val="00D63CDE"/>
    <w:rsid w:val="00D65EC0"/>
    <w:rsid w:val="00D7015A"/>
    <w:rsid w:val="00D82C04"/>
    <w:rsid w:val="00D858EA"/>
    <w:rsid w:val="00D90DEF"/>
    <w:rsid w:val="00D97181"/>
    <w:rsid w:val="00DA0DC9"/>
    <w:rsid w:val="00DA2059"/>
    <w:rsid w:val="00DC566F"/>
    <w:rsid w:val="00DD3907"/>
    <w:rsid w:val="00DE1CD1"/>
    <w:rsid w:val="00DE4DBF"/>
    <w:rsid w:val="00DE5D05"/>
    <w:rsid w:val="00E04160"/>
    <w:rsid w:val="00E1564C"/>
    <w:rsid w:val="00E21F57"/>
    <w:rsid w:val="00E234A1"/>
    <w:rsid w:val="00E36EC9"/>
    <w:rsid w:val="00E40B3F"/>
    <w:rsid w:val="00E505C3"/>
    <w:rsid w:val="00E55F28"/>
    <w:rsid w:val="00E573EB"/>
    <w:rsid w:val="00E613DE"/>
    <w:rsid w:val="00E65F56"/>
    <w:rsid w:val="00E66A42"/>
    <w:rsid w:val="00E7214E"/>
    <w:rsid w:val="00E73154"/>
    <w:rsid w:val="00E742C3"/>
    <w:rsid w:val="00E773B7"/>
    <w:rsid w:val="00E83510"/>
    <w:rsid w:val="00E83AFB"/>
    <w:rsid w:val="00E947A3"/>
    <w:rsid w:val="00EC6071"/>
    <w:rsid w:val="00ED5524"/>
    <w:rsid w:val="00EE2215"/>
    <w:rsid w:val="00EE647A"/>
    <w:rsid w:val="00EE6DCE"/>
    <w:rsid w:val="00EF1150"/>
    <w:rsid w:val="00EF6339"/>
    <w:rsid w:val="00F023EA"/>
    <w:rsid w:val="00F05037"/>
    <w:rsid w:val="00F104C8"/>
    <w:rsid w:val="00F148EB"/>
    <w:rsid w:val="00F1628F"/>
    <w:rsid w:val="00F2459F"/>
    <w:rsid w:val="00F30254"/>
    <w:rsid w:val="00F35BC4"/>
    <w:rsid w:val="00F365DC"/>
    <w:rsid w:val="00F36F30"/>
    <w:rsid w:val="00F40B90"/>
    <w:rsid w:val="00F46A0D"/>
    <w:rsid w:val="00F5536C"/>
    <w:rsid w:val="00F672D4"/>
    <w:rsid w:val="00F70C5F"/>
    <w:rsid w:val="00F71E5A"/>
    <w:rsid w:val="00F724AE"/>
    <w:rsid w:val="00F752E7"/>
    <w:rsid w:val="00F75427"/>
    <w:rsid w:val="00F8274A"/>
    <w:rsid w:val="00F91076"/>
    <w:rsid w:val="00F91BEA"/>
    <w:rsid w:val="00FA5A00"/>
    <w:rsid w:val="00FA6098"/>
    <w:rsid w:val="00FB29D9"/>
    <w:rsid w:val="00FB41E3"/>
    <w:rsid w:val="00FB440D"/>
    <w:rsid w:val="00FB4B5B"/>
    <w:rsid w:val="00FC03DC"/>
    <w:rsid w:val="00FC478A"/>
    <w:rsid w:val="00FC6244"/>
    <w:rsid w:val="00FD2F14"/>
    <w:rsid w:val="00FE393B"/>
    <w:rsid w:val="00FE4EB0"/>
    <w:rsid w:val="00FF580E"/>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3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0B0072"/>
  </w:style>
  <w:style w:type="character" w:customStyle="1" w:styleId="apple-converted-space">
    <w:name w:val="apple-converted-space"/>
    <w:basedOn w:val="DefaultParagraphFont"/>
    <w:rsid w:val="000B0072"/>
  </w:style>
  <w:style w:type="paragraph" w:styleId="ListParagraph">
    <w:name w:val="List Paragraph"/>
    <w:basedOn w:val="Normal"/>
    <w:uiPriority w:val="34"/>
    <w:qFormat/>
    <w:rsid w:val="000B0072"/>
    <w:pPr>
      <w:ind w:left="720"/>
      <w:contextualSpacing/>
    </w:pPr>
  </w:style>
  <w:style w:type="paragraph" w:styleId="BalloonText">
    <w:name w:val="Balloon Text"/>
    <w:basedOn w:val="Normal"/>
    <w:link w:val="BalloonTextChar"/>
    <w:uiPriority w:val="99"/>
    <w:semiHidden/>
    <w:unhideWhenUsed/>
    <w:rsid w:val="00327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100"/>
    <w:rPr>
      <w:rFonts w:ascii="Segoe UI" w:hAnsi="Segoe UI" w:cs="Segoe UI"/>
      <w:sz w:val="18"/>
      <w:szCs w:val="18"/>
      <w:lang w:eastAsia="en-US"/>
    </w:rPr>
  </w:style>
  <w:style w:type="paragraph" w:styleId="Header">
    <w:name w:val="header"/>
    <w:basedOn w:val="Normal"/>
    <w:link w:val="HeaderChar"/>
    <w:uiPriority w:val="99"/>
    <w:unhideWhenUsed/>
    <w:rsid w:val="00396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E2F"/>
    <w:rPr>
      <w:sz w:val="22"/>
      <w:szCs w:val="22"/>
      <w:lang w:eastAsia="en-US"/>
    </w:rPr>
  </w:style>
  <w:style w:type="paragraph" w:styleId="Footer">
    <w:name w:val="footer"/>
    <w:basedOn w:val="Normal"/>
    <w:link w:val="FooterChar"/>
    <w:uiPriority w:val="99"/>
    <w:unhideWhenUsed/>
    <w:rsid w:val="00396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E2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755">
      <w:bodyDiv w:val="1"/>
      <w:marLeft w:val="0"/>
      <w:marRight w:val="0"/>
      <w:marTop w:val="0"/>
      <w:marBottom w:val="0"/>
      <w:divBdr>
        <w:top w:val="none" w:sz="0" w:space="0" w:color="auto"/>
        <w:left w:val="none" w:sz="0" w:space="0" w:color="auto"/>
        <w:bottom w:val="none" w:sz="0" w:space="0" w:color="auto"/>
        <w:right w:val="none" w:sz="0" w:space="0" w:color="auto"/>
      </w:divBdr>
    </w:div>
    <w:div w:id="10247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2020-09-11T16:23:00Z</dcterms:created>
  <dcterms:modified xsi:type="dcterms:W3CDTF">2020-09-11T16:23:00Z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