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F32" w:rsidRPr="001C5703" w:rsidRDefault="008B0F01" w:rsidP="00873F32">
      <w:pPr>
        <w:jc w:val="center"/>
        <w:rPr>
          <w:rFonts w:ascii="Book Antiqua" w:hAnsi="Book Antiqua" w:cs="Arial"/>
          <w:caps/>
          <w:color w:val="000000"/>
          <w:sz w:val="16"/>
          <w:szCs w:val="16"/>
        </w:rPr>
      </w:pPr>
      <w:r w:rsidRPr="00540310">
        <w:rPr>
          <w:noProof/>
        </w:rPr>
        <w:drawing>
          <wp:inline distT="0" distB="0" distL="0" distR="0">
            <wp:extent cx="1173600" cy="102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600" cy="1029600"/>
                    </a:xfrm>
                    <a:prstGeom prst="rect">
                      <a:avLst/>
                    </a:prstGeom>
                    <a:noFill/>
                    <a:ln>
                      <a:noFill/>
                    </a:ln>
                  </pic:spPr>
                </pic:pic>
              </a:graphicData>
            </a:graphic>
          </wp:inline>
        </w:drawing>
      </w:r>
    </w:p>
    <w:p w:rsidR="00873F32" w:rsidRPr="001C5703" w:rsidRDefault="00873F32" w:rsidP="00873F32">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873F32" w:rsidRPr="001C5703" w:rsidRDefault="00873F32" w:rsidP="00873F32">
      <w:pPr>
        <w:tabs>
          <w:tab w:val="right" w:pos="9720"/>
        </w:tabs>
        <w:ind w:right="-82"/>
        <w:rPr>
          <w:rFonts w:ascii="Book Antiqua" w:hAnsi="Book Antiqua" w:cs="Arial"/>
          <w:color w:val="000000"/>
        </w:rPr>
      </w:pPr>
      <w:r w:rsidRPr="001C5703">
        <w:rPr>
          <w:rFonts w:ascii="Book Antiqua" w:hAnsi="Book Antiqua" w:cs="Arial"/>
          <w:b/>
          <w:color w:val="000000"/>
        </w:rPr>
        <w:t>(</w:t>
      </w:r>
      <w:r w:rsidR="000150C1">
        <w:rPr>
          <w:rFonts w:ascii="Book Antiqua" w:hAnsi="Book Antiqua" w:cs="Arial"/>
          <w:b/>
          <w:color w:val="000000"/>
        </w:rPr>
        <w:t xml:space="preserve">Immigration and Asylum </w:t>
      </w:r>
      <w:proofErr w:type="gramStart"/>
      <w:r w:rsidR="000150C1">
        <w:rPr>
          <w:rFonts w:ascii="Book Antiqua" w:hAnsi="Book Antiqua" w:cs="Arial"/>
          <w:b/>
          <w:color w:val="000000"/>
        </w:rPr>
        <w:t xml:space="preserve">Chamber)   </w:t>
      </w:r>
      <w:proofErr w:type="gramEnd"/>
      <w:r w:rsidR="000150C1">
        <w:rPr>
          <w:rFonts w:ascii="Book Antiqua" w:hAnsi="Book Antiqua" w:cs="Arial"/>
          <w:b/>
          <w:color w:val="000000"/>
        </w:rPr>
        <w:t xml:space="preserve">                  </w:t>
      </w:r>
      <w:r w:rsidRPr="000150C1">
        <w:rPr>
          <w:rFonts w:ascii="Book Antiqua" w:hAnsi="Book Antiqua" w:cs="Arial"/>
          <w:b/>
          <w:color w:val="000000"/>
        </w:rPr>
        <w:t xml:space="preserve">Appeal Number: </w:t>
      </w:r>
      <w:r w:rsidR="003C4CA6" w:rsidRPr="000150C1">
        <w:rPr>
          <w:rFonts w:ascii="Book Antiqua" w:hAnsi="Book Antiqua" w:cs="Arial"/>
          <w:b/>
          <w:caps/>
          <w:color w:val="000000"/>
        </w:rPr>
        <w:t>PA/12960/2017</w:t>
      </w:r>
    </w:p>
    <w:p w:rsidR="00873F32" w:rsidRPr="001C5703" w:rsidRDefault="00873F32" w:rsidP="00873F32">
      <w:pPr>
        <w:jc w:val="center"/>
        <w:rPr>
          <w:rFonts w:ascii="Book Antiqua" w:hAnsi="Book Antiqua" w:cs="Arial"/>
          <w:color w:val="000000"/>
        </w:rPr>
      </w:pPr>
    </w:p>
    <w:p w:rsidR="00873F32" w:rsidRPr="001C5703" w:rsidRDefault="00873F32" w:rsidP="00873F32">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873F32" w:rsidRPr="001C5703" w:rsidRDefault="00873F32" w:rsidP="00873F32">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873F32" w:rsidRPr="001C5703" w:rsidTr="000150C1">
        <w:tc>
          <w:tcPr>
            <w:tcW w:w="5103" w:type="dxa"/>
          </w:tcPr>
          <w:p w:rsidR="00873F32" w:rsidRPr="00671B2C" w:rsidRDefault="00873F32" w:rsidP="00FA1290">
            <w:pPr>
              <w:jc w:val="both"/>
              <w:rPr>
                <w:rFonts w:ascii="Book Antiqua" w:hAnsi="Book Antiqua" w:cs="Arial"/>
                <w:b/>
              </w:rPr>
            </w:pPr>
            <w:r w:rsidRPr="00671B2C">
              <w:rPr>
                <w:rFonts w:ascii="Book Antiqua" w:hAnsi="Book Antiqua" w:cs="Arial"/>
                <w:b/>
              </w:rPr>
              <w:t>Heard at Field House</w:t>
            </w:r>
          </w:p>
        </w:tc>
        <w:tc>
          <w:tcPr>
            <w:tcW w:w="4905" w:type="dxa"/>
          </w:tcPr>
          <w:p w:rsidR="00873F32" w:rsidRPr="00671B2C" w:rsidRDefault="000150C1" w:rsidP="00FA1290">
            <w:pPr>
              <w:jc w:val="both"/>
              <w:rPr>
                <w:rFonts w:ascii="Book Antiqua" w:hAnsi="Book Antiqua" w:cs="Arial"/>
                <w:b/>
                <w:color w:val="000000"/>
              </w:rPr>
            </w:pPr>
            <w:r>
              <w:rPr>
                <w:rFonts w:ascii="Book Antiqua" w:hAnsi="Book Antiqua" w:cs="Arial"/>
                <w:b/>
                <w:color w:val="000000"/>
              </w:rPr>
              <w:t xml:space="preserve"> </w:t>
            </w:r>
            <w:r w:rsidR="00873F32" w:rsidRPr="00671B2C">
              <w:rPr>
                <w:rFonts w:ascii="Book Antiqua" w:hAnsi="Book Antiqua" w:cs="Arial"/>
                <w:b/>
                <w:color w:val="000000"/>
              </w:rPr>
              <w:t>Decision &amp; Reasons Promulgated</w:t>
            </w:r>
          </w:p>
        </w:tc>
      </w:tr>
      <w:tr w:rsidR="00873F32" w:rsidRPr="001C5703" w:rsidTr="000150C1">
        <w:tc>
          <w:tcPr>
            <w:tcW w:w="5103" w:type="dxa"/>
          </w:tcPr>
          <w:p w:rsidR="00873F32" w:rsidRPr="00671B2C" w:rsidRDefault="002357A3" w:rsidP="00FA1290">
            <w:pPr>
              <w:jc w:val="both"/>
              <w:rPr>
                <w:rFonts w:ascii="Book Antiqua" w:hAnsi="Book Antiqua" w:cs="Arial"/>
                <w:b/>
              </w:rPr>
            </w:pPr>
            <w:r>
              <w:rPr>
                <w:rFonts w:ascii="Book Antiqua" w:hAnsi="Book Antiqua" w:cs="Arial"/>
                <w:b/>
              </w:rPr>
              <w:t>On 13 April</w:t>
            </w:r>
            <w:r w:rsidR="00873F32" w:rsidRPr="00671B2C">
              <w:rPr>
                <w:rFonts w:ascii="Book Antiqua" w:hAnsi="Book Antiqua" w:cs="Arial"/>
                <w:b/>
              </w:rPr>
              <w:t xml:space="preserve"> 2018</w:t>
            </w:r>
          </w:p>
        </w:tc>
        <w:tc>
          <w:tcPr>
            <w:tcW w:w="4905" w:type="dxa"/>
          </w:tcPr>
          <w:p w:rsidR="00873F32" w:rsidRPr="00671B2C" w:rsidRDefault="000150C1" w:rsidP="00FA1290">
            <w:pPr>
              <w:jc w:val="both"/>
              <w:rPr>
                <w:rFonts w:ascii="Book Antiqua" w:hAnsi="Book Antiqua" w:cs="Arial"/>
                <w:b/>
              </w:rPr>
            </w:pPr>
            <w:r>
              <w:rPr>
                <w:rFonts w:ascii="Book Antiqua" w:hAnsi="Book Antiqua" w:cs="Arial"/>
                <w:b/>
              </w:rPr>
              <w:t xml:space="preserve"> </w:t>
            </w:r>
            <w:r w:rsidR="002357A3">
              <w:rPr>
                <w:rFonts w:ascii="Book Antiqua" w:hAnsi="Book Antiqua" w:cs="Arial"/>
                <w:b/>
              </w:rPr>
              <w:t xml:space="preserve">On </w:t>
            </w:r>
            <w:r w:rsidR="009F1B2F">
              <w:rPr>
                <w:rFonts w:ascii="Book Antiqua" w:hAnsi="Book Antiqua" w:cs="Arial"/>
                <w:b/>
              </w:rPr>
              <w:t>19 July 2018</w:t>
            </w:r>
          </w:p>
        </w:tc>
      </w:tr>
      <w:tr w:rsidR="00873F32" w:rsidRPr="001C5703" w:rsidTr="000150C1">
        <w:tc>
          <w:tcPr>
            <w:tcW w:w="5103" w:type="dxa"/>
          </w:tcPr>
          <w:p w:rsidR="00873F32" w:rsidRPr="00671B2C" w:rsidRDefault="00873F32" w:rsidP="00FA1290">
            <w:pPr>
              <w:jc w:val="both"/>
              <w:rPr>
                <w:rFonts w:ascii="Book Antiqua" w:hAnsi="Book Antiqua" w:cs="Arial"/>
                <w:b/>
              </w:rPr>
            </w:pPr>
          </w:p>
        </w:tc>
        <w:tc>
          <w:tcPr>
            <w:tcW w:w="4905" w:type="dxa"/>
          </w:tcPr>
          <w:p w:rsidR="00873F32" w:rsidRPr="00671B2C" w:rsidRDefault="00873F32" w:rsidP="00FA1290">
            <w:pPr>
              <w:jc w:val="both"/>
              <w:rPr>
                <w:rFonts w:ascii="Book Antiqua" w:hAnsi="Book Antiqua" w:cs="Arial"/>
                <w:b/>
              </w:rPr>
            </w:pPr>
          </w:p>
        </w:tc>
      </w:tr>
    </w:tbl>
    <w:p w:rsidR="00873F32" w:rsidRPr="001C5703" w:rsidRDefault="00873F32" w:rsidP="00873F32">
      <w:pPr>
        <w:jc w:val="center"/>
        <w:rPr>
          <w:rFonts w:ascii="Book Antiqua" w:hAnsi="Book Antiqua" w:cs="Arial"/>
        </w:rPr>
      </w:pPr>
    </w:p>
    <w:p w:rsidR="000150C1" w:rsidRDefault="000150C1" w:rsidP="00873F32">
      <w:pPr>
        <w:jc w:val="center"/>
        <w:rPr>
          <w:rFonts w:ascii="Book Antiqua" w:hAnsi="Book Antiqua" w:cs="Arial"/>
          <w:b/>
        </w:rPr>
      </w:pPr>
    </w:p>
    <w:p w:rsidR="00873F32" w:rsidRPr="001C5703" w:rsidRDefault="00873F32" w:rsidP="00873F32">
      <w:pPr>
        <w:jc w:val="center"/>
        <w:rPr>
          <w:rFonts w:ascii="Book Antiqua" w:hAnsi="Book Antiqua" w:cs="Arial"/>
          <w:b/>
        </w:rPr>
      </w:pPr>
      <w:r w:rsidRPr="001C5703">
        <w:rPr>
          <w:rFonts w:ascii="Book Antiqua" w:hAnsi="Book Antiqua" w:cs="Arial"/>
          <w:b/>
        </w:rPr>
        <w:t>Before</w:t>
      </w:r>
    </w:p>
    <w:p w:rsidR="00873F32" w:rsidRPr="001C5703" w:rsidRDefault="00873F32" w:rsidP="00873F32">
      <w:pPr>
        <w:jc w:val="center"/>
        <w:rPr>
          <w:rFonts w:ascii="Book Antiqua" w:hAnsi="Book Antiqua" w:cs="Arial"/>
          <w:b/>
        </w:rPr>
      </w:pPr>
    </w:p>
    <w:p w:rsidR="00873F32" w:rsidRPr="001C5703" w:rsidRDefault="002357A3" w:rsidP="00873F32">
      <w:pPr>
        <w:jc w:val="center"/>
        <w:rPr>
          <w:rFonts w:ascii="Book Antiqua" w:hAnsi="Book Antiqua" w:cs="Arial"/>
          <w:b/>
          <w:color w:val="000000"/>
        </w:rPr>
      </w:pPr>
      <w:r>
        <w:rPr>
          <w:rFonts w:ascii="Book Antiqua" w:hAnsi="Book Antiqua" w:cs="Arial"/>
          <w:b/>
          <w:color w:val="000000"/>
        </w:rPr>
        <w:t xml:space="preserve">DEPUTY </w:t>
      </w:r>
      <w:r w:rsidR="00873F32">
        <w:rPr>
          <w:rFonts w:ascii="Book Antiqua" w:hAnsi="Book Antiqua" w:cs="Arial"/>
          <w:b/>
          <w:color w:val="000000"/>
        </w:rPr>
        <w:t>UPPER TRIBUNAL</w:t>
      </w:r>
      <w:r>
        <w:rPr>
          <w:rFonts w:ascii="Book Antiqua" w:hAnsi="Book Antiqua" w:cs="Arial"/>
          <w:b/>
          <w:color w:val="000000"/>
        </w:rPr>
        <w:t xml:space="preserve"> JUDGE BAGRAL</w:t>
      </w:r>
    </w:p>
    <w:p w:rsidR="00873F32" w:rsidRPr="001C5703" w:rsidRDefault="00873F32" w:rsidP="00873F32">
      <w:pPr>
        <w:jc w:val="center"/>
        <w:rPr>
          <w:rFonts w:ascii="Book Antiqua" w:hAnsi="Book Antiqua" w:cs="Arial"/>
          <w:b/>
        </w:rPr>
      </w:pPr>
    </w:p>
    <w:p w:rsidR="00873F32" w:rsidRPr="001C5703" w:rsidRDefault="00873F32" w:rsidP="00873F32">
      <w:pPr>
        <w:jc w:val="center"/>
        <w:rPr>
          <w:rFonts w:ascii="Book Antiqua" w:hAnsi="Book Antiqua" w:cs="Arial"/>
          <w:b/>
        </w:rPr>
      </w:pPr>
      <w:r w:rsidRPr="001C5703">
        <w:rPr>
          <w:rFonts w:ascii="Book Antiqua" w:hAnsi="Book Antiqua" w:cs="Arial"/>
          <w:b/>
        </w:rPr>
        <w:t>Between</w:t>
      </w:r>
    </w:p>
    <w:p w:rsidR="00873F32" w:rsidRDefault="00873F32" w:rsidP="00873F32">
      <w:pPr>
        <w:jc w:val="center"/>
        <w:rPr>
          <w:rFonts w:ascii="Book Antiqua" w:hAnsi="Book Antiqua" w:cs="Arial"/>
          <w:b/>
        </w:rPr>
      </w:pPr>
    </w:p>
    <w:p w:rsidR="000150C1" w:rsidRPr="001C5703" w:rsidRDefault="000150C1" w:rsidP="00873F32">
      <w:pPr>
        <w:jc w:val="center"/>
        <w:rPr>
          <w:rFonts w:ascii="Book Antiqua" w:hAnsi="Book Antiqua" w:cs="Arial"/>
          <w:b/>
        </w:rPr>
      </w:pPr>
      <w:r>
        <w:rPr>
          <w:rFonts w:ascii="Book Antiqua" w:hAnsi="Book Antiqua" w:cs="Arial"/>
          <w:b/>
        </w:rPr>
        <w:t>THE SECRETARY OF STATE FOR THE HOME DEPARTMENT</w:t>
      </w:r>
    </w:p>
    <w:p w:rsidR="00873F32" w:rsidRPr="001C5703" w:rsidRDefault="00873F32" w:rsidP="00873F32">
      <w:pPr>
        <w:jc w:val="right"/>
        <w:rPr>
          <w:rFonts w:ascii="Book Antiqua" w:hAnsi="Book Antiqua" w:cs="Arial"/>
          <w:u w:val="single"/>
        </w:rPr>
      </w:pPr>
      <w:r w:rsidRPr="001C5703">
        <w:rPr>
          <w:rFonts w:ascii="Book Antiqua" w:hAnsi="Book Antiqua" w:cs="Arial"/>
          <w:u w:val="single"/>
        </w:rPr>
        <w:t>Appellant</w:t>
      </w:r>
    </w:p>
    <w:p w:rsidR="000150C1" w:rsidRDefault="000150C1" w:rsidP="00873F32">
      <w:pPr>
        <w:jc w:val="center"/>
        <w:rPr>
          <w:rFonts w:ascii="Book Antiqua" w:hAnsi="Book Antiqua" w:cs="Arial"/>
          <w:b/>
        </w:rPr>
      </w:pPr>
    </w:p>
    <w:p w:rsidR="00873F32" w:rsidRPr="001C5703" w:rsidRDefault="00873F32" w:rsidP="00873F32">
      <w:pPr>
        <w:jc w:val="center"/>
        <w:rPr>
          <w:rFonts w:ascii="Book Antiqua" w:hAnsi="Book Antiqua" w:cs="Arial"/>
          <w:b/>
        </w:rPr>
      </w:pPr>
      <w:r w:rsidRPr="001C5703">
        <w:rPr>
          <w:rFonts w:ascii="Book Antiqua" w:hAnsi="Book Antiqua" w:cs="Arial"/>
          <w:b/>
        </w:rPr>
        <w:t>and</w:t>
      </w:r>
    </w:p>
    <w:p w:rsidR="00873F32" w:rsidRPr="001C5703" w:rsidRDefault="00873F32" w:rsidP="00873F32">
      <w:pPr>
        <w:jc w:val="center"/>
        <w:rPr>
          <w:rFonts w:ascii="Book Antiqua" w:hAnsi="Book Antiqua" w:cs="Arial"/>
          <w:b/>
        </w:rPr>
      </w:pPr>
    </w:p>
    <w:p w:rsidR="00873F32" w:rsidRDefault="00873F32" w:rsidP="00873F32">
      <w:pPr>
        <w:jc w:val="center"/>
        <w:rPr>
          <w:rFonts w:ascii="Book Antiqua" w:hAnsi="Book Antiqua" w:cs="Arial"/>
          <w:b/>
        </w:rPr>
      </w:pPr>
      <w:r>
        <w:rPr>
          <w:rFonts w:ascii="Book Antiqua" w:hAnsi="Book Antiqua" w:cs="Arial"/>
          <w:b/>
        </w:rPr>
        <w:t xml:space="preserve"> </w:t>
      </w:r>
      <w:r w:rsidR="0044005A">
        <w:rPr>
          <w:rFonts w:ascii="Book Antiqua" w:hAnsi="Book Antiqua" w:cs="Arial"/>
          <w:b/>
        </w:rPr>
        <w:t>JM</w:t>
      </w:r>
    </w:p>
    <w:p w:rsidR="00873F32" w:rsidRPr="000150C1" w:rsidRDefault="00873F32" w:rsidP="00873F32">
      <w:pPr>
        <w:jc w:val="center"/>
        <w:rPr>
          <w:rFonts w:ascii="Book Antiqua" w:hAnsi="Book Antiqua" w:cs="Arial"/>
          <w:caps/>
        </w:rPr>
      </w:pPr>
      <w:r w:rsidRPr="000150C1">
        <w:rPr>
          <w:rFonts w:ascii="Book Antiqua" w:hAnsi="Book Antiqua" w:cs="Arial"/>
          <w:caps/>
        </w:rPr>
        <w:t>(ANONYMITY DIRECTION made)</w:t>
      </w:r>
    </w:p>
    <w:p w:rsidR="00873F32" w:rsidRPr="001C5703" w:rsidRDefault="00873F32" w:rsidP="00873F32">
      <w:pPr>
        <w:jc w:val="right"/>
        <w:rPr>
          <w:rFonts w:ascii="Book Antiqua" w:hAnsi="Book Antiqua" w:cs="Arial"/>
          <w:u w:val="single"/>
        </w:rPr>
      </w:pPr>
      <w:r w:rsidRPr="001C5703">
        <w:rPr>
          <w:rFonts w:ascii="Book Antiqua" w:hAnsi="Book Antiqua" w:cs="Arial"/>
          <w:u w:val="single"/>
        </w:rPr>
        <w:t>Respondent</w:t>
      </w:r>
    </w:p>
    <w:p w:rsidR="00873F32" w:rsidRDefault="00873F32" w:rsidP="00873F32">
      <w:pPr>
        <w:rPr>
          <w:rFonts w:ascii="Book Antiqua" w:hAnsi="Book Antiqua" w:cs="Arial"/>
          <w:u w:val="single"/>
        </w:rPr>
      </w:pPr>
    </w:p>
    <w:p w:rsidR="00873F32" w:rsidRDefault="00873F32" w:rsidP="00873F32">
      <w:pPr>
        <w:rPr>
          <w:rFonts w:ascii="Book Antiqua" w:hAnsi="Book Antiqua" w:cs="Arial"/>
          <w:b/>
          <w:u w:val="single"/>
        </w:rPr>
      </w:pPr>
    </w:p>
    <w:p w:rsidR="00873F32" w:rsidRDefault="00873F32" w:rsidP="00873F32">
      <w:pPr>
        <w:rPr>
          <w:rFonts w:ascii="Book Antiqua" w:hAnsi="Book Antiqua" w:cs="Arial"/>
          <w:b/>
        </w:rPr>
      </w:pPr>
      <w:r w:rsidRPr="001C5703">
        <w:rPr>
          <w:rFonts w:ascii="Book Antiqua" w:hAnsi="Book Antiqua" w:cs="Arial"/>
          <w:b/>
          <w:u w:val="single"/>
        </w:rPr>
        <w:t>Representation</w:t>
      </w:r>
      <w:r w:rsidRPr="001C5703">
        <w:rPr>
          <w:rFonts w:ascii="Book Antiqua" w:hAnsi="Book Antiqua" w:cs="Arial"/>
          <w:b/>
        </w:rPr>
        <w:t>:</w:t>
      </w:r>
    </w:p>
    <w:p w:rsidR="00267473" w:rsidRPr="001C5703" w:rsidRDefault="00267473" w:rsidP="00873F32">
      <w:pPr>
        <w:rPr>
          <w:rFonts w:ascii="Book Antiqua" w:hAnsi="Book Antiqua" w:cs="Arial"/>
        </w:rPr>
      </w:pPr>
    </w:p>
    <w:p w:rsidR="00873F32" w:rsidRPr="001C5703" w:rsidRDefault="00873F32" w:rsidP="00873F32">
      <w:pPr>
        <w:tabs>
          <w:tab w:val="left" w:pos="2552"/>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44005A">
        <w:rPr>
          <w:rFonts w:ascii="Book Antiqua" w:hAnsi="Book Antiqua" w:cs="Arial"/>
        </w:rPr>
        <w:t>Mr T Lindsay</w:t>
      </w:r>
      <w:r>
        <w:rPr>
          <w:rFonts w:ascii="Book Antiqua" w:hAnsi="Book Antiqua" w:cs="Arial"/>
        </w:rPr>
        <w:t>,</w:t>
      </w:r>
      <w:r w:rsidR="0044005A">
        <w:rPr>
          <w:rFonts w:ascii="Book Antiqua" w:hAnsi="Book Antiqua" w:cs="Arial"/>
        </w:rPr>
        <w:t xml:space="preserve"> Home Office</w:t>
      </w:r>
      <w:r>
        <w:rPr>
          <w:rFonts w:ascii="Book Antiqua" w:hAnsi="Book Antiqua" w:cs="Arial"/>
        </w:rPr>
        <w:t xml:space="preserve"> Presenting Officer</w:t>
      </w:r>
    </w:p>
    <w:p w:rsidR="00873F32" w:rsidRPr="001C5703" w:rsidRDefault="00873F32" w:rsidP="00873F32">
      <w:pPr>
        <w:ind w:left="2552" w:hanging="2552"/>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44005A">
        <w:rPr>
          <w:rFonts w:ascii="Book Antiqua" w:hAnsi="Book Antiqua" w:cs="Arial"/>
        </w:rPr>
        <w:t>Mr J Collins</w:t>
      </w:r>
      <w:r>
        <w:rPr>
          <w:rFonts w:ascii="Book Antiqua" w:hAnsi="Book Antiqua" w:cs="Arial"/>
        </w:rPr>
        <w:t>,</w:t>
      </w:r>
      <w:r w:rsidR="0044005A">
        <w:rPr>
          <w:rFonts w:ascii="Book Antiqua" w:hAnsi="Book Antiqua" w:cs="Arial"/>
        </w:rPr>
        <w:t xml:space="preserve"> of</w:t>
      </w:r>
      <w:r>
        <w:rPr>
          <w:rFonts w:ascii="Book Antiqua" w:hAnsi="Book Antiqua" w:cs="Arial"/>
        </w:rPr>
        <w:t xml:space="preserve"> Counsel ins</w:t>
      </w:r>
      <w:r w:rsidR="0044005A">
        <w:rPr>
          <w:rFonts w:ascii="Book Antiqua" w:hAnsi="Book Antiqua" w:cs="Arial"/>
        </w:rPr>
        <w:t>tructed by Sentinel</w:t>
      </w:r>
      <w:r>
        <w:rPr>
          <w:rFonts w:ascii="Book Antiqua" w:hAnsi="Book Antiqua" w:cs="Arial"/>
        </w:rPr>
        <w:t xml:space="preserve"> Solicitors </w:t>
      </w:r>
    </w:p>
    <w:p w:rsidR="00873F32" w:rsidRPr="001C5703" w:rsidRDefault="00873F32" w:rsidP="00161A74">
      <w:pPr>
        <w:rPr>
          <w:rFonts w:ascii="Book Antiqua" w:hAnsi="Book Antiqua" w:cs="Arial"/>
        </w:rPr>
      </w:pPr>
    </w:p>
    <w:p w:rsidR="00873F32" w:rsidRPr="001C5703" w:rsidRDefault="00873F32" w:rsidP="00873F32">
      <w:pPr>
        <w:jc w:val="center"/>
        <w:rPr>
          <w:rFonts w:ascii="Book Antiqua" w:hAnsi="Book Antiqua" w:cs="Arial"/>
        </w:rPr>
      </w:pPr>
      <w:r>
        <w:rPr>
          <w:rFonts w:ascii="Book Antiqua" w:hAnsi="Book Antiqua" w:cs="Arial"/>
          <w:b/>
          <w:u w:val="single"/>
        </w:rPr>
        <w:t xml:space="preserve">DECISION </w:t>
      </w:r>
      <w:r w:rsidRPr="001C5703">
        <w:rPr>
          <w:rFonts w:ascii="Book Antiqua" w:hAnsi="Book Antiqua" w:cs="Arial"/>
          <w:b/>
          <w:u w:val="single"/>
        </w:rPr>
        <w:t>AND REASONS</w:t>
      </w:r>
    </w:p>
    <w:p w:rsidR="00873F32" w:rsidRPr="001C5703" w:rsidRDefault="00873F32" w:rsidP="00873F32">
      <w:pPr>
        <w:tabs>
          <w:tab w:val="left" w:pos="2520"/>
        </w:tabs>
        <w:jc w:val="both"/>
        <w:rPr>
          <w:rFonts w:ascii="Book Antiqua" w:hAnsi="Book Antiqua" w:cs="Arial"/>
        </w:rPr>
      </w:pPr>
    </w:p>
    <w:p w:rsidR="00873F32" w:rsidRDefault="00873F32" w:rsidP="00873F32">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Pr>
          <w:rFonts w:ascii="Book Antiqua" w:hAnsi="Book Antiqua" w:cs="Arial"/>
        </w:rPr>
        <w:t>This is the appeal of the Secretary of State</w:t>
      </w:r>
      <w:r w:rsidR="0044005A">
        <w:rPr>
          <w:rFonts w:ascii="Book Antiqua" w:hAnsi="Book Antiqua" w:cs="Arial"/>
        </w:rPr>
        <w:t>,</w:t>
      </w:r>
      <w:r>
        <w:rPr>
          <w:rFonts w:ascii="Book Antiqua" w:hAnsi="Book Antiqua" w:cs="Arial"/>
        </w:rPr>
        <w:t xml:space="preserve"> but I will refer to the original appellant, </w:t>
      </w:r>
      <w:r w:rsidR="0044005A">
        <w:rPr>
          <w:rFonts w:ascii="Book Antiqua" w:hAnsi="Book Antiqua" w:cs="Arial"/>
        </w:rPr>
        <w:t xml:space="preserve">a citizen of Albania, born on 18 March 2000 as the appellant herein. </w:t>
      </w:r>
      <w:r>
        <w:rPr>
          <w:rFonts w:ascii="Book Antiqua" w:hAnsi="Book Antiqua" w:cs="Arial"/>
        </w:rPr>
        <w:t>The appellant at the age of 1</w:t>
      </w:r>
      <w:r w:rsidR="000816CB">
        <w:rPr>
          <w:rFonts w:ascii="Book Antiqua" w:hAnsi="Book Antiqua" w:cs="Arial"/>
        </w:rPr>
        <w:t>5 left Albania on 9 May 2015</w:t>
      </w:r>
      <w:r>
        <w:rPr>
          <w:rFonts w:ascii="Book Antiqua" w:hAnsi="Book Antiqua" w:cs="Arial"/>
        </w:rPr>
        <w:t xml:space="preserve"> and travelled via </w:t>
      </w:r>
      <w:r w:rsidR="0044005A">
        <w:rPr>
          <w:rFonts w:ascii="Book Antiqua" w:hAnsi="Book Antiqua" w:cs="Arial"/>
        </w:rPr>
        <w:t>German</w:t>
      </w:r>
      <w:r w:rsidR="002B00A2">
        <w:rPr>
          <w:rFonts w:ascii="Book Antiqua" w:hAnsi="Book Antiqua" w:cs="Arial"/>
        </w:rPr>
        <w:t>y</w:t>
      </w:r>
      <w:r w:rsidR="0044005A">
        <w:rPr>
          <w:rFonts w:ascii="Book Antiqua" w:hAnsi="Book Antiqua" w:cs="Arial"/>
        </w:rPr>
        <w:t xml:space="preserve"> and </w:t>
      </w:r>
      <w:r w:rsidR="008A15CC">
        <w:rPr>
          <w:rFonts w:ascii="Book Antiqua" w:hAnsi="Book Antiqua" w:cs="Arial"/>
        </w:rPr>
        <w:t>Belgium</w:t>
      </w:r>
      <w:r w:rsidR="0044005A">
        <w:rPr>
          <w:rFonts w:ascii="Book Antiqua" w:hAnsi="Book Antiqua" w:cs="Arial"/>
        </w:rPr>
        <w:t xml:space="preserve"> to the UK</w:t>
      </w:r>
      <w:r w:rsidR="008A15CC">
        <w:rPr>
          <w:rFonts w:ascii="Book Antiqua" w:hAnsi="Book Antiqua" w:cs="Arial"/>
        </w:rPr>
        <w:t>,</w:t>
      </w:r>
      <w:r w:rsidR="0044005A">
        <w:rPr>
          <w:rFonts w:ascii="Book Antiqua" w:hAnsi="Book Antiqua" w:cs="Arial"/>
        </w:rPr>
        <w:t xml:space="preserve"> </w:t>
      </w:r>
      <w:r w:rsidR="00B75238">
        <w:rPr>
          <w:rFonts w:ascii="Book Antiqua" w:hAnsi="Book Antiqua" w:cs="Arial"/>
        </w:rPr>
        <w:t>clandestinely</w:t>
      </w:r>
      <w:r w:rsidR="008A15CC">
        <w:rPr>
          <w:rFonts w:ascii="Book Antiqua" w:hAnsi="Book Antiqua" w:cs="Arial"/>
        </w:rPr>
        <w:t>, arriving</w:t>
      </w:r>
      <w:r w:rsidR="0044005A">
        <w:rPr>
          <w:rFonts w:ascii="Book Antiqua" w:hAnsi="Book Antiqua" w:cs="Arial"/>
        </w:rPr>
        <w:t xml:space="preserve"> on 7 July</w:t>
      </w:r>
      <w:r>
        <w:rPr>
          <w:rFonts w:ascii="Book Antiqua" w:hAnsi="Book Antiqua" w:cs="Arial"/>
        </w:rPr>
        <w:t xml:space="preserve"> 20</w:t>
      </w:r>
      <w:r w:rsidR="0044005A">
        <w:rPr>
          <w:rFonts w:ascii="Book Antiqua" w:hAnsi="Book Antiqua" w:cs="Arial"/>
        </w:rPr>
        <w:t>15.  He applied for asylum on 24 August</w:t>
      </w:r>
      <w:r>
        <w:rPr>
          <w:rFonts w:ascii="Book Antiqua" w:hAnsi="Book Antiqua" w:cs="Arial"/>
        </w:rPr>
        <w:t xml:space="preserve"> 2015</w:t>
      </w:r>
      <w:r w:rsidR="000816CB">
        <w:rPr>
          <w:rFonts w:ascii="Book Antiqua" w:hAnsi="Book Antiqua" w:cs="Arial"/>
        </w:rPr>
        <w:t>,</w:t>
      </w:r>
      <w:r>
        <w:rPr>
          <w:rFonts w:ascii="Book Antiqua" w:hAnsi="Book Antiqua" w:cs="Arial"/>
        </w:rPr>
        <w:t xml:space="preserve"> but th</w:t>
      </w:r>
      <w:r w:rsidR="0044005A">
        <w:rPr>
          <w:rFonts w:ascii="Book Antiqua" w:hAnsi="Book Antiqua" w:cs="Arial"/>
        </w:rPr>
        <w:t xml:space="preserve">is application was refused on 24 November 2017.  </w:t>
      </w:r>
    </w:p>
    <w:p w:rsidR="00873F32" w:rsidRDefault="00873F32" w:rsidP="00873F32">
      <w:pPr>
        <w:tabs>
          <w:tab w:val="left" w:pos="567"/>
        </w:tabs>
        <w:ind w:left="567" w:hanging="567"/>
        <w:jc w:val="both"/>
        <w:rPr>
          <w:rFonts w:ascii="Book Antiqua" w:hAnsi="Book Antiqua" w:cs="Arial"/>
        </w:rPr>
      </w:pPr>
    </w:p>
    <w:p w:rsidR="0044005A" w:rsidRDefault="00873F32" w:rsidP="00873F32">
      <w:pPr>
        <w:tabs>
          <w:tab w:val="left" w:pos="567"/>
        </w:tabs>
        <w:ind w:left="567" w:hanging="567"/>
        <w:jc w:val="both"/>
        <w:rPr>
          <w:rFonts w:ascii="Book Antiqua" w:hAnsi="Book Antiqua" w:cs="Arial"/>
        </w:rPr>
      </w:pPr>
      <w:r>
        <w:rPr>
          <w:rFonts w:ascii="Book Antiqua" w:hAnsi="Book Antiqua" w:cs="Arial"/>
        </w:rPr>
        <w:t>2.</w:t>
      </w:r>
      <w:r w:rsidR="0044005A">
        <w:rPr>
          <w:rFonts w:ascii="Book Antiqua" w:hAnsi="Book Antiqua" w:cs="Arial"/>
        </w:rPr>
        <w:tab/>
        <w:t>The appellant</w:t>
      </w:r>
      <w:r w:rsidR="002B00A2">
        <w:rPr>
          <w:rFonts w:ascii="Book Antiqua" w:hAnsi="Book Antiqua" w:cs="Arial"/>
        </w:rPr>
        <w:t>’s</w:t>
      </w:r>
      <w:r w:rsidR="0044005A">
        <w:rPr>
          <w:rFonts w:ascii="Book Antiqua" w:hAnsi="Book Antiqua" w:cs="Arial"/>
        </w:rPr>
        <w:t xml:space="preserve"> claim was based on </w:t>
      </w:r>
      <w:r w:rsidR="002B00A2">
        <w:rPr>
          <w:rFonts w:ascii="Book Antiqua" w:hAnsi="Book Antiqua" w:cs="Arial"/>
        </w:rPr>
        <w:t xml:space="preserve">a </w:t>
      </w:r>
      <w:r w:rsidR="0044005A">
        <w:rPr>
          <w:rFonts w:ascii="Book Antiqua" w:hAnsi="Book Antiqua" w:cs="Arial"/>
        </w:rPr>
        <w:t>fear of return to Albania on the basis that he had been traff</w:t>
      </w:r>
      <w:r w:rsidR="003E32D1">
        <w:rPr>
          <w:rFonts w:ascii="Book Antiqua" w:hAnsi="Book Antiqua" w:cs="Arial"/>
        </w:rPr>
        <w:t>icked as a child by a drugs gan</w:t>
      </w:r>
      <w:r w:rsidR="00444BDF">
        <w:rPr>
          <w:rFonts w:ascii="Book Antiqua" w:hAnsi="Book Antiqua" w:cs="Arial"/>
        </w:rPr>
        <w:t xml:space="preserve">g, and raped. </w:t>
      </w:r>
    </w:p>
    <w:p w:rsidR="008D0051" w:rsidRDefault="008D0051" w:rsidP="00873F32">
      <w:pPr>
        <w:tabs>
          <w:tab w:val="left" w:pos="567"/>
        </w:tabs>
        <w:ind w:left="567" w:hanging="567"/>
        <w:jc w:val="both"/>
        <w:rPr>
          <w:rFonts w:ascii="Book Antiqua" w:hAnsi="Book Antiqua" w:cs="Arial"/>
        </w:rPr>
      </w:pPr>
    </w:p>
    <w:p w:rsidR="00873F32" w:rsidRDefault="002B00A2" w:rsidP="00125408">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The appellant’s</w:t>
      </w:r>
      <w:r w:rsidR="0007389D">
        <w:rPr>
          <w:rFonts w:ascii="Book Antiqua" w:hAnsi="Book Antiqua" w:cs="Arial"/>
        </w:rPr>
        <w:t xml:space="preserve"> father was a police officer who</w:t>
      </w:r>
      <w:r w:rsidR="00444BDF">
        <w:rPr>
          <w:rFonts w:ascii="Book Antiqua" w:hAnsi="Book Antiqua" w:cs="Arial"/>
        </w:rPr>
        <w:t xml:space="preserve"> face</w:t>
      </w:r>
      <w:r w:rsidR="0007389D">
        <w:rPr>
          <w:rFonts w:ascii="Book Antiqua" w:hAnsi="Book Antiqua" w:cs="Arial"/>
        </w:rPr>
        <w:t>d</w:t>
      </w:r>
      <w:r w:rsidR="00444BDF">
        <w:rPr>
          <w:rFonts w:ascii="Book Antiqua" w:hAnsi="Book Antiqua" w:cs="Arial"/>
        </w:rPr>
        <w:t xml:space="preserve"> proble</w:t>
      </w:r>
      <w:r w:rsidR="0007389D">
        <w:rPr>
          <w:rFonts w:ascii="Book Antiqua" w:hAnsi="Book Antiqua" w:cs="Arial"/>
        </w:rPr>
        <w:t>ms with criminal gangs cultivating and dealing in</w:t>
      </w:r>
      <w:r w:rsidR="00444BDF">
        <w:rPr>
          <w:rFonts w:ascii="Book Antiqua" w:hAnsi="Book Antiqua" w:cs="Arial"/>
        </w:rPr>
        <w:t xml:space="preserve"> cannabis. The appellant was recruited by the gang and </w:t>
      </w:r>
      <w:r w:rsidR="008D0051">
        <w:rPr>
          <w:rFonts w:ascii="Book Antiqua" w:hAnsi="Book Antiqua" w:cs="Arial"/>
        </w:rPr>
        <w:t xml:space="preserve">forced to </w:t>
      </w:r>
      <w:r w:rsidR="00444BDF">
        <w:rPr>
          <w:rFonts w:ascii="Book Antiqua" w:hAnsi="Book Antiqua" w:cs="Arial"/>
        </w:rPr>
        <w:t>cultivate cannabis and deliver bags of d</w:t>
      </w:r>
      <w:r w:rsidR="00125408">
        <w:rPr>
          <w:rFonts w:ascii="Book Antiqua" w:hAnsi="Book Antiqua" w:cs="Arial"/>
        </w:rPr>
        <w:t>rugs</w:t>
      </w:r>
      <w:r w:rsidR="000816CB">
        <w:rPr>
          <w:rFonts w:ascii="Book Antiqua" w:hAnsi="Book Antiqua" w:cs="Arial"/>
        </w:rPr>
        <w:t>, which provided an income for his family</w:t>
      </w:r>
      <w:r w:rsidR="00125408">
        <w:rPr>
          <w:rFonts w:ascii="Book Antiqua" w:hAnsi="Book Antiqua" w:cs="Arial"/>
        </w:rPr>
        <w:t>.</w:t>
      </w:r>
      <w:r w:rsidR="000816CB">
        <w:rPr>
          <w:rFonts w:ascii="Book Antiqua" w:hAnsi="Book Antiqua" w:cs="Arial"/>
        </w:rPr>
        <w:t xml:space="preserve"> The appellant’s relationsh</w:t>
      </w:r>
      <w:r w:rsidR="00A644EF">
        <w:rPr>
          <w:rFonts w:ascii="Book Antiqua" w:hAnsi="Book Antiqua" w:cs="Arial"/>
        </w:rPr>
        <w:t>ip with the gang changed when they started to punish him</w:t>
      </w:r>
      <w:r w:rsidR="000816CB">
        <w:rPr>
          <w:rFonts w:ascii="Book Antiqua" w:hAnsi="Book Antiqua" w:cs="Arial"/>
        </w:rPr>
        <w:t xml:space="preserve"> for being late </w:t>
      </w:r>
      <w:r w:rsidR="0007389D">
        <w:rPr>
          <w:rFonts w:ascii="Book Antiqua" w:hAnsi="Book Antiqua" w:cs="Arial"/>
        </w:rPr>
        <w:t>in his attendance and resulted o</w:t>
      </w:r>
      <w:r w:rsidR="000816CB">
        <w:rPr>
          <w:rFonts w:ascii="Book Antiqua" w:hAnsi="Book Antiqua" w:cs="Arial"/>
        </w:rPr>
        <w:t xml:space="preserve">n one occasion with him being raped. The appellant </w:t>
      </w:r>
      <w:r w:rsidR="00444BDF">
        <w:rPr>
          <w:rFonts w:ascii="Book Antiqua" w:hAnsi="Book Antiqua" w:cs="Arial"/>
        </w:rPr>
        <w:t>ran away</w:t>
      </w:r>
      <w:r w:rsidR="000816CB">
        <w:rPr>
          <w:rFonts w:ascii="Book Antiqua" w:hAnsi="Book Antiqua" w:cs="Arial"/>
        </w:rPr>
        <w:t xml:space="preserve"> from the gang</w:t>
      </w:r>
      <w:r w:rsidR="00444BDF">
        <w:rPr>
          <w:rFonts w:ascii="Book Antiqua" w:hAnsi="Book Antiqua" w:cs="Arial"/>
        </w:rPr>
        <w:t xml:space="preserve"> and subsequently left </w:t>
      </w:r>
      <w:r w:rsidR="00A77046">
        <w:rPr>
          <w:rFonts w:ascii="Book Antiqua" w:hAnsi="Book Antiqua" w:cs="Arial"/>
        </w:rPr>
        <w:t xml:space="preserve">Albania. </w:t>
      </w:r>
    </w:p>
    <w:p w:rsidR="00873F32" w:rsidRDefault="00873F32" w:rsidP="00873F32">
      <w:pPr>
        <w:tabs>
          <w:tab w:val="left" w:pos="567"/>
        </w:tabs>
        <w:ind w:left="567" w:hanging="567"/>
        <w:jc w:val="both"/>
        <w:rPr>
          <w:rFonts w:ascii="Book Antiqua" w:hAnsi="Book Antiqua" w:cs="Arial"/>
        </w:rPr>
      </w:pPr>
    </w:p>
    <w:p w:rsidR="00873F32" w:rsidRDefault="00A644EF" w:rsidP="008D0051">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r>
      <w:r w:rsidR="008D0051">
        <w:rPr>
          <w:rFonts w:ascii="Book Antiqua" w:hAnsi="Book Antiqua" w:cs="Arial"/>
        </w:rPr>
        <w:t>T</w:t>
      </w:r>
      <w:r w:rsidR="00873F32">
        <w:rPr>
          <w:rFonts w:ascii="Book Antiqua" w:hAnsi="Book Antiqua" w:cs="Arial"/>
        </w:rPr>
        <w:t>he respondent took the view that the</w:t>
      </w:r>
      <w:r w:rsidR="008D0051">
        <w:rPr>
          <w:rFonts w:ascii="Book Antiqua" w:hAnsi="Book Antiqua" w:cs="Arial"/>
        </w:rPr>
        <w:t xml:space="preserve"> appellant’s claim was not credible. The respondent found that there were </w:t>
      </w:r>
      <w:proofErr w:type="gramStart"/>
      <w:r w:rsidR="002E3FD2">
        <w:rPr>
          <w:rFonts w:ascii="Book Antiqua" w:hAnsi="Book Antiqua" w:cs="Arial"/>
        </w:rPr>
        <w:t xml:space="preserve">a </w:t>
      </w:r>
      <w:r w:rsidR="008D0051">
        <w:rPr>
          <w:rFonts w:ascii="Book Antiqua" w:hAnsi="Book Antiqua" w:cs="Arial"/>
        </w:rPr>
        <w:t>number of</w:t>
      </w:r>
      <w:proofErr w:type="gramEnd"/>
      <w:r w:rsidR="008D0051">
        <w:rPr>
          <w:rFonts w:ascii="Book Antiqua" w:hAnsi="Book Antiqua" w:cs="Arial"/>
        </w:rPr>
        <w:t xml:space="preserve"> material</w:t>
      </w:r>
      <w:r w:rsidR="002E3FD2">
        <w:rPr>
          <w:rFonts w:ascii="Book Antiqua" w:hAnsi="Book Antiqua" w:cs="Arial"/>
        </w:rPr>
        <w:t xml:space="preserve"> </w:t>
      </w:r>
      <w:r w:rsidR="00B75238">
        <w:rPr>
          <w:rFonts w:ascii="Book Antiqua" w:hAnsi="Book Antiqua" w:cs="Arial"/>
        </w:rPr>
        <w:t>inconsistencies</w:t>
      </w:r>
      <w:r w:rsidR="002E3FD2">
        <w:rPr>
          <w:rFonts w:ascii="Book Antiqua" w:hAnsi="Book Antiqua" w:cs="Arial"/>
        </w:rPr>
        <w:t xml:space="preserve"> in the account</w:t>
      </w:r>
      <w:r w:rsidR="008D0051">
        <w:rPr>
          <w:rFonts w:ascii="Book Antiqua" w:hAnsi="Book Antiqua" w:cs="Arial"/>
        </w:rPr>
        <w:t xml:space="preserve"> and made a number of adverse credibility findings. </w:t>
      </w:r>
      <w:r w:rsidR="001135E9">
        <w:rPr>
          <w:rFonts w:ascii="Book Antiqua" w:hAnsi="Book Antiqua" w:cs="Arial"/>
        </w:rPr>
        <w:t>In the alternative, the respondent concluded that there was a sufficiency of protection for the appellant in Albania and that he could in</w:t>
      </w:r>
      <w:r w:rsidR="0007389D">
        <w:rPr>
          <w:rFonts w:ascii="Book Antiqua" w:hAnsi="Book Antiqua" w:cs="Arial"/>
        </w:rPr>
        <w:t>ternally relocate</w:t>
      </w:r>
      <w:r w:rsidR="001135E9">
        <w:rPr>
          <w:rFonts w:ascii="Book Antiqua" w:hAnsi="Book Antiqua" w:cs="Arial"/>
        </w:rPr>
        <w:t xml:space="preserve"> to a place of safety. </w:t>
      </w:r>
    </w:p>
    <w:p w:rsidR="00873F32" w:rsidRDefault="00873F32" w:rsidP="00873F32">
      <w:pPr>
        <w:tabs>
          <w:tab w:val="left" w:pos="567"/>
        </w:tabs>
        <w:ind w:left="567" w:hanging="567"/>
        <w:jc w:val="both"/>
        <w:rPr>
          <w:rFonts w:ascii="Book Antiqua" w:hAnsi="Book Antiqua" w:cs="Arial"/>
        </w:rPr>
      </w:pPr>
    </w:p>
    <w:p w:rsidR="001135E9" w:rsidRDefault="00873F32" w:rsidP="00A957E7">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app</w:t>
      </w:r>
      <w:r w:rsidR="008D0051">
        <w:rPr>
          <w:rFonts w:ascii="Book Antiqua" w:hAnsi="Book Antiqua" w:cs="Arial"/>
        </w:rPr>
        <w:t>ellant’s case was supported by two witness</w:t>
      </w:r>
      <w:r>
        <w:rPr>
          <w:rFonts w:ascii="Book Antiqua" w:hAnsi="Book Antiqua" w:cs="Arial"/>
        </w:rPr>
        <w:t xml:space="preserve"> statement</w:t>
      </w:r>
      <w:r w:rsidR="008D0051">
        <w:rPr>
          <w:rFonts w:ascii="Book Antiqua" w:hAnsi="Book Antiqua" w:cs="Arial"/>
        </w:rPr>
        <w:t>s</w:t>
      </w:r>
      <w:r w:rsidR="00016C92">
        <w:rPr>
          <w:rFonts w:ascii="Book Antiqua" w:hAnsi="Book Antiqua" w:cs="Arial"/>
        </w:rPr>
        <w:t xml:space="preserve"> and his</w:t>
      </w:r>
      <w:r w:rsidR="008D0051">
        <w:rPr>
          <w:rFonts w:ascii="Book Antiqua" w:hAnsi="Book Antiqua" w:cs="Arial"/>
        </w:rPr>
        <w:t xml:space="preserve"> oral evidence.</w:t>
      </w:r>
      <w:r w:rsidR="00A957E7">
        <w:rPr>
          <w:rFonts w:ascii="Book Antiqua" w:hAnsi="Book Antiqua" w:cs="Arial"/>
        </w:rPr>
        <w:t xml:space="preserve"> His written and oral testimony was tested in cross-examination. </w:t>
      </w:r>
      <w:r w:rsidR="00A60E84">
        <w:rPr>
          <w:rFonts w:ascii="Book Antiqua" w:hAnsi="Book Antiqua" w:cs="Arial"/>
        </w:rPr>
        <w:t>Of relevance to this decision</w:t>
      </w:r>
      <w:r w:rsidR="0007389D">
        <w:rPr>
          <w:rFonts w:ascii="Book Antiqua" w:hAnsi="Book Antiqua" w:cs="Arial"/>
        </w:rPr>
        <w:t xml:space="preserve"> is</w:t>
      </w:r>
      <w:r w:rsidR="00A60E84">
        <w:rPr>
          <w:rFonts w:ascii="Book Antiqua" w:hAnsi="Book Antiqua" w:cs="Arial"/>
        </w:rPr>
        <w:t xml:space="preserve"> the judge’s summary of the app</w:t>
      </w:r>
      <w:r w:rsidR="0007389D">
        <w:rPr>
          <w:rFonts w:ascii="Book Antiqua" w:hAnsi="Book Antiqua" w:cs="Arial"/>
        </w:rPr>
        <w:t>ellant’s oral evidence</w:t>
      </w:r>
      <w:r w:rsidR="00A60E84">
        <w:rPr>
          <w:rFonts w:ascii="Book Antiqua" w:hAnsi="Book Antiqua" w:cs="Arial"/>
        </w:rPr>
        <w:t xml:space="preserve"> as follows:</w:t>
      </w:r>
    </w:p>
    <w:p w:rsidR="00A60E84" w:rsidRDefault="00A60E84" w:rsidP="00873F32">
      <w:pPr>
        <w:tabs>
          <w:tab w:val="left" w:pos="567"/>
        </w:tabs>
        <w:ind w:left="567" w:hanging="567"/>
        <w:jc w:val="both"/>
        <w:rPr>
          <w:rFonts w:ascii="Book Antiqua" w:hAnsi="Book Antiqua" w:cs="Arial"/>
        </w:rPr>
      </w:pPr>
    </w:p>
    <w:p w:rsidR="00A60E84" w:rsidRPr="0007389D" w:rsidRDefault="00A60E84" w:rsidP="00873F32">
      <w:pPr>
        <w:tabs>
          <w:tab w:val="left" w:pos="567"/>
        </w:tabs>
        <w:ind w:left="567" w:hanging="567"/>
        <w:jc w:val="both"/>
        <w:rPr>
          <w:rFonts w:ascii="Book Antiqua" w:hAnsi="Book Antiqua" w:cs="Arial"/>
          <w:sz w:val="20"/>
          <w:szCs w:val="20"/>
        </w:rPr>
      </w:pPr>
      <w:r>
        <w:rPr>
          <w:rFonts w:ascii="Book Antiqua" w:hAnsi="Book Antiqua" w:cs="Arial"/>
        </w:rPr>
        <w:tab/>
      </w:r>
      <w:r w:rsidRPr="0007389D">
        <w:rPr>
          <w:rFonts w:ascii="Book Antiqua" w:hAnsi="Book Antiqua" w:cs="Arial"/>
          <w:sz w:val="20"/>
          <w:szCs w:val="20"/>
        </w:rPr>
        <w:t>34…</w:t>
      </w:r>
      <w:proofErr w:type="gramStart"/>
      <w:r w:rsidRPr="0007389D">
        <w:rPr>
          <w:rFonts w:ascii="Book Antiqua" w:hAnsi="Book Antiqua" w:cs="Arial"/>
          <w:sz w:val="20"/>
          <w:szCs w:val="20"/>
        </w:rPr>
        <w:t>….His</w:t>
      </w:r>
      <w:proofErr w:type="gramEnd"/>
      <w:r w:rsidRPr="0007389D">
        <w:rPr>
          <w:rFonts w:ascii="Book Antiqua" w:hAnsi="Book Antiqua" w:cs="Arial"/>
          <w:sz w:val="20"/>
          <w:szCs w:val="20"/>
        </w:rPr>
        <w:t xml:space="preserve"> father had not assisted him before he was </w:t>
      </w:r>
      <w:r w:rsidR="0007389D" w:rsidRPr="0007389D">
        <w:rPr>
          <w:rFonts w:ascii="Book Antiqua" w:hAnsi="Book Antiqua" w:cs="Arial"/>
          <w:sz w:val="20"/>
          <w:szCs w:val="20"/>
        </w:rPr>
        <w:t>r</w:t>
      </w:r>
      <w:r w:rsidRPr="0007389D">
        <w:rPr>
          <w:rFonts w:ascii="Book Antiqua" w:hAnsi="Book Antiqua" w:cs="Arial"/>
          <w:sz w:val="20"/>
          <w:szCs w:val="20"/>
        </w:rPr>
        <w:t>aped despite the fact that he needed help and the app</w:t>
      </w:r>
      <w:r w:rsidR="003007A5" w:rsidRPr="0007389D">
        <w:rPr>
          <w:rFonts w:ascii="Book Antiqua" w:hAnsi="Book Antiqua" w:cs="Arial"/>
          <w:sz w:val="20"/>
          <w:szCs w:val="20"/>
        </w:rPr>
        <w:t>ellant was now fearful how the f</w:t>
      </w:r>
      <w:r w:rsidRPr="0007389D">
        <w:rPr>
          <w:rFonts w:ascii="Book Antiqua" w:hAnsi="Book Antiqua" w:cs="Arial"/>
          <w:sz w:val="20"/>
          <w:szCs w:val="20"/>
        </w:rPr>
        <w:t>ather would react if returned. He thought the father would be ashamed and might kill the appellant</w:t>
      </w:r>
      <w:proofErr w:type="gramStart"/>
      <w:r w:rsidRPr="0007389D">
        <w:rPr>
          <w:rFonts w:ascii="Book Antiqua" w:hAnsi="Book Antiqua" w:cs="Arial"/>
          <w:sz w:val="20"/>
          <w:szCs w:val="20"/>
        </w:rPr>
        <w:t>…..</w:t>
      </w:r>
      <w:proofErr w:type="gramEnd"/>
    </w:p>
    <w:p w:rsidR="00A60E84" w:rsidRPr="0007389D" w:rsidRDefault="00A60E84" w:rsidP="00873F32">
      <w:pPr>
        <w:tabs>
          <w:tab w:val="left" w:pos="567"/>
        </w:tabs>
        <w:ind w:left="567" w:hanging="567"/>
        <w:jc w:val="both"/>
        <w:rPr>
          <w:rFonts w:ascii="Book Antiqua" w:hAnsi="Book Antiqua" w:cs="Arial"/>
          <w:sz w:val="20"/>
          <w:szCs w:val="20"/>
        </w:rPr>
      </w:pPr>
    </w:p>
    <w:p w:rsidR="008D0051" w:rsidRPr="0007389D" w:rsidRDefault="00A60E84" w:rsidP="00463E16">
      <w:pPr>
        <w:tabs>
          <w:tab w:val="left" w:pos="567"/>
        </w:tabs>
        <w:ind w:left="567" w:hanging="567"/>
        <w:jc w:val="both"/>
        <w:rPr>
          <w:rFonts w:ascii="Book Antiqua" w:hAnsi="Book Antiqua" w:cs="Arial"/>
          <w:sz w:val="20"/>
          <w:szCs w:val="20"/>
        </w:rPr>
      </w:pPr>
      <w:r w:rsidRPr="0007389D">
        <w:rPr>
          <w:rFonts w:ascii="Book Antiqua" w:hAnsi="Book Antiqua" w:cs="Arial"/>
          <w:sz w:val="20"/>
          <w:szCs w:val="20"/>
        </w:rPr>
        <w:tab/>
        <w:t>35</w:t>
      </w:r>
      <w:proofErr w:type="gramStart"/>
      <w:r w:rsidRPr="0007389D">
        <w:rPr>
          <w:rFonts w:ascii="Book Antiqua" w:hAnsi="Book Antiqua" w:cs="Arial"/>
          <w:sz w:val="20"/>
          <w:szCs w:val="20"/>
        </w:rPr>
        <w:t>….He</w:t>
      </w:r>
      <w:proofErr w:type="gramEnd"/>
      <w:r w:rsidRPr="0007389D">
        <w:rPr>
          <w:rFonts w:ascii="Book Antiqua" w:hAnsi="Book Antiqua" w:cs="Arial"/>
          <w:sz w:val="20"/>
          <w:szCs w:val="20"/>
        </w:rPr>
        <w:t xml:space="preserve"> stated that he had not sought </w:t>
      </w:r>
      <w:r w:rsidR="0007389D" w:rsidRPr="0007389D">
        <w:rPr>
          <w:rFonts w:ascii="Book Antiqua" w:hAnsi="Book Antiqua" w:cs="Arial"/>
          <w:sz w:val="20"/>
          <w:szCs w:val="20"/>
        </w:rPr>
        <w:t xml:space="preserve">to </w:t>
      </w:r>
      <w:r w:rsidRPr="0007389D">
        <w:rPr>
          <w:rFonts w:ascii="Book Antiqua" w:hAnsi="Book Antiqua" w:cs="Arial"/>
          <w:sz w:val="20"/>
          <w:szCs w:val="20"/>
        </w:rPr>
        <w:t xml:space="preserve">recontact his family. He had hesitated to do so as his father had not sought to prevent what had happened to him when he was sexually </w:t>
      </w:r>
      <w:r w:rsidR="00B75238" w:rsidRPr="0007389D">
        <w:rPr>
          <w:rFonts w:ascii="Book Antiqua" w:hAnsi="Book Antiqua" w:cs="Arial"/>
          <w:sz w:val="20"/>
          <w:szCs w:val="20"/>
        </w:rPr>
        <w:t>assaulted</w:t>
      </w:r>
      <w:r w:rsidRPr="0007389D">
        <w:rPr>
          <w:rFonts w:ascii="Book Antiqua" w:hAnsi="Book Antiqua" w:cs="Arial"/>
          <w:sz w:val="20"/>
          <w:szCs w:val="20"/>
        </w:rPr>
        <w:t>. He had first informed his father he was working for the criminal gang as soon as his role began. The father was also under the control of the gang. Initially the appellant had no problems and was recompensed. When the appellant eventually explained that he was not happy wor</w:t>
      </w:r>
      <w:r w:rsidR="003007A5" w:rsidRPr="0007389D">
        <w:rPr>
          <w:rFonts w:ascii="Book Antiqua" w:hAnsi="Book Antiqua" w:cs="Arial"/>
          <w:sz w:val="20"/>
          <w:szCs w:val="20"/>
        </w:rPr>
        <w:t>k</w:t>
      </w:r>
      <w:r w:rsidRPr="0007389D">
        <w:rPr>
          <w:rFonts w:ascii="Book Antiqua" w:hAnsi="Book Antiqua" w:cs="Arial"/>
          <w:sz w:val="20"/>
          <w:szCs w:val="20"/>
        </w:rPr>
        <w:t>ing for the gang, he was advised by his family not to leave as he would have nowhere to hide or to go to.”</w:t>
      </w:r>
    </w:p>
    <w:p w:rsidR="008D0051" w:rsidRDefault="008D0051" w:rsidP="00873F32">
      <w:pPr>
        <w:tabs>
          <w:tab w:val="left" w:pos="567"/>
        </w:tabs>
        <w:ind w:left="567" w:hanging="567"/>
        <w:jc w:val="both"/>
        <w:rPr>
          <w:rFonts w:ascii="Book Antiqua" w:hAnsi="Book Antiqua" w:cs="Arial"/>
        </w:rPr>
      </w:pPr>
    </w:p>
    <w:p w:rsidR="001A7E7C" w:rsidRDefault="00D73C9D" w:rsidP="00873F32">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r w:rsidR="00600348">
        <w:rPr>
          <w:rFonts w:ascii="Book Antiqua" w:hAnsi="Book Antiqua" w:cs="Arial"/>
        </w:rPr>
        <w:t>The judge</w:t>
      </w:r>
      <w:r w:rsidR="00F8158C">
        <w:rPr>
          <w:rFonts w:ascii="Book Antiqua" w:hAnsi="Book Antiqua" w:cs="Arial"/>
        </w:rPr>
        <w:t xml:space="preserve"> directed himself to the relevant guidance and noted</w:t>
      </w:r>
      <w:r w:rsidR="00F94000">
        <w:rPr>
          <w:rFonts w:ascii="Book Antiqua" w:hAnsi="Book Antiqua" w:cs="Arial"/>
        </w:rPr>
        <w:t xml:space="preserve"> that he was assessing the evidence of a vulnerable witness. T</w:t>
      </w:r>
      <w:r w:rsidR="00016C92">
        <w:rPr>
          <w:rFonts w:ascii="Book Antiqua" w:hAnsi="Book Antiqua" w:cs="Arial"/>
        </w:rPr>
        <w:t>he appellant was a child (17 years and ten months) and was recounting events that occurred when he was a teenager. The judge found that the appellant had provided a “credible and consistent account”</w:t>
      </w:r>
      <w:r w:rsidR="001A7E7C">
        <w:rPr>
          <w:rFonts w:ascii="Book Antiqua" w:hAnsi="Book Antiqua" w:cs="Arial"/>
        </w:rPr>
        <w:t xml:space="preserve"> of his past experiences including that he was raped by a gang member. </w:t>
      </w:r>
      <w:r w:rsidR="00AB714F">
        <w:rPr>
          <w:rFonts w:ascii="Book Antiqua" w:hAnsi="Book Antiqua" w:cs="Arial"/>
        </w:rPr>
        <w:t>In his omnibus conclusion regarding</w:t>
      </w:r>
      <w:r w:rsidR="00170A26">
        <w:rPr>
          <w:rFonts w:ascii="Book Antiqua" w:hAnsi="Book Antiqua" w:cs="Arial"/>
        </w:rPr>
        <w:t xml:space="preserve"> credibility the judge</w:t>
      </w:r>
      <w:r w:rsidR="00191300">
        <w:rPr>
          <w:rFonts w:ascii="Book Antiqua" w:hAnsi="Book Antiqua" w:cs="Arial"/>
        </w:rPr>
        <w:t xml:space="preserve"> at [53]</w:t>
      </w:r>
      <w:r w:rsidR="00170A26">
        <w:rPr>
          <w:rFonts w:ascii="Book Antiqua" w:hAnsi="Book Antiqua" w:cs="Arial"/>
        </w:rPr>
        <w:t xml:space="preserve"> state</w:t>
      </w:r>
      <w:r w:rsidR="00191300">
        <w:rPr>
          <w:rFonts w:ascii="Book Antiqua" w:hAnsi="Book Antiqua" w:cs="Arial"/>
        </w:rPr>
        <w:t>d thus</w:t>
      </w:r>
      <w:r w:rsidR="001A7E7C">
        <w:rPr>
          <w:rFonts w:ascii="Book Antiqua" w:hAnsi="Book Antiqua" w:cs="Arial"/>
        </w:rPr>
        <w:t>:</w:t>
      </w:r>
    </w:p>
    <w:p w:rsidR="001A7E7C" w:rsidRDefault="001A7E7C" w:rsidP="00873F32">
      <w:pPr>
        <w:tabs>
          <w:tab w:val="left" w:pos="567"/>
        </w:tabs>
        <w:ind w:left="567" w:hanging="567"/>
        <w:jc w:val="both"/>
        <w:rPr>
          <w:rFonts w:ascii="Book Antiqua" w:hAnsi="Book Antiqua" w:cs="Arial"/>
        </w:rPr>
      </w:pPr>
    </w:p>
    <w:p w:rsidR="00873F32" w:rsidRPr="00E127F6" w:rsidRDefault="00D73C9D" w:rsidP="00F94000">
      <w:pPr>
        <w:tabs>
          <w:tab w:val="left" w:pos="567"/>
        </w:tabs>
        <w:ind w:left="567" w:hanging="567"/>
        <w:jc w:val="both"/>
        <w:rPr>
          <w:rFonts w:ascii="Book Antiqua" w:hAnsi="Book Antiqua" w:cs="Arial"/>
          <w:sz w:val="20"/>
          <w:szCs w:val="20"/>
        </w:rPr>
      </w:pPr>
      <w:r>
        <w:rPr>
          <w:rFonts w:ascii="Book Antiqua" w:hAnsi="Book Antiqua" w:cs="Arial"/>
          <w:i/>
        </w:rPr>
        <w:tab/>
      </w:r>
      <w:r w:rsidR="001A7E7C" w:rsidRPr="00E127F6">
        <w:rPr>
          <w:rFonts w:ascii="Book Antiqua" w:hAnsi="Book Antiqua" w:cs="Arial"/>
          <w:sz w:val="20"/>
          <w:szCs w:val="20"/>
        </w:rPr>
        <w:t>“I also find it credible that the appellant was reluctant to seek support from his father who the appellant believed had merely acquiesced with the criminal gang and therefore accept the factual account from the appellant in relation to his claimed il</w:t>
      </w:r>
      <w:r w:rsidR="00600348" w:rsidRPr="00E127F6">
        <w:rPr>
          <w:rFonts w:ascii="Book Antiqua" w:hAnsi="Book Antiqua" w:cs="Arial"/>
          <w:sz w:val="20"/>
          <w:szCs w:val="20"/>
        </w:rPr>
        <w:t>l</w:t>
      </w:r>
      <w:r w:rsidR="00170A26" w:rsidRPr="00E127F6">
        <w:rPr>
          <w:rFonts w:ascii="Book Antiqua" w:hAnsi="Book Antiqua" w:cs="Arial"/>
          <w:sz w:val="20"/>
          <w:szCs w:val="20"/>
        </w:rPr>
        <w:t>-</w:t>
      </w:r>
      <w:r w:rsidR="001A7E7C" w:rsidRPr="00E127F6">
        <w:rPr>
          <w:rFonts w:ascii="Book Antiqua" w:hAnsi="Book Antiqua" w:cs="Arial"/>
          <w:sz w:val="20"/>
          <w:szCs w:val="20"/>
        </w:rPr>
        <w:t xml:space="preserve">treatment and forced labour and </w:t>
      </w:r>
      <w:proofErr w:type="gramStart"/>
      <w:r w:rsidR="001A7E7C" w:rsidRPr="00E127F6">
        <w:rPr>
          <w:rFonts w:ascii="Book Antiqua" w:hAnsi="Book Antiqua" w:cs="Arial"/>
          <w:sz w:val="20"/>
          <w:szCs w:val="20"/>
        </w:rPr>
        <w:t>as a consequence</w:t>
      </w:r>
      <w:proofErr w:type="gramEnd"/>
      <w:r w:rsidR="001A7E7C" w:rsidRPr="00E127F6">
        <w:rPr>
          <w:rFonts w:ascii="Book Antiqua" w:hAnsi="Book Antiqua" w:cs="Arial"/>
          <w:sz w:val="20"/>
          <w:szCs w:val="20"/>
        </w:rPr>
        <w:t xml:space="preserve"> find the appellant clearly would be at risk in his home area, if returned there.”</w:t>
      </w:r>
    </w:p>
    <w:p w:rsidR="00873F32" w:rsidRDefault="00873F32" w:rsidP="00873F32">
      <w:pPr>
        <w:ind w:left="567" w:hanging="567"/>
        <w:jc w:val="both"/>
        <w:rPr>
          <w:rFonts w:ascii="Book Antiqua" w:hAnsi="Book Antiqua" w:cs="Arial"/>
        </w:rPr>
      </w:pPr>
    </w:p>
    <w:p w:rsidR="00873F32" w:rsidRDefault="00D73C9D" w:rsidP="00873F32">
      <w:pPr>
        <w:ind w:left="567" w:hanging="567"/>
        <w:jc w:val="both"/>
        <w:rPr>
          <w:rFonts w:ascii="Book Antiqua" w:hAnsi="Book Antiqua" w:cs="Arial"/>
        </w:rPr>
      </w:pPr>
      <w:r>
        <w:rPr>
          <w:rFonts w:ascii="Book Antiqua" w:hAnsi="Book Antiqua" w:cs="Arial"/>
        </w:rPr>
        <w:t>7</w:t>
      </w:r>
      <w:r w:rsidR="00873F32">
        <w:rPr>
          <w:rFonts w:ascii="Book Antiqua" w:hAnsi="Book Antiqua" w:cs="Arial"/>
        </w:rPr>
        <w:t>.</w:t>
      </w:r>
      <w:r w:rsidR="00873F32">
        <w:rPr>
          <w:rFonts w:ascii="Book Antiqua" w:hAnsi="Book Antiqua" w:cs="Arial"/>
        </w:rPr>
        <w:tab/>
      </w:r>
      <w:r w:rsidR="00793619">
        <w:rPr>
          <w:rFonts w:ascii="Book Antiqua" w:hAnsi="Book Antiqua" w:cs="Arial"/>
        </w:rPr>
        <w:t>Having reached that conclusion the judge reco</w:t>
      </w:r>
      <w:r w:rsidR="00F8158C">
        <w:rPr>
          <w:rFonts w:ascii="Book Antiqua" w:hAnsi="Book Antiqua" w:cs="Arial"/>
        </w:rPr>
        <w:t>g</w:t>
      </w:r>
      <w:r w:rsidR="00793619">
        <w:rPr>
          <w:rFonts w:ascii="Book Antiqua" w:hAnsi="Book Antiqua" w:cs="Arial"/>
        </w:rPr>
        <w:t>n</w:t>
      </w:r>
      <w:r w:rsidR="00F8158C">
        <w:rPr>
          <w:rFonts w:ascii="Book Antiqua" w:hAnsi="Book Antiqua" w:cs="Arial"/>
        </w:rPr>
        <w:t>is</w:t>
      </w:r>
      <w:r w:rsidR="00793619">
        <w:rPr>
          <w:rFonts w:ascii="Book Antiqua" w:hAnsi="Book Antiqua" w:cs="Arial"/>
        </w:rPr>
        <w:t>ed that he was</w:t>
      </w:r>
      <w:r w:rsidR="00170A26">
        <w:rPr>
          <w:rFonts w:ascii="Book Antiqua" w:hAnsi="Book Antiqua" w:cs="Arial"/>
        </w:rPr>
        <w:t xml:space="preserve"> required to consider whether</w:t>
      </w:r>
      <w:r w:rsidR="00793619">
        <w:rPr>
          <w:rFonts w:ascii="Book Antiqua" w:hAnsi="Book Antiqua" w:cs="Arial"/>
        </w:rPr>
        <w:t xml:space="preserve"> a reasonable alternative place of relocation was available to the appellant</w:t>
      </w:r>
      <w:r w:rsidR="003677CC">
        <w:rPr>
          <w:rFonts w:ascii="Book Antiqua" w:hAnsi="Book Antiqua" w:cs="Arial"/>
        </w:rPr>
        <w:t xml:space="preserve"> </w:t>
      </w:r>
      <w:r w:rsidR="00793619">
        <w:rPr>
          <w:rFonts w:ascii="Book Antiqua" w:hAnsi="Book Antiqua" w:cs="Arial"/>
        </w:rPr>
        <w:t xml:space="preserve">and whether there would be a sufficiency of protection. </w:t>
      </w:r>
      <w:r w:rsidR="00873F32">
        <w:rPr>
          <w:rFonts w:ascii="Book Antiqua" w:hAnsi="Book Antiqua" w:cs="Arial"/>
        </w:rPr>
        <w:t>The judge directed himself on the law ap</w:t>
      </w:r>
      <w:r w:rsidR="00170A26">
        <w:rPr>
          <w:rFonts w:ascii="Book Antiqua" w:hAnsi="Book Antiqua" w:cs="Arial"/>
        </w:rPr>
        <w:t xml:space="preserve">propriately and referred to </w:t>
      </w:r>
      <w:r w:rsidR="00873F32">
        <w:rPr>
          <w:rFonts w:ascii="Book Antiqua" w:hAnsi="Book Antiqua" w:cs="Arial"/>
        </w:rPr>
        <w:t>relevant country guidance</w:t>
      </w:r>
      <w:r w:rsidR="00170A26">
        <w:rPr>
          <w:rFonts w:ascii="Book Antiqua" w:hAnsi="Book Antiqua" w:cs="Arial"/>
        </w:rPr>
        <w:t xml:space="preserve"> </w:t>
      </w:r>
      <w:r w:rsidR="00AB714F">
        <w:rPr>
          <w:rFonts w:ascii="Book Antiqua" w:hAnsi="Book Antiqua" w:cs="Arial"/>
        </w:rPr>
        <w:t>([55] &amp;</w:t>
      </w:r>
      <w:r w:rsidR="008E12A3">
        <w:rPr>
          <w:rFonts w:ascii="Book Antiqua" w:hAnsi="Book Antiqua" w:cs="Arial"/>
        </w:rPr>
        <w:t xml:space="preserve"> [56</w:t>
      </w:r>
      <w:r w:rsidR="00170A26">
        <w:rPr>
          <w:rFonts w:ascii="Book Antiqua" w:hAnsi="Book Antiqua" w:cs="Arial"/>
        </w:rPr>
        <w:t>])</w:t>
      </w:r>
      <w:r w:rsidR="00793619">
        <w:rPr>
          <w:rFonts w:ascii="Book Antiqua" w:hAnsi="Book Antiqua" w:cs="Arial"/>
        </w:rPr>
        <w:t>.</w:t>
      </w:r>
      <w:r w:rsidR="00BF7A0B">
        <w:rPr>
          <w:rFonts w:ascii="Book Antiqua" w:hAnsi="Book Antiqua" w:cs="Arial"/>
        </w:rPr>
        <w:t xml:space="preserve"> He also referred to a relevant authority</w:t>
      </w:r>
      <w:r w:rsidR="00873F32">
        <w:rPr>
          <w:rFonts w:ascii="Book Antiqua" w:hAnsi="Book Antiqua" w:cs="Arial"/>
        </w:rPr>
        <w:t xml:space="preserve"> on the </w:t>
      </w:r>
      <w:r w:rsidR="00793619">
        <w:rPr>
          <w:rFonts w:ascii="Book Antiqua" w:hAnsi="Book Antiqua" w:cs="Arial"/>
        </w:rPr>
        <w:t>issue of</w:t>
      </w:r>
      <w:r w:rsidR="00873F32">
        <w:rPr>
          <w:rFonts w:ascii="Book Antiqua" w:hAnsi="Book Antiqua" w:cs="Arial"/>
        </w:rPr>
        <w:t xml:space="preserve"> sufficiency of protection as well </w:t>
      </w:r>
      <w:r w:rsidR="00793619">
        <w:rPr>
          <w:rFonts w:ascii="Book Antiqua" w:hAnsi="Book Antiqua" w:cs="Arial"/>
        </w:rPr>
        <w:t>as b</w:t>
      </w:r>
      <w:r w:rsidR="00170A26">
        <w:rPr>
          <w:rFonts w:ascii="Book Antiqua" w:hAnsi="Book Antiqua" w:cs="Arial"/>
        </w:rPr>
        <w:t>ackground evidence. The judge concluded</w:t>
      </w:r>
      <w:r w:rsidR="00873F32">
        <w:rPr>
          <w:rFonts w:ascii="Book Antiqua" w:hAnsi="Book Antiqua" w:cs="Arial"/>
        </w:rPr>
        <w:t xml:space="preserve"> as follows:</w:t>
      </w:r>
    </w:p>
    <w:p w:rsidR="00170A26" w:rsidRPr="00B26B0F" w:rsidRDefault="003677CC" w:rsidP="00D73C9D">
      <w:pPr>
        <w:spacing w:before="120" w:after="120"/>
        <w:ind w:left="567" w:right="567"/>
        <w:jc w:val="both"/>
        <w:rPr>
          <w:rFonts w:ascii="Book Antiqua" w:hAnsi="Book Antiqua" w:cs="Arial"/>
          <w:sz w:val="20"/>
          <w:szCs w:val="20"/>
        </w:rPr>
      </w:pPr>
      <w:r w:rsidRPr="00B26B0F">
        <w:rPr>
          <w:rFonts w:ascii="Book Antiqua" w:hAnsi="Book Antiqua" w:cs="Arial"/>
          <w:sz w:val="20"/>
          <w:szCs w:val="20"/>
        </w:rPr>
        <w:t>“54. ……</w:t>
      </w:r>
      <w:r w:rsidR="001F6505" w:rsidRPr="00B26B0F">
        <w:rPr>
          <w:rFonts w:ascii="Book Antiqua" w:hAnsi="Book Antiqua" w:cs="Arial"/>
          <w:sz w:val="20"/>
          <w:szCs w:val="20"/>
        </w:rPr>
        <w:t xml:space="preserve"> I do not accept</w:t>
      </w:r>
      <w:r w:rsidRPr="00B26B0F">
        <w:rPr>
          <w:rFonts w:ascii="Book Antiqua" w:hAnsi="Book Antiqua" w:cs="Arial"/>
          <w:sz w:val="20"/>
          <w:szCs w:val="20"/>
        </w:rPr>
        <w:t xml:space="preserve"> </w:t>
      </w:r>
      <w:r w:rsidR="00D607CA" w:rsidRPr="00B26B0F">
        <w:rPr>
          <w:rFonts w:ascii="Book Antiqua" w:hAnsi="Book Antiqua" w:cs="Arial"/>
          <w:sz w:val="20"/>
          <w:szCs w:val="20"/>
        </w:rPr>
        <w:t>that there is a</w:t>
      </w:r>
      <w:r w:rsidRPr="00B26B0F">
        <w:rPr>
          <w:rFonts w:ascii="Book Antiqua" w:hAnsi="Book Antiqua" w:cs="Arial"/>
          <w:sz w:val="20"/>
          <w:szCs w:val="20"/>
        </w:rPr>
        <w:t xml:space="preserve"> reasonable opportunity for internal relocation of the appellant anywhere in Albania, an</w:t>
      </w:r>
      <w:r w:rsidR="00D607CA" w:rsidRPr="00B26B0F">
        <w:rPr>
          <w:rFonts w:ascii="Book Antiqua" w:hAnsi="Book Antiqua" w:cs="Arial"/>
          <w:sz w:val="20"/>
          <w:szCs w:val="20"/>
        </w:rPr>
        <w:t>d particularly</w:t>
      </w:r>
      <w:r w:rsidRPr="00B26B0F">
        <w:rPr>
          <w:rFonts w:ascii="Book Antiqua" w:hAnsi="Book Antiqua" w:cs="Arial"/>
          <w:sz w:val="20"/>
          <w:szCs w:val="20"/>
        </w:rPr>
        <w:t xml:space="preserve"> at a tim</w:t>
      </w:r>
      <w:r w:rsidR="00D607CA" w:rsidRPr="00B26B0F">
        <w:rPr>
          <w:rFonts w:ascii="Book Antiqua" w:hAnsi="Book Antiqua" w:cs="Arial"/>
          <w:sz w:val="20"/>
          <w:szCs w:val="20"/>
        </w:rPr>
        <w:t xml:space="preserve">e when he remains a minor.  I find he would </w:t>
      </w:r>
      <w:r w:rsidR="00B75238" w:rsidRPr="00B26B0F">
        <w:rPr>
          <w:rFonts w:ascii="Book Antiqua" w:hAnsi="Book Antiqua" w:cs="Arial"/>
          <w:sz w:val="20"/>
          <w:szCs w:val="20"/>
        </w:rPr>
        <w:t>still</w:t>
      </w:r>
      <w:r w:rsidR="00D607CA" w:rsidRPr="00B26B0F">
        <w:rPr>
          <w:rFonts w:ascii="Book Antiqua" w:hAnsi="Book Antiqua" w:cs="Arial"/>
          <w:sz w:val="20"/>
          <w:szCs w:val="20"/>
        </w:rPr>
        <w:t xml:space="preserve"> be at risk and would face</w:t>
      </w:r>
      <w:r w:rsidRPr="00B26B0F">
        <w:rPr>
          <w:rFonts w:ascii="Book Antiqua" w:hAnsi="Book Antiqua" w:cs="Arial"/>
          <w:sz w:val="20"/>
          <w:szCs w:val="20"/>
        </w:rPr>
        <w:t xml:space="preserve"> unduly harsh circumstances</w:t>
      </w:r>
      <w:r w:rsidR="00D607CA" w:rsidRPr="00B26B0F">
        <w:rPr>
          <w:rFonts w:ascii="Book Antiqua" w:hAnsi="Book Antiqua" w:cs="Arial"/>
          <w:sz w:val="20"/>
          <w:szCs w:val="20"/>
        </w:rPr>
        <w:t xml:space="preserve">. The </w:t>
      </w:r>
      <w:r w:rsidR="00D607CA" w:rsidRPr="00B26B0F">
        <w:rPr>
          <w:rFonts w:ascii="Book Antiqua" w:hAnsi="Book Antiqua" w:cs="Arial"/>
          <w:b/>
          <w:sz w:val="20"/>
          <w:szCs w:val="20"/>
        </w:rPr>
        <w:t xml:space="preserve">Home Office Country Policy and Information Note for </w:t>
      </w:r>
      <w:r w:rsidR="00BF7A0B" w:rsidRPr="00B26B0F">
        <w:rPr>
          <w:rFonts w:ascii="Book Antiqua" w:hAnsi="Book Antiqua" w:cs="Arial"/>
          <w:b/>
          <w:sz w:val="20"/>
          <w:szCs w:val="20"/>
        </w:rPr>
        <w:t xml:space="preserve">Albania of July 2017 </w:t>
      </w:r>
      <w:r w:rsidR="00BF7A0B" w:rsidRPr="00B26B0F">
        <w:rPr>
          <w:rFonts w:ascii="Book Antiqua" w:hAnsi="Book Antiqua" w:cs="Arial"/>
          <w:sz w:val="20"/>
          <w:szCs w:val="20"/>
        </w:rPr>
        <w:t>notes</w:t>
      </w:r>
      <w:r w:rsidRPr="00B26B0F">
        <w:rPr>
          <w:rFonts w:ascii="Book Antiqua" w:hAnsi="Book Antiqua" w:cs="Arial"/>
          <w:sz w:val="20"/>
          <w:szCs w:val="20"/>
        </w:rPr>
        <w:t xml:space="preserve"> at</w:t>
      </w:r>
      <w:r w:rsidR="00D607CA" w:rsidRPr="00B26B0F">
        <w:rPr>
          <w:rFonts w:ascii="Book Antiqua" w:hAnsi="Book Antiqua" w:cs="Arial"/>
          <w:sz w:val="20"/>
          <w:szCs w:val="20"/>
        </w:rPr>
        <w:t xml:space="preserve"> page 48 that corruption is prolific </w:t>
      </w:r>
      <w:r w:rsidR="00D607CA" w:rsidRPr="00B26B0F">
        <w:rPr>
          <w:rFonts w:ascii="Book Antiqua" w:hAnsi="Book Antiqua" w:cs="Arial"/>
          <w:sz w:val="20"/>
          <w:szCs w:val="20"/>
        </w:rPr>
        <w:lastRenderedPageBreak/>
        <w:t xml:space="preserve">and widespread within Albania. </w:t>
      </w:r>
      <w:r w:rsidR="00747557" w:rsidRPr="00B26B0F">
        <w:rPr>
          <w:rFonts w:ascii="Book Antiqua" w:hAnsi="Book Antiqua" w:cs="Arial"/>
          <w:sz w:val="20"/>
          <w:szCs w:val="20"/>
        </w:rPr>
        <w:t>An Organised C</w:t>
      </w:r>
      <w:r w:rsidRPr="00B26B0F">
        <w:rPr>
          <w:rFonts w:ascii="Book Antiqua" w:hAnsi="Book Antiqua" w:cs="Arial"/>
          <w:sz w:val="20"/>
          <w:szCs w:val="20"/>
        </w:rPr>
        <w:t xml:space="preserve">rime </w:t>
      </w:r>
      <w:r w:rsidR="00747557" w:rsidRPr="00B26B0F">
        <w:rPr>
          <w:rFonts w:ascii="Book Antiqua" w:hAnsi="Book Antiqua" w:cs="Arial"/>
          <w:sz w:val="20"/>
          <w:szCs w:val="20"/>
        </w:rPr>
        <w:t>and Reporting P</w:t>
      </w:r>
      <w:r w:rsidRPr="00B26B0F">
        <w:rPr>
          <w:rFonts w:ascii="Book Antiqua" w:hAnsi="Book Antiqua" w:cs="Arial"/>
          <w:sz w:val="20"/>
          <w:szCs w:val="20"/>
        </w:rPr>
        <w:t xml:space="preserve">roject </w:t>
      </w:r>
      <w:r w:rsidR="00747557" w:rsidRPr="00B26B0F">
        <w:rPr>
          <w:rFonts w:ascii="Book Antiqua" w:hAnsi="Book Antiqua" w:cs="Arial"/>
          <w:sz w:val="20"/>
          <w:szCs w:val="20"/>
        </w:rPr>
        <w:t xml:space="preserve">notes </w:t>
      </w:r>
      <w:r w:rsidR="00B75238" w:rsidRPr="00B26B0F">
        <w:rPr>
          <w:rFonts w:ascii="Book Antiqua" w:hAnsi="Book Antiqua" w:cs="Arial"/>
          <w:sz w:val="20"/>
          <w:szCs w:val="20"/>
        </w:rPr>
        <w:t>that corr</w:t>
      </w:r>
      <w:r w:rsidR="00747557" w:rsidRPr="00B26B0F">
        <w:rPr>
          <w:rFonts w:ascii="Book Antiqua" w:hAnsi="Book Antiqua" w:cs="Arial"/>
          <w:sz w:val="20"/>
          <w:szCs w:val="20"/>
        </w:rPr>
        <w:t xml:space="preserve">uption is widespread and watchdog </w:t>
      </w:r>
      <w:r w:rsidRPr="00B26B0F">
        <w:rPr>
          <w:rFonts w:ascii="Book Antiqua" w:hAnsi="Book Antiqua" w:cs="Arial"/>
          <w:sz w:val="20"/>
          <w:szCs w:val="20"/>
        </w:rPr>
        <w:t>NGO</w:t>
      </w:r>
      <w:r w:rsidR="00014F75" w:rsidRPr="00B26B0F">
        <w:rPr>
          <w:rFonts w:ascii="Book Antiqua" w:hAnsi="Book Antiqua" w:cs="Arial"/>
          <w:sz w:val="20"/>
          <w:szCs w:val="20"/>
        </w:rPr>
        <w:t>s</w:t>
      </w:r>
      <w:r w:rsidRPr="00B26B0F">
        <w:rPr>
          <w:rFonts w:ascii="Book Antiqua" w:hAnsi="Book Antiqua" w:cs="Arial"/>
          <w:sz w:val="20"/>
          <w:szCs w:val="20"/>
        </w:rPr>
        <w:t xml:space="preserve"> </w:t>
      </w:r>
      <w:r w:rsidR="00014F75" w:rsidRPr="00B26B0F">
        <w:rPr>
          <w:rFonts w:ascii="Book Antiqua" w:hAnsi="Book Antiqua" w:cs="Arial"/>
          <w:sz w:val="20"/>
          <w:szCs w:val="20"/>
        </w:rPr>
        <w:t xml:space="preserve">have expressed concern over the country’s failure to curb corruption stating that whilst Albanian laws </w:t>
      </w:r>
      <w:r w:rsidR="00B75238" w:rsidRPr="00B26B0F">
        <w:rPr>
          <w:rFonts w:ascii="Book Antiqua" w:hAnsi="Book Antiqua" w:cs="Arial"/>
          <w:sz w:val="20"/>
          <w:szCs w:val="20"/>
        </w:rPr>
        <w:t>guarantee</w:t>
      </w:r>
      <w:r w:rsidR="00014F75" w:rsidRPr="00B26B0F">
        <w:rPr>
          <w:rFonts w:ascii="Book Antiqua" w:hAnsi="Book Antiqua" w:cs="Arial"/>
          <w:sz w:val="20"/>
          <w:szCs w:val="20"/>
        </w:rPr>
        <w:t xml:space="preserve"> political freedoms they did not give corruption fighting bodies sufficient muscle. </w:t>
      </w:r>
      <w:r w:rsidRPr="00B26B0F">
        <w:rPr>
          <w:rFonts w:ascii="Book Antiqua" w:hAnsi="Book Antiqua" w:cs="Arial"/>
          <w:sz w:val="20"/>
          <w:szCs w:val="20"/>
        </w:rPr>
        <w:t xml:space="preserve">Although there were </w:t>
      </w:r>
      <w:r w:rsidR="00014F75" w:rsidRPr="00B26B0F">
        <w:rPr>
          <w:rFonts w:ascii="Book Antiqua" w:hAnsi="Book Antiqua" w:cs="Arial"/>
          <w:sz w:val="20"/>
          <w:szCs w:val="20"/>
        </w:rPr>
        <w:t xml:space="preserve">criminal </w:t>
      </w:r>
      <w:r w:rsidR="00B75238" w:rsidRPr="00B26B0F">
        <w:rPr>
          <w:rFonts w:ascii="Book Antiqua" w:hAnsi="Book Antiqua" w:cs="Arial"/>
          <w:sz w:val="20"/>
          <w:szCs w:val="20"/>
        </w:rPr>
        <w:t>penalties</w:t>
      </w:r>
      <w:r w:rsidR="00014F75" w:rsidRPr="00B26B0F">
        <w:rPr>
          <w:rFonts w:ascii="Book Antiqua" w:hAnsi="Book Antiqua" w:cs="Arial"/>
          <w:sz w:val="20"/>
          <w:szCs w:val="20"/>
        </w:rPr>
        <w:t xml:space="preserve"> </w:t>
      </w:r>
      <w:r w:rsidRPr="00B26B0F">
        <w:rPr>
          <w:rFonts w:ascii="Book Antiqua" w:hAnsi="Book Antiqua" w:cs="Arial"/>
          <w:sz w:val="20"/>
          <w:szCs w:val="20"/>
        </w:rPr>
        <w:t>for</w:t>
      </w:r>
      <w:r w:rsidR="00014F75" w:rsidRPr="00B26B0F">
        <w:rPr>
          <w:rFonts w:ascii="Book Antiqua" w:hAnsi="Book Antiqua" w:cs="Arial"/>
          <w:sz w:val="20"/>
          <w:szCs w:val="20"/>
        </w:rPr>
        <w:t xml:space="preserve"> corrupt </w:t>
      </w:r>
      <w:r w:rsidRPr="00B26B0F">
        <w:rPr>
          <w:rFonts w:ascii="Book Antiqua" w:hAnsi="Book Antiqua" w:cs="Arial"/>
          <w:sz w:val="20"/>
          <w:szCs w:val="20"/>
        </w:rPr>
        <w:t>public officials, the</w:t>
      </w:r>
      <w:r w:rsidR="00014F75" w:rsidRPr="00B26B0F">
        <w:rPr>
          <w:rFonts w:ascii="Book Antiqua" w:hAnsi="Book Antiqua" w:cs="Arial"/>
          <w:sz w:val="20"/>
          <w:szCs w:val="20"/>
        </w:rPr>
        <w:t xml:space="preserve"> </w:t>
      </w:r>
      <w:r w:rsidR="00B75238" w:rsidRPr="00B26B0F">
        <w:rPr>
          <w:rFonts w:ascii="Book Antiqua" w:hAnsi="Book Antiqua" w:cs="Arial"/>
          <w:sz w:val="20"/>
          <w:szCs w:val="20"/>
        </w:rPr>
        <w:t>government</w:t>
      </w:r>
      <w:r w:rsidR="00014F75" w:rsidRPr="00B26B0F">
        <w:rPr>
          <w:rFonts w:ascii="Book Antiqua" w:hAnsi="Book Antiqua" w:cs="Arial"/>
          <w:sz w:val="20"/>
          <w:szCs w:val="20"/>
        </w:rPr>
        <w:t xml:space="preserve"> did not implement such laws effectively. There are limited resources, investigative leaks and </w:t>
      </w:r>
      <w:r w:rsidR="00B75238" w:rsidRPr="00B26B0F">
        <w:rPr>
          <w:rFonts w:ascii="Book Antiqua" w:hAnsi="Book Antiqua" w:cs="Arial"/>
          <w:sz w:val="20"/>
          <w:szCs w:val="20"/>
        </w:rPr>
        <w:t>political</w:t>
      </w:r>
      <w:r w:rsidRPr="00B26B0F">
        <w:rPr>
          <w:rFonts w:ascii="Book Antiqua" w:hAnsi="Book Antiqua" w:cs="Arial"/>
          <w:sz w:val="20"/>
          <w:szCs w:val="20"/>
        </w:rPr>
        <w:t xml:space="preserve"> pressure</w:t>
      </w:r>
      <w:r w:rsidR="00D73C9D" w:rsidRPr="00B26B0F">
        <w:rPr>
          <w:rFonts w:ascii="Book Antiqua" w:hAnsi="Book Antiqua" w:cs="Arial"/>
          <w:sz w:val="20"/>
          <w:szCs w:val="20"/>
        </w:rPr>
        <w:t>.</w:t>
      </w:r>
      <w:r w:rsidRPr="00B26B0F">
        <w:rPr>
          <w:rFonts w:ascii="Book Antiqua" w:hAnsi="Book Antiqua" w:cs="Arial"/>
          <w:sz w:val="20"/>
          <w:szCs w:val="20"/>
        </w:rPr>
        <w:t xml:space="preserve"> Page 54,</w:t>
      </w:r>
      <w:r w:rsidR="00014F75" w:rsidRPr="00B26B0F">
        <w:rPr>
          <w:rFonts w:ascii="Book Antiqua" w:hAnsi="Book Antiqua" w:cs="Arial"/>
          <w:sz w:val="20"/>
          <w:szCs w:val="20"/>
        </w:rPr>
        <w:t xml:space="preserve"> </w:t>
      </w:r>
      <w:r w:rsidR="00B75238" w:rsidRPr="00B26B0F">
        <w:rPr>
          <w:rFonts w:ascii="Book Antiqua" w:hAnsi="Book Antiqua" w:cs="Arial"/>
          <w:sz w:val="20"/>
          <w:szCs w:val="20"/>
        </w:rPr>
        <w:t>paragraph</w:t>
      </w:r>
      <w:r w:rsidR="00014F75" w:rsidRPr="00B26B0F">
        <w:rPr>
          <w:rFonts w:ascii="Book Antiqua" w:hAnsi="Book Antiqua" w:cs="Arial"/>
          <w:sz w:val="20"/>
          <w:szCs w:val="20"/>
        </w:rPr>
        <w:t xml:space="preserve"> 30.1.1, in relation to freedom of movement, also notes that </w:t>
      </w:r>
      <w:proofErr w:type="gramStart"/>
      <w:r w:rsidR="00014F75" w:rsidRPr="00B26B0F">
        <w:rPr>
          <w:rFonts w:ascii="Book Antiqua" w:hAnsi="Book Antiqua" w:cs="Arial"/>
          <w:sz w:val="20"/>
          <w:szCs w:val="20"/>
        </w:rPr>
        <w:t>in order to</w:t>
      </w:r>
      <w:proofErr w:type="gramEnd"/>
      <w:r w:rsidR="00014F75" w:rsidRPr="00B26B0F">
        <w:rPr>
          <w:rFonts w:ascii="Book Antiqua" w:hAnsi="Book Antiqua" w:cs="Arial"/>
          <w:sz w:val="20"/>
          <w:szCs w:val="20"/>
        </w:rPr>
        <w:t xml:space="preserve"> receive government service, individuals moving within the country must first transfer civil registrations to their new </w:t>
      </w:r>
      <w:r w:rsidR="00B75238" w:rsidRPr="00B26B0F">
        <w:rPr>
          <w:rFonts w:ascii="Book Antiqua" w:hAnsi="Book Antiqua" w:cs="Arial"/>
          <w:sz w:val="20"/>
          <w:szCs w:val="20"/>
        </w:rPr>
        <w:t>community</w:t>
      </w:r>
      <w:r w:rsidR="00014F75" w:rsidRPr="00B26B0F">
        <w:rPr>
          <w:rFonts w:ascii="Book Antiqua" w:hAnsi="Book Antiqua" w:cs="Arial"/>
          <w:sz w:val="20"/>
          <w:szCs w:val="20"/>
        </w:rPr>
        <w:t xml:space="preserve"> of residence and </w:t>
      </w:r>
      <w:r w:rsidR="00B75238" w:rsidRPr="00B26B0F">
        <w:rPr>
          <w:rFonts w:ascii="Book Antiqua" w:hAnsi="Book Antiqua" w:cs="Arial"/>
          <w:sz w:val="20"/>
          <w:szCs w:val="20"/>
        </w:rPr>
        <w:t>prove</w:t>
      </w:r>
      <w:r w:rsidR="00014F75" w:rsidRPr="00B26B0F">
        <w:rPr>
          <w:rFonts w:ascii="Book Antiqua" w:hAnsi="Book Antiqua" w:cs="Arial"/>
          <w:sz w:val="20"/>
          <w:szCs w:val="20"/>
        </w:rPr>
        <w:t xml:space="preserve"> the legality of their new domicile through property </w:t>
      </w:r>
      <w:r w:rsidR="00B75238" w:rsidRPr="00B26B0F">
        <w:rPr>
          <w:rFonts w:ascii="Book Antiqua" w:hAnsi="Book Antiqua" w:cs="Arial"/>
          <w:sz w:val="20"/>
          <w:szCs w:val="20"/>
        </w:rPr>
        <w:t>ownership</w:t>
      </w:r>
      <w:r w:rsidR="00014F75" w:rsidRPr="00B26B0F">
        <w:rPr>
          <w:rFonts w:ascii="Book Antiqua" w:hAnsi="Book Antiqua" w:cs="Arial"/>
          <w:sz w:val="20"/>
          <w:szCs w:val="20"/>
        </w:rPr>
        <w:t>, rental agreement and utility bills.</w:t>
      </w:r>
    </w:p>
    <w:p w:rsidR="00AA0B53" w:rsidRPr="00B26B0F" w:rsidRDefault="00D73C9D" w:rsidP="00D73C9D">
      <w:pPr>
        <w:spacing w:before="120" w:after="120"/>
        <w:ind w:left="567" w:right="567"/>
        <w:jc w:val="both"/>
        <w:rPr>
          <w:rFonts w:ascii="Book Antiqua" w:hAnsi="Book Antiqua" w:cs="Arial"/>
          <w:sz w:val="20"/>
          <w:szCs w:val="20"/>
        </w:rPr>
      </w:pPr>
      <w:r w:rsidRPr="00B26B0F">
        <w:rPr>
          <w:rFonts w:ascii="Book Antiqua" w:hAnsi="Book Antiqua" w:cs="Arial"/>
          <w:sz w:val="20"/>
          <w:szCs w:val="20"/>
        </w:rPr>
        <w:t xml:space="preserve">55. </w:t>
      </w:r>
      <w:r w:rsidR="00014F75" w:rsidRPr="00B26B0F">
        <w:rPr>
          <w:rFonts w:ascii="Book Antiqua" w:hAnsi="Book Antiqua" w:cs="Arial"/>
          <w:sz w:val="20"/>
          <w:szCs w:val="20"/>
        </w:rPr>
        <w:t>I have considered the Upper T</w:t>
      </w:r>
      <w:r w:rsidR="00AA0B53" w:rsidRPr="00B26B0F">
        <w:rPr>
          <w:rFonts w:ascii="Book Antiqua" w:hAnsi="Book Antiqua" w:cs="Arial"/>
          <w:sz w:val="20"/>
          <w:szCs w:val="20"/>
        </w:rPr>
        <w:t>ribunal decision in</w:t>
      </w:r>
      <w:r w:rsidR="00AA0B53" w:rsidRPr="00B26B0F">
        <w:rPr>
          <w:rFonts w:ascii="Book Antiqua" w:hAnsi="Book Antiqua" w:cs="Arial"/>
          <w:b/>
          <w:sz w:val="20"/>
          <w:szCs w:val="20"/>
        </w:rPr>
        <w:t xml:space="preserve"> TD and AD</w:t>
      </w:r>
      <w:r w:rsidR="00014F75" w:rsidRPr="00B26B0F">
        <w:rPr>
          <w:rFonts w:ascii="Book Antiqua" w:hAnsi="Book Antiqua" w:cs="Arial"/>
          <w:b/>
          <w:sz w:val="20"/>
          <w:szCs w:val="20"/>
        </w:rPr>
        <w:t xml:space="preserve"> (trafficked women) CG (2016) UKUT 00092 (IAC)</w:t>
      </w:r>
      <w:r w:rsidR="00014F75" w:rsidRPr="00B26B0F">
        <w:rPr>
          <w:rFonts w:ascii="Book Antiqua" w:hAnsi="Book Antiqua" w:cs="Arial"/>
          <w:sz w:val="20"/>
          <w:szCs w:val="20"/>
        </w:rPr>
        <w:t xml:space="preserve"> while this decision relates </w:t>
      </w:r>
      <w:r w:rsidR="00B75238" w:rsidRPr="00B26B0F">
        <w:rPr>
          <w:rFonts w:ascii="Book Antiqua" w:hAnsi="Book Antiqua" w:cs="Arial"/>
          <w:sz w:val="20"/>
          <w:szCs w:val="20"/>
        </w:rPr>
        <w:t>principally</w:t>
      </w:r>
      <w:r w:rsidR="00014F75" w:rsidRPr="00B26B0F">
        <w:rPr>
          <w:rFonts w:ascii="Book Antiqua" w:hAnsi="Book Antiqua" w:cs="Arial"/>
          <w:sz w:val="20"/>
          <w:szCs w:val="20"/>
        </w:rPr>
        <w:t xml:space="preserve"> to the position</w:t>
      </w:r>
      <w:r w:rsidR="00AA0B53" w:rsidRPr="00B26B0F">
        <w:rPr>
          <w:rFonts w:ascii="Book Antiqua" w:hAnsi="Book Antiqua" w:cs="Arial"/>
          <w:sz w:val="20"/>
          <w:szCs w:val="20"/>
        </w:rPr>
        <w:t xml:space="preserve"> of trafficked women in Albania,</w:t>
      </w:r>
      <w:r w:rsidR="00014F75" w:rsidRPr="00B26B0F">
        <w:rPr>
          <w:rFonts w:ascii="Book Antiqua" w:hAnsi="Book Antiqua" w:cs="Arial"/>
          <w:sz w:val="20"/>
          <w:szCs w:val="20"/>
        </w:rPr>
        <w:t xml:space="preserve"> I find the principles are</w:t>
      </w:r>
      <w:r w:rsidR="00AA0B53" w:rsidRPr="00B26B0F">
        <w:rPr>
          <w:rFonts w:ascii="Book Antiqua" w:hAnsi="Book Antiqua" w:cs="Arial"/>
          <w:sz w:val="20"/>
          <w:szCs w:val="20"/>
        </w:rPr>
        <w:t xml:space="preserve"> equall</w:t>
      </w:r>
      <w:r w:rsidR="00014F75" w:rsidRPr="00B26B0F">
        <w:rPr>
          <w:rFonts w:ascii="Book Antiqua" w:hAnsi="Book Antiqua" w:cs="Arial"/>
          <w:sz w:val="20"/>
          <w:szCs w:val="20"/>
        </w:rPr>
        <w:t xml:space="preserve">y applicable to an </w:t>
      </w:r>
      <w:r w:rsidR="00B75238" w:rsidRPr="00B26B0F">
        <w:rPr>
          <w:rFonts w:ascii="Book Antiqua" w:hAnsi="Book Antiqua" w:cs="Arial"/>
          <w:sz w:val="20"/>
          <w:szCs w:val="20"/>
        </w:rPr>
        <w:t>unaccompanied</w:t>
      </w:r>
      <w:r w:rsidR="00014F75" w:rsidRPr="00B26B0F">
        <w:rPr>
          <w:rFonts w:ascii="Book Antiqua" w:hAnsi="Book Antiqua" w:cs="Arial"/>
          <w:sz w:val="20"/>
          <w:szCs w:val="20"/>
        </w:rPr>
        <w:t xml:space="preserve"> minor. The decision notes that although</w:t>
      </w:r>
      <w:r w:rsidR="00AA0B53" w:rsidRPr="00B26B0F">
        <w:rPr>
          <w:rFonts w:ascii="Book Antiqua" w:hAnsi="Book Antiqua" w:cs="Arial"/>
          <w:sz w:val="20"/>
          <w:szCs w:val="20"/>
        </w:rPr>
        <w:t xml:space="preserve"> in gen</w:t>
      </w:r>
      <w:r w:rsidR="00014F75" w:rsidRPr="00B26B0F">
        <w:rPr>
          <w:rFonts w:ascii="Book Antiqua" w:hAnsi="Book Antiqua" w:cs="Arial"/>
          <w:sz w:val="20"/>
          <w:szCs w:val="20"/>
        </w:rPr>
        <w:t>eral there is Hovarth</w:t>
      </w:r>
      <w:r w:rsidR="00AA0B53" w:rsidRPr="00B26B0F">
        <w:rPr>
          <w:rFonts w:ascii="Book Antiqua" w:hAnsi="Book Antiqua" w:cs="Arial"/>
          <w:sz w:val="20"/>
          <w:szCs w:val="20"/>
        </w:rPr>
        <w:t xml:space="preserve"> </w:t>
      </w:r>
      <w:r w:rsidR="00014F75" w:rsidRPr="00B26B0F">
        <w:rPr>
          <w:rFonts w:ascii="Book Antiqua" w:hAnsi="Book Antiqua" w:cs="Arial"/>
          <w:sz w:val="20"/>
          <w:szCs w:val="20"/>
        </w:rPr>
        <w:t xml:space="preserve">standards </w:t>
      </w:r>
      <w:r w:rsidR="00AA0B53" w:rsidRPr="00B26B0F">
        <w:rPr>
          <w:rFonts w:ascii="Book Antiqua" w:hAnsi="Book Antiqua" w:cs="Arial"/>
          <w:sz w:val="20"/>
          <w:szCs w:val="20"/>
        </w:rPr>
        <w:t>sufficiency of prote</w:t>
      </w:r>
      <w:r w:rsidR="00014F75" w:rsidRPr="00B26B0F">
        <w:rPr>
          <w:rFonts w:ascii="Book Antiqua" w:hAnsi="Book Antiqua" w:cs="Arial"/>
          <w:sz w:val="20"/>
          <w:szCs w:val="20"/>
        </w:rPr>
        <w:t>ction, this will not be effective</w:t>
      </w:r>
      <w:r w:rsidR="00AA0B53" w:rsidRPr="00B26B0F">
        <w:rPr>
          <w:rFonts w:ascii="Book Antiqua" w:hAnsi="Book Antiqua" w:cs="Arial"/>
          <w:sz w:val="20"/>
          <w:szCs w:val="20"/>
        </w:rPr>
        <w:t xml:space="preserve"> in every case.  T</w:t>
      </w:r>
      <w:r w:rsidR="00014F75" w:rsidRPr="00B26B0F">
        <w:rPr>
          <w:rFonts w:ascii="Book Antiqua" w:hAnsi="Book Antiqua" w:cs="Arial"/>
          <w:sz w:val="20"/>
          <w:szCs w:val="20"/>
        </w:rPr>
        <w:t xml:space="preserve">he decision notes that whilst there are now in place reception and reintegration programmes for victims of trafficking, there will however be victims of trafficking with characteristics </w:t>
      </w:r>
      <w:r w:rsidR="00ED4CF1" w:rsidRPr="00B26B0F">
        <w:rPr>
          <w:rFonts w:ascii="Book Antiqua" w:hAnsi="Book Antiqua" w:cs="Arial"/>
          <w:sz w:val="20"/>
          <w:szCs w:val="20"/>
        </w:rPr>
        <w:t>for whom living alone would not be reasonable. That decision notes that trafficking is a reality.</w:t>
      </w:r>
    </w:p>
    <w:p w:rsidR="00AA0B53" w:rsidRPr="00B26B0F" w:rsidRDefault="00D73C9D" w:rsidP="00D73C9D">
      <w:pPr>
        <w:spacing w:before="120" w:after="120"/>
        <w:ind w:left="567" w:right="567"/>
        <w:jc w:val="both"/>
        <w:rPr>
          <w:rFonts w:ascii="Book Antiqua" w:hAnsi="Book Antiqua" w:cs="Arial"/>
          <w:sz w:val="20"/>
          <w:szCs w:val="20"/>
        </w:rPr>
      </w:pPr>
      <w:r w:rsidRPr="00B26B0F">
        <w:rPr>
          <w:rFonts w:ascii="Book Antiqua" w:hAnsi="Book Antiqua" w:cs="Arial"/>
          <w:sz w:val="20"/>
          <w:szCs w:val="20"/>
        </w:rPr>
        <w:t xml:space="preserve">56. </w:t>
      </w:r>
      <w:r w:rsidR="00236D44" w:rsidRPr="00B26B0F">
        <w:rPr>
          <w:rFonts w:ascii="Book Antiqua" w:hAnsi="Book Antiqua" w:cs="Arial"/>
          <w:sz w:val="20"/>
          <w:szCs w:val="20"/>
        </w:rPr>
        <w:t>The decision further notes that whether</w:t>
      </w:r>
      <w:r w:rsidR="00AA0B53" w:rsidRPr="00B26B0F">
        <w:rPr>
          <w:rFonts w:ascii="Book Antiqua" w:hAnsi="Book Antiqua" w:cs="Arial"/>
          <w:sz w:val="20"/>
          <w:szCs w:val="20"/>
        </w:rPr>
        <w:t xml:space="preserve"> trafficked women in Albania</w:t>
      </w:r>
      <w:r w:rsidR="00236D44" w:rsidRPr="00B26B0F">
        <w:rPr>
          <w:rFonts w:ascii="Book Antiqua" w:hAnsi="Book Antiqua" w:cs="Arial"/>
          <w:sz w:val="20"/>
          <w:szCs w:val="20"/>
        </w:rPr>
        <w:t xml:space="preserve"> are at </w:t>
      </w:r>
      <w:r w:rsidR="00AA0B53" w:rsidRPr="00B26B0F">
        <w:rPr>
          <w:rFonts w:ascii="Book Antiqua" w:hAnsi="Book Antiqua" w:cs="Arial"/>
          <w:sz w:val="20"/>
          <w:szCs w:val="20"/>
        </w:rPr>
        <w:t>risk of pers</w:t>
      </w:r>
      <w:r w:rsidR="00236D44" w:rsidRPr="00B26B0F">
        <w:rPr>
          <w:rFonts w:ascii="Book Antiqua" w:hAnsi="Book Antiqua" w:cs="Arial"/>
          <w:sz w:val="20"/>
          <w:szCs w:val="20"/>
        </w:rPr>
        <w:t xml:space="preserve">ecution </w:t>
      </w:r>
      <w:proofErr w:type="gramStart"/>
      <w:r w:rsidR="00236D44" w:rsidRPr="00B26B0F">
        <w:rPr>
          <w:rFonts w:ascii="Book Antiqua" w:hAnsi="Book Antiqua" w:cs="Arial"/>
          <w:sz w:val="20"/>
          <w:szCs w:val="20"/>
        </w:rPr>
        <w:t>on account of</w:t>
      </w:r>
      <w:proofErr w:type="gramEnd"/>
      <w:r w:rsidR="00236D44" w:rsidRPr="00B26B0F">
        <w:rPr>
          <w:rFonts w:ascii="Book Antiqua" w:hAnsi="Book Antiqua" w:cs="Arial"/>
          <w:sz w:val="20"/>
          <w:szCs w:val="20"/>
        </w:rPr>
        <w:t xml:space="preserve"> membership of a particular social group, </w:t>
      </w:r>
      <w:r w:rsidR="00AA0B53" w:rsidRPr="00B26B0F">
        <w:rPr>
          <w:rFonts w:ascii="Book Antiqua" w:hAnsi="Book Antiqua" w:cs="Arial"/>
          <w:sz w:val="20"/>
          <w:szCs w:val="20"/>
        </w:rPr>
        <w:t>it will depend</w:t>
      </w:r>
      <w:r w:rsidR="00236D44" w:rsidRPr="00B26B0F">
        <w:rPr>
          <w:rFonts w:ascii="Book Antiqua" w:hAnsi="Book Antiqua" w:cs="Arial"/>
          <w:sz w:val="20"/>
          <w:szCs w:val="20"/>
        </w:rPr>
        <w:t xml:space="preserve"> upon a number of</w:t>
      </w:r>
      <w:r w:rsidR="00AA0B53" w:rsidRPr="00B26B0F">
        <w:rPr>
          <w:rFonts w:ascii="Book Antiqua" w:hAnsi="Book Antiqua" w:cs="Arial"/>
          <w:sz w:val="20"/>
          <w:szCs w:val="20"/>
        </w:rPr>
        <w:t xml:space="preserve"> individual circumstances including,</w:t>
      </w:r>
      <w:r w:rsidR="00236D44" w:rsidRPr="00B26B0F">
        <w:rPr>
          <w:rFonts w:ascii="Book Antiqua" w:hAnsi="Book Antiqua" w:cs="Arial"/>
          <w:sz w:val="20"/>
          <w:szCs w:val="20"/>
        </w:rPr>
        <w:t xml:space="preserve"> but not limited to, </w:t>
      </w:r>
      <w:r w:rsidR="00AA0B53" w:rsidRPr="00B26B0F">
        <w:rPr>
          <w:rFonts w:ascii="Book Antiqua" w:hAnsi="Book Antiqua" w:cs="Arial"/>
          <w:sz w:val="20"/>
          <w:szCs w:val="20"/>
        </w:rPr>
        <w:t>the</w:t>
      </w:r>
      <w:r w:rsidR="00236D44" w:rsidRPr="00B26B0F">
        <w:rPr>
          <w:rFonts w:ascii="Book Antiqua" w:hAnsi="Book Antiqua" w:cs="Arial"/>
          <w:sz w:val="20"/>
          <w:szCs w:val="20"/>
        </w:rPr>
        <w:t>ir social and economic status</w:t>
      </w:r>
      <w:r w:rsidR="00AA0B53" w:rsidRPr="00B26B0F">
        <w:rPr>
          <w:rFonts w:ascii="Book Antiqua" w:hAnsi="Book Antiqua" w:cs="Arial"/>
          <w:sz w:val="20"/>
          <w:szCs w:val="20"/>
        </w:rPr>
        <w:t>,</w:t>
      </w:r>
      <w:r w:rsidR="00236D44" w:rsidRPr="00B26B0F">
        <w:rPr>
          <w:rFonts w:ascii="Book Antiqua" w:hAnsi="Book Antiqua" w:cs="Arial"/>
          <w:sz w:val="20"/>
          <w:szCs w:val="20"/>
        </w:rPr>
        <w:t xml:space="preserve"> level of education, the victims state of health, the presence of an </w:t>
      </w:r>
      <w:r w:rsidR="00B75238" w:rsidRPr="00B26B0F">
        <w:rPr>
          <w:rFonts w:ascii="Book Antiqua" w:hAnsi="Book Antiqua" w:cs="Arial"/>
          <w:sz w:val="20"/>
          <w:szCs w:val="20"/>
        </w:rPr>
        <w:t>illegitimate</w:t>
      </w:r>
      <w:r w:rsidR="00236D44" w:rsidRPr="00B26B0F">
        <w:rPr>
          <w:rFonts w:ascii="Book Antiqua" w:hAnsi="Book Antiqua" w:cs="Arial"/>
          <w:sz w:val="20"/>
          <w:szCs w:val="20"/>
        </w:rPr>
        <w:t xml:space="preserve"> child, the area of origin, age and what support will be available. </w:t>
      </w:r>
    </w:p>
    <w:p w:rsidR="00236D44" w:rsidRPr="00B26B0F" w:rsidRDefault="00D73C9D" w:rsidP="00D73C9D">
      <w:pPr>
        <w:spacing w:before="120" w:after="120"/>
        <w:ind w:left="567" w:right="567"/>
        <w:jc w:val="both"/>
        <w:rPr>
          <w:rFonts w:ascii="Book Antiqua" w:hAnsi="Book Antiqua" w:cs="Arial"/>
          <w:sz w:val="20"/>
          <w:szCs w:val="20"/>
        </w:rPr>
      </w:pPr>
      <w:r w:rsidRPr="00B26B0F">
        <w:rPr>
          <w:rFonts w:ascii="Book Antiqua" w:hAnsi="Book Antiqua" w:cs="Arial"/>
          <w:sz w:val="20"/>
          <w:szCs w:val="20"/>
        </w:rPr>
        <w:t xml:space="preserve">57. </w:t>
      </w:r>
      <w:r w:rsidR="00236D44" w:rsidRPr="00B26B0F">
        <w:rPr>
          <w:rFonts w:ascii="Book Antiqua" w:hAnsi="Book Antiqua" w:cs="Arial"/>
          <w:sz w:val="20"/>
          <w:szCs w:val="20"/>
        </w:rPr>
        <w:t>I accept that if returned to Albania,</w:t>
      </w:r>
      <w:r w:rsidR="00AA0B53" w:rsidRPr="00B26B0F">
        <w:rPr>
          <w:rFonts w:ascii="Book Antiqua" w:hAnsi="Book Antiqua" w:cs="Arial"/>
          <w:sz w:val="20"/>
          <w:szCs w:val="20"/>
        </w:rPr>
        <w:t xml:space="preserve"> the appellant cannot return to his home area</w:t>
      </w:r>
      <w:r w:rsidR="00236D44" w:rsidRPr="00B26B0F">
        <w:rPr>
          <w:rFonts w:ascii="Book Antiqua" w:hAnsi="Book Antiqua" w:cs="Arial"/>
          <w:sz w:val="20"/>
          <w:szCs w:val="20"/>
        </w:rPr>
        <w:t xml:space="preserve"> given previous abuse which occurred there. </w:t>
      </w:r>
      <w:r w:rsidR="00AA0B53" w:rsidRPr="00B26B0F">
        <w:rPr>
          <w:rFonts w:ascii="Book Antiqua" w:hAnsi="Book Antiqua" w:cs="Arial"/>
          <w:sz w:val="20"/>
          <w:szCs w:val="20"/>
        </w:rPr>
        <w:t>Even were he to be returned to Tira</w:t>
      </w:r>
      <w:r w:rsidR="00236D44" w:rsidRPr="00B26B0F">
        <w:rPr>
          <w:rFonts w:ascii="Book Antiqua" w:hAnsi="Book Antiqua" w:cs="Arial"/>
          <w:sz w:val="20"/>
          <w:szCs w:val="20"/>
        </w:rPr>
        <w:t>na, the appellant would be a minor</w:t>
      </w:r>
      <w:r w:rsidR="00AA0B53" w:rsidRPr="00B26B0F">
        <w:rPr>
          <w:rFonts w:ascii="Book Antiqua" w:hAnsi="Book Antiqua" w:cs="Arial"/>
          <w:sz w:val="20"/>
          <w:szCs w:val="20"/>
        </w:rPr>
        <w:t xml:space="preserve"> </w:t>
      </w:r>
      <w:r w:rsidR="00236D44" w:rsidRPr="00B26B0F">
        <w:rPr>
          <w:rFonts w:ascii="Book Antiqua" w:hAnsi="Book Antiqua" w:cs="Arial"/>
          <w:sz w:val="20"/>
          <w:szCs w:val="20"/>
        </w:rPr>
        <w:t xml:space="preserve">and </w:t>
      </w:r>
      <w:r w:rsidR="00AA0B53" w:rsidRPr="00B26B0F">
        <w:rPr>
          <w:rFonts w:ascii="Book Antiqua" w:hAnsi="Book Antiqua" w:cs="Arial"/>
          <w:sz w:val="20"/>
          <w:szCs w:val="20"/>
        </w:rPr>
        <w:t>there would simply</w:t>
      </w:r>
      <w:r w:rsidR="00236D44" w:rsidRPr="00B26B0F">
        <w:rPr>
          <w:rFonts w:ascii="Book Antiqua" w:hAnsi="Book Antiqua" w:cs="Arial"/>
          <w:sz w:val="20"/>
          <w:szCs w:val="20"/>
        </w:rPr>
        <w:t xml:space="preserve"> be</w:t>
      </w:r>
      <w:r w:rsidR="00AA0B53" w:rsidRPr="00B26B0F">
        <w:rPr>
          <w:rFonts w:ascii="Book Antiqua" w:hAnsi="Book Antiqua" w:cs="Arial"/>
          <w:sz w:val="20"/>
          <w:szCs w:val="20"/>
        </w:rPr>
        <w:t xml:space="preserve"> no support </w:t>
      </w:r>
      <w:r w:rsidR="00236D44" w:rsidRPr="00B26B0F">
        <w:rPr>
          <w:rFonts w:ascii="Book Antiqua" w:hAnsi="Book Antiqua" w:cs="Arial"/>
          <w:sz w:val="20"/>
          <w:szCs w:val="20"/>
        </w:rPr>
        <w:t xml:space="preserve">network available to him. I find </w:t>
      </w:r>
      <w:proofErr w:type="gramStart"/>
      <w:r w:rsidR="00236D44" w:rsidRPr="00B26B0F">
        <w:rPr>
          <w:rFonts w:ascii="Book Antiqua" w:hAnsi="Book Antiqua" w:cs="Arial"/>
          <w:sz w:val="20"/>
          <w:szCs w:val="20"/>
        </w:rPr>
        <w:t>the majority of</w:t>
      </w:r>
      <w:proofErr w:type="gramEnd"/>
      <w:r w:rsidR="00236D44" w:rsidRPr="00B26B0F">
        <w:rPr>
          <w:rFonts w:ascii="Book Antiqua" w:hAnsi="Book Antiqua" w:cs="Arial"/>
          <w:sz w:val="20"/>
          <w:szCs w:val="20"/>
        </w:rPr>
        <w:t xml:space="preserve"> the above risk factors are equally applicable to a single male minor. </w:t>
      </w:r>
    </w:p>
    <w:p w:rsidR="00236D44" w:rsidRPr="00B26B0F" w:rsidRDefault="00D73C9D" w:rsidP="00D73C9D">
      <w:pPr>
        <w:spacing w:before="120" w:after="120"/>
        <w:ind w:left="567" w:right="567"/>
        <w:jc w:val="both"/>
        <w:rPr>
          <w:rFonts w:ascii="Book Antiqua" w:hAnsi="Book Antiqua" w:cs="Arial"/>
          <w:sz w:val="20"/>
          <w:szCs w:val="20"/>
        </w:rPr>
      </w:pPr>
      <w:r w:rsidRPr="00B26B0F">
        <w:rPr>
          <w:rFonts w:ascii="Book Antiqua" w:hAnsi="Book Antiqua" w:cs="Arial"/>
          <w:sz w:val="20"/>
          <w:szCs w:val="20"/>
        </w:rPr>
        <w:t xml:space="preserve">58. </w:t>
      </w:r>
      <w:r w:rsidR="00AA0B53" w:rsidRPr="00B26B0F">
        <w:rPr>
          <w:rFonts w:ascii="Book Antiqua" w:hAnsi="Book Antiqua" w:cs="Arial"/>
          <w:sz w:val="20"/>
          <w:szCs w:val="20"/>
        </w:rPr>
        <w:t>The appellant comes from the north of Albania</w:t>
      </w:r>
      <w:r w:rsidR="00236D44" w:rsidRPr="00B26B0F">
        <w:rPr>
          <w:rFonts w:ascii="Book Antiqua" w:hAnsi="Book Antiqua" w:cs="Arial"/>
          <w:sz w:val="20"/>
          <w:szCs w:val="20"/>
        </w:rPr>
        <w:t>. The decision in</w:t>
      </w:r>
      <w:r w:rsidR="00AA0B53" w:rsidRPr="00B26B0F">
        <w:rPr>
          <w:rFonts w:ascii="Book Antiqua" w:hAnsi="Book Antiqua" w:cs="Arial"/>
          <w:sz w:val="20"/>
          <w:szCs w:val="20"/>
        </w:rPr>
        <w:t xml:space="preserve"> </w:t>
      </w:r>
      <w:r w:rsidR="00AA0B53" w:rsidRPr="00B26B0F">
        <w:rPr>
          <w:rFonts w:ascii="Book Antiqua" w:hAnsi="Book Antiqua" w:cs="Arial"/>
          <w:b/>
          <w:sz w:val="20"/>
          <w:szCs w:val="20"/>
        </w:rPr>
        <w:t xml:space="preserve">AM </w:t>
      </w:r>
      <w:r w:rsidR="00236D44" w:rsidRPr="00B26B0F">
        <w:rPr>
          <w:rFonts w:ascii="Book Antiqua" w:hAnsi="Book Antiqua" w:cs="Arial"/>
          <w:b/>
          <w:sz w:val="20"/>
          <w:szCs w:val="20"/>
        </w:rPr>
        <w:t xml:space="preserve">and BM (trafficked women) Albania (2010) UKUT 80 (IAC) </w:t>
      </w:r>
      <w:r w:rsidR="00236D44" w:rsidRPr="00B26B0F">
        <w:rPr>
          <w:rFonts w:ascii="Book Antiqua" w:hAnsi="Book Antiqua" w:cs="Arial"/>
          <w:sz w:val="20"/>
          <w:szCs w:val="20"/>
        </w:rPr>
        <w:t xml:space="preserve">notes </w:t>
      </w:r>
      <w:r w:rsidR="00E60149" w:rsidRPr="00B26B0F">
        <w:rPr>
          <w:rFonts w:ascii="Book Antiqua" w:hAnsi="Book Antiqua" w:cs="Arial"/>
          <w:sz w:val="20"/>
          <w:szCs w:val="20"/>
        </w:rPr>
        <w:t xml:space="preserve">that Albania is a country </w:t>
      </w:r>
      <w:r w:rsidR="00B75238" w:rsidRPr="00B26B0F">
        <w:rPr>
          <w:rFonts w:ascii="Book Antiqua" w:hAnsi="Book Antiqua" w:cs="Arial"/>
          <w:sz w:val="20"/>
          <w:szCs w:val="20"/>
        </w:rPr>
        <w:t>where</w:t>
      </w:r>
      <w:r w:rsidR="00E60149" w:rsidRPr="00B26B0F">
        <w:rPr>
          <w:rFonts w:ascii="Book Antiqua" w:hAnsi="Book Antiqua" w:cs="Arial"/>
          <w:sz w:val="20"/>
          <w:szCs w:val="20"/>
        </w:rPr>
        <w:t xml:space="preserve">, at least, internal relocation is problematic for victims of trafficking. It is unlikely to be effective for most victims of trafficking who have a </w:t>
      </w:r>
      <w:proofErr w:type="gramStart"/>
      <w:r w:rsidR="00E60149" w:rsidRPr="00B26B0F">
        <w:rPr>
          <w:rFonts w:ascii="Book Antiqua" w:hAnsi="Book Antiqua" w:cs="Arial"/>
          <w:sz w:val="20"/>
          <w:szCs w:val="20"/>
        </w:rPr>
        <w:t>well founded</w:t>
      </w:r>
      <w:proofErr w:type="gramEnd"/>
      <w:r w:rsidR="00E60149" w:rsidRPr="00B26B0F">
        <w:rPr>
          <w:rFonts w:ascii="Book Antiqua" w:hAnsi="Book Antiqua" w:cs="Arial"/>
          <w:sz w:val="20"/>
          <w:szCs w:val="20"/>
        </w:rPr>
        <w:t xml:space="preserve"> fear of persecution in their home area. The appellant is from the north of Albania. He fears his father, who he believes will still be under threats from the gang who </w:t>
      </w:r>
      <w:r w:rsidR="00B75238" w:rsidRPr="00B26B0F">
        <w:rPr>
          <w:rFonts w:ascii="Book Antiqua" w:hAnsi="Book Antiqua" w:cs="Arial"/>
          <w:sz w:val="20"/>
          <w:szCs w:val="20"/>
        </w:rPr>
        <w:t>abused</w:t>
      </w:r>
      <w:r w:rsidR="00E60149" w:rsidRPr="00B26B0F">
        <w:rPr>
          <w:rFonts w:ascii="Book Antiqua" w:hAnsi="Book Antiqua" w:cs="Arial"/>
          <w:sz w:val="20"/>
          <w:szCs w:val="20"/>
        </w:rPr>
        <w:t xml:space="preserve"> the appellant. </w:t>
      </w:r>
    </w:p>
    <w:p w:rsidR="00E60149" w:rsidRPr="00B26B0F" w:rsidRDefault="00E60149" w:rsidP="00D73C9D">
      <w:pPr>
        <w:spacing w:before="120" w:after="120"/>
        <w:ind w:left="567" w:right="567"/>
        <w:jc w:val="both"/>
        <w:rPr>
          <w:rFonts w:ascii="Book Antiqua" w:hAnsi="Book Antiqua" w:cs="Arial"/>
          <w:sz w:val="20"/>
          <w:szCs w:val="20"/>
        </w:rPr>
      </w:pPr>
      <w:r w:rsidRPr="00B26B0F">
        <w:rPr>
          <w:rFonts w:ascii="Book Antiqua" w:hAnsi="Book Antiqua" w:cs="Arial"/>
          <w:sz w:val="20"/>
          <w:szCs w:val="20"/>
        </w:rPr>
        <w:t xml:space="preserve">59.  I accept that the account </w:t>
      </w:r>
      <w:r w:rsidR="00AA0B53" w:rsidRPr="00B26B0F">
        <w:rPr>
          <w:rFonts w:ascii="Book Antiqua" w:hAnsi="Book Antiqua" w:cs="Arial"/>
          <w:sz w:val="20"/>
          <w:szCs w:val="20"/>
        </w:rPr>
        <w:t>whic</w:t>
      </w:r>
      <w:r w:rsidRPr="00B26B0F">
        <w:rPr>
          <w:rFonts w:ascii="Book Antiqua" w:hAnsi="Book Antiqua" w:cs="Arial"/>
          <w:sz w:val="20"/>
          <w:szCs w:val="20"/>
        </w:rPr>
        <w:t xml:space="preserve">h the appellant has provided indicates that at all material times he was a child. I find he remains a vulnerable person and that he does face a risk of being </w:t>
      </w:r>
      <w:r w:rsidR="00B75238" w:rsidRPr="00B26B0F">
        <w:rPr>
          <w:rFonts w:ascii="Book Antiqua" w:hAnsi="Book Antiqua" w:cs="Arial"/>
          <w:sz w:val="20"/>
          <w:szCs w:val="20"/>
        </w:rPr>
        <w:t>further</w:t>
      </w:r>
      <w:r w:rsidRPr="00B26B0F">
        <w:rPr>
          <w:rFonts w:ascii="Book Antiqua" w:hAnsi="Book Antiqua" w:cs="Arial"/>
          <w:sz w:val="20"/>
          <w:szCs w:val="20"/>
        </w:rPr>
        <w:t xml:space="preserve"> targeted, </w:t>
      </w:r>
      <w:r w:rsidR="00B75238" w:rsidRPr="00B26B0F">
        <w:rPr>
          <w:rFonts w:ascii="Book Antiqua" w:hAnsi="Book Antiqua" w:cs="Arial"/>
          <w:sz w:val="20"/>
          <w:szCs w:val="20"/>
        </w:rPr>
        <w:t>abused</w:t>
      </w:r>
      <w:r w:rsidRPr="00B26B0F">
        <w:rPr>
          <w:rFonts w:ascii="Book Antiqua" w:hAnsi="Book Antiqua" w:cs="Arial"/>
          <w:sz w:val="20"/>
          <w:szCs w:val="20"/>
        </w:rPr>
        <w:t xml:space="preserve"> and re-</w:t>
      </w:r>
      <w:r w:rsidR="00B75238" w:rsidRPr="00B26B0F">
        <w:rPr>
          <w:rFonts w:ascii="Book Antiqua" w:hAnsi="Book Antiqua" w:cs="Arial"/>
          <w:sz w:val="20"/>
          <w:szCs w:val="20"/>
        </w:rPr>
        <w:t>trafficked</w:t>
      </w:r>
      <w:r w:rsidRPr="00B26B0F">
        <w:rPr>
          <w:rFonts w:ascii="Book Antiqua" w:hAnsi="Book Antiqua" w:cs="Arial"/>
          <w:sz w:val="20"/>
          <w:szCs w:val="20"/>
        </w:rPr>
        <w:t xml:space="preserve"> within Albania.”</w:t>
      </w:r>
    </w:p>
    <w:p w:rsidR="00873F32" w:rsidRDefault="00D73C9D" w:rsidP="00873F32">
      <w:pPr>
        <w:ind w:left="567" w:hanging="567"/>
        <w:jc w:val="both"/>
        <w:rPr>
          <w:rFonts w:ascii="Book Antiqua" w:hAnsi="Book Antiqua" w:cs="Arial"/>
        </w:rPr>
      </w:pPr>
      <w:r>
        <w:rPr>
          <w:rFonts w:ascii="Book Antiqua" w:hAnsi="Book Antiqua" w:cs="Arial"/>
        </w:rPr>
        <w:t>8</w:t>
      </w:r>
      <w:r w:rsidR="00873F32">
        <w:rPr>
          <w:rFonts w:ascii="Book Antiqua" w:hAnsi="Book Antiqua" w:cs="Arial"/>
        </w:rPr>
        <w:t>.</w:t>
      </w:r>
      <w:r w:rsidR="00873F32">
        <w:rPr>
          <w:rFonts w:ascii="Book Antiqua" w:hAnsi="Book Antiqua" w:cs="Arial"/>
        </w:rPr>
        <w:tab/>
      </w:r>
      <w:r w:rsidR="00B75238">
        <w:rPr>
          <w:rFonts w:ascii="Book Antiqua" w:hAnsi="Book Antiqua" w:cs="Arial"/>
        </w:rPr>
        <w:t>Accordingly,</w:t>
      </w:r>
      <w:r w:rsidR="00873F32">
        <w:rPr>
          <w:rFonts w:ascii="Book Antiqua" w:hAnsi="Book Antiqua" w:cs="Arial"/>
        </w:rPr>
        <w:t xml:space="preserve"> the appeal was allowed on</w:t>
      </w:r>
      <w:r w:rsidR="007314A2">
        <w:rPr>
          <w:rFonts w:ascii="Book Antiqua" w:hAnsi="Book Antiqua" w:cs="Arial"/>
        </w:rPr>
        <w:t xml:space="preserve"> asylum</w:t>
      </w:r>
      <w:r w:rsidR="00873F32">
        <w:rPr>
          <w:rFonts w:ascii="Book Antiqua" w:hAnsi="Book Antiqua" w:cs="Arial"/>
        </w:rPr>
        <w:t xml:space="preserve"> and human rights grounds</w:t>
      </w:r>
      <w:r w:rsidR="001F6505">
        <w:rPr>
          <w:rFonts w:ascii="Book Antiqua" w:hAnsi="Book Antiqua" w:cs="Arial"/>
        </w:rPr>
        <w:t xml:space="preserve"> (</w:t>
      </w:r>
      <w:r w:rsidR="00B75238">
        <w:rPr>
          <w:rFonts w:ascii="Book Antiqua" w:hAnsi="Book Antiqua" w:cs="Arial"/>
        </w:rPr>
        <w:t>Articles</w:t>
      </w:r>
      <w:r w:rsidR="001F6505">
        <w:rPr>
          <w:rFonts w:ascii="Book Antiqua" w:hAnsi="Book Antiqua" w:cs="Arial"/>
        </w:rPr>
        <w:t xml:space="preserve"> </w:t>
      </w:r>
      <w:r w:rsidR="00B75238">
        <w:rPr>
          <w:rFonts w:ascii="Book Antiqua" w:hAnsi="Book Antiqua" w:cs="Arial"/>
        </w:rPr>
        <w:t>2 and</w:t>
      </w:r>
      <w:r w:rsidR="001F6505">
        <w:rPr>
          <w:rFonts w:ascii="Book Antiqua" w:hAnsi="Book Antiqua" w:cs="Arial"/>
        </w:rPr>
        <w:t xml:space="preserve"> 3)</w:t>
      </w:r>
      <w:r w:rsidR="00873F32">
        <w:rPr>
          <w:rFonts w:ascii="Book Antiqua" w:hAnsi="Book Antiqua" w:cs="Arial"/>
        </w:rPr>
        <w:t xml:space="preserve">.  </w:t>
      </w:r>
    </w:p>
    <w:p w:rsidR="00873F32" w:rsidRDefault="00873F32" w:rsidP="00873F32">
      <w:pPr>
        <w:ind w:left="567" w:hanging="567"/>
        <w:jc w:val="both"/>
        <w:rPr>
          <w:rFonts w:ascii="Book Antiqua" w:hAnsi="Book Antiqua" w:cs="Arial"/>
        </w:rPr>
      </w:pPr>
    </w:p>
    <w:p w:rsidR="006A2C01" w:rsidRDefault="00D73C9D" w:rsidP="00873F32">
      <w:pPr>
        <w:ind w:left="567" w:hanging="567"/>
        <w:jc w:val="both"/>
        <w:rPr>
          <w:rFonts w:ascii="Book Antiqua" w:hAnsi="Book Antiqua" w:cs="Arial"/>
        </w:rPr>
      </w:pPr>
      <w:r>
        <w:rPr>
          <w:rFonts w:ascii="Book Antiqua" w:hAnsi="Book Antiqua" w:cs="Arial"/>
        </w:rPr>
        <w:t>9</w:t>
      </w:r>
      <w:r w:rsidR="00873F32">
        <w:rPr>
          <w:rFonts w:ascii="Book Antiqua" w:hAnsi="Book Antiqua" w:cs="Arial"/>
        </w:rPr>
        <w:t>.</w:t>
      </w:r>
      <w:r w:rsidR="00873F32">
        <w:rPr>
          <w:rFonts w:ascii="Book Antiqua" w:hAnsi="Book Antiqua" w:cs="Arial"/>
        </w:rPr>
        <w:tab/>
        <w:t>The Secretary of Stat</w:t>
      </w:r>
      <w:r w:rsidR="00A53B81">
        <w:rPr>
          <w:rFonts w:ascii="Book Antiqua" w:hAnsi="Book Antiqua" w:cs="Arial"/>
        </w:rPr>
        <w:t>e sought permission to appeal.</w:t>
      </w:r>
      <w:r w:rsidR="00E60149">
        <w:rPr>
          <w:rFonts w:ascii="Book Antiqua" w:hAnsi="Book Antiqua" w:cs="Arial"/>
        </w:rPr>
        <w:t xml:space="preserve"> The grounds</w:t>
      </w:r>
      <w:r w:rsidR="006A2C01">
        <w:rPr>
          <w:rFonts w:ascii="Book Antiqua" w:hAnsi="Book Antiqua" w:cs="Arial"/>
        </w:rPr>
        <w:t xml:space="preserve"> of appeal are short and assert</w:t>
      </w:r>
      <w:r w:rsidR="00740E89">
        <w:rPr>
          <w:rFonts w:ascii="Book Antiqua" w:hAnsi="Book Antiqua" w:cs="Arial"/>
        </w:rPr>
        <w:t xml:space="preserve"> that the judge</w:t>
      </w:r>
      <w:r w:rsidR="00873F32">
        <w:rPr>
          <w:rFonts w:ascii="Book Antiqua" w:hAnsi="Book Antiqua" w:cs="Arial"/>
        </w:rPr>
        <w:t xml:space="preserve"> failed to consider relevant</w:t>
      </w:r>
      <w:r w:rsidR="00170A26">
        <w:rPr>
          <w:rFonts w:ascii="Book Antiqua" w:hAnsi="Book Antiqua" w:cs="Arial"/>
        </w:rPr>
        <w:t xml:space="preserve"> background</w:t>
      </w:r>
      <w:r w:rsidR="00873F32">
        <w:rPr>
          <w:rFonts w:ascii="Book Antiqua" w:hAnsi="Book Antiqua" w:cs="Arial"/>
        </w:rPr>
        <w:t xml:space="preserve"> evidence,</w:t>
      </w:r>
      <w:r w:rsidR="00170A26">
        <w:rPr>
          <w:rFonts w:ascii="Book Antiqua" w:hAnsi="Book Antiqua" w:cs="Arial"/>
        </w:rPr>
        <w:t xml:space="preserve"> namely</w:t>
      </w:r>
      <w:r w:rsidR="00AB714F">
        <w:rPr>
          <w:rFonts w:ascii="Book Antiqua" w:hAnsi="Book Antiqua" w:cs="Arial"/>
        </w:rPr>
        <w:t xml:space="preserve">, </w:t>
      </w:r>
      <w:r w:rsidR="006A2C01">
        <w:rPr>
          <w:rFonts w:ascii="Book Antiqua" w:hAnsi="Book Antiqua" w:cs="Arial"/>
        </w:rPr>
        <w:t>the United St</w:t>
      </w:r>
      <w:r w:rsidR="00170A26">
        <w:rPr>
          <w:rFonts w:ascii="Book Antiqua" w:hAnsi="Book Antiqua" w:cs="Arial"/>
        </w:rPr>
        <w:t>ates State Department</w:t>
      </w:r>
      <w:r w:rsidR="00AB714F">
        <w:rPr>
          <w:rFonts w:ascii="Book Antiqua" w:hAnsi="Book Antiqua" w:cs="Arial"/>
        </w:rPr>
        <w:t xml:space="preserve"> (USSD)</w:t>
      </w:r>
      <w:r w:rsidR="00740E89">
        <w:rPr>
          <w:rFonts w:ascii="Book Antiqua" w:hAnsi="Book Antiqua" w:cs="Arial"/>
        </w:rPr>
        <w:t xml:space="preserve"> report</w:t>
      </w:r>
      <w:r w:rsidR="00170A26">
        <w:rPr>
          <w:rFonts w:ascii="Book Antiqua" w:hAnsi="Book Antiqua" w:cs="Arial"/>
        </w:rPr>
        <w:t xml:space="preserve">, quoted at §84 of the refusal letter. It was contended that the </w:t>
      </w:r>
      <w:r w:rsidR="00170A26" w:rsidRPr="00AB714F">
        <w:rPr>
          <w:rFonts w:ascii="Book Antiqua" w:hAnsi="Book Antiqua" w:cs="Arial"/>
        </w:rPr>
        <w:t>“evidence shows that there is a sufficiency of protection and a viable option on internal relocation. The failure to consider the terms of the refusal and the evidence relied upon is a material error of law.”</w:t>
      </w:r>
      <w:r w:rsidR="006A2C01">
        <w:rPr>
          <w:rFonts w:ascii="Book Antiqua" w:hAnsi="Book Antiqua" w:cs="Arial"/>
        </w:rPr>
        <w:t xml:space="preserve"> </w:t>
      </w:r>
    </w:p>
    <w:p w:rsidR="00D73C9D" w:rsidRDefault="00D73C9D" w:rsidP="00D73C9D">
      <w:pPr>
        <w:jc w:val="both"/>
        <w:rPr>
          <w:rFonts w:ascii="Book Antiqua" w:hAnsi="Book Antiqua" w:cs="Arial"/>
        </w:rPr>
      </w:pPr>
    </w:p>
    <w:p w:rsidR="006C3D53" w:rsidRDefault="00D73C9D" w:rsidP="00740E89">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873F32">
        <w:rPr>
          <w:rFonts w:ascii="Book Antiqua" w:hAnsi="Book Antiqua" w:cs="Arial"/>
        </w:rPr>
        <w:t>A</w:t>
      </w:r>
      <w:r w:rsidR="006A2C01">
        <w:rPr>
          <w:rFonts w:ascii="Book Antiqua" w:hAnsi="Book Antiqua" w:cs="Arial"/>
        </w:rPr>
        <w:t>t the hearing before me</w:t>
      </w:r>
      <w:r w:rsidR="00ED0914">
        <w:rPr>
          <w:rFonts w:ascii="Book Antiqua" w:hAnsi="Book Antiqua" w:cs="Arial"/>
        </w:rPr>
        <w:t xml:space="preserve"> I heard submissions from both repres</w:t>
      </w:r>
      <w:r w:rsidR="00E60149">
        <w:rPr>
          <w:rFonts w:ascii="Book Antiqua" w:hAnsi="Book Antiqua" w:cs="Arial"/>
        </w:rPr>
        <w:t>entatives which I have considered</w:t>
      </w:r>
      <w:r w:rsidR="00ED0914">
        <w:rPr>
          <w:rFonts w:ascii="Book Antiqua" w:hAnsi="Book Antiqua" w:cs="Arial"/>
        </w:rPr>
        <w:t xml:space="preserve">. I have no hesitation in concluding that the grounds amount to </w:t>
      </w:r>
      <w:r w:rsidR="00B70548">
        <w:rPr>
          <w:rFonts w:ascii="Book Antiqua" w:hAnsi="Book Antiqua" w:cs="Arial"/>
        </w:rPr>
        <w:t xml:space="preserve">a </w:t>
      </w:r>
      <w:r w:rsidR="00ED0914">
        <w:rPr>
          <w:rFonts w:ascii="Book Antiqua" w:hAnsi="Book Antiqua" w:cs="Arial"/>
        </w:rPr>
        <w:t>disagreement with the judge’s findings</w:t>
      </w:r>
      <w:r w:rsidR="00B70548">
        <w:rPr>
          <w:rFonts w:ascii="Book Antiqua" w:hAnsi="Book Antiqua" w:cs="Arial"/>
        </w:rPr>
        <w:t xml:space="preserve"> and</w:t>
      </w:r>
      <w:r w:rsidR="00ED0914">
        <w:rPr>
          <w:rFonts w:ascii="Book Antiqua" w:hAnsi="Book Antiqua" w:cs="Arial"/>
        </w:rPr>
        <w:t xml:space="preserve"> are misconceived. I also find that Mr Lindsay’s submissions </w:t>
      </w:r>
      <w:r w:rsidR="00767320">
        <w:rPr>
          <w:rFonts w:ascii="Book Antiqua" w:hAnsi="Book Antiqua" w:cs="Arial"/>
        </w:rPr>
        <w:t>stretched the</w:t>
      </w:r>
      <w:r w:rsidR="002B5A58">
        <w:rPr>
          <w:rFonts w:ascii="Book Antiqua" w:hAnsi="Book Antiqua" w:cs="Arial"/>
        </w:rPr>
        <w:t xml:space="preserve"> scope</w:t>
      </w:r>
      <w:r w:rsidR="00ED0914">
        <w:rPr>
          <w:rFonts w:ascii="Book Antiqua" w:hAnsi="Book Antiqua" w:cs="Arial"/>
        </w:rPr>
        <w:t xml:space="preserve"> of the grounds</w:t>
      </w:r>
      <w:r w:rsidR="00AB714F">
        <w:rPr>
          <w:rFonts w:ascii="Book Antiqua" w:hAnsi="Book Antiqua" w:cs="Arial"/>
        </w:rPr>
        <w:t xml:space="preserve"> </w:t>
      </w:r>
      <w:r w:rsidR="00767320">
        <w:rPr>
          <w:rFonts w:ascii="Book Antiqua" w:hAnsi="Book Antiqua" w:cs="Arial"/>
        </w:rPr>
        <w:t>and</w:t>
      </w:r>
      <w:r w:rsidR="00AB714F">
        <w:rPr>
          <w:rFonts w:ascii="Book Antiqua" w:hAnsi="Book Antiqua" w:cs="Arial"/>
        </w:rPr>
        <w:t>,</w:t>
      </w:r>
      <w:r w:rsidR="00B70548">
        <w:rPr>
          <w:rFonts w:ascii="Book Antiqua" w:hAnsi="Book Antiqua" w:cs="Arial"/>
        </w:rPr>
        <w:t xml:space="preserve"> in other respects</w:t>
      </w:r>
      <w:r w:rsidR="00AB714F">
        <w:rPr>
          <w:rFonts w:ascii="Book Antiqua" w:hAnsi="Book Antiqua" w:cs="Arial"/>
        </w:rPr>
        <w:t xml:space="preserve">, raised </w:t>
      </w:r>
      <w:r w:rsidR="00AB714F">
        <w:rPr>
          <w:rFonts w:ascii="Book Antiqua" w:hAnsi="Book Antiqua" w:cs="Arial"/>
        </w:rPr>
        <w:lastRenderedPageBreak/>
        <w:t>new grounds altogether</w:t>
      </w:r>
      <w:r w:rsidR="00767320">
        <w:rPr>
          <w:rFonts w:ascii="Book Antiqua" w:hAnsi="Book Antiqua" w:cs="Arial"/>
        </w:rPr>
        <w:t>.</w:t>
      </w:r>
      <w:r w:rsidR="009A1DF7">
        <w:rPr>
          <w:rFonts w:ascii="Book Antiqua" w:hAnsi="Book Antiqua" w:cs="Arial"/>
        </w:rPr>
        <w:t xml:space="preserve"> Before I address those matters, I turn to deal with the grounds as pleaded upon which permission </w:t>
      </w:r>
      <w:r w:rsidR="00740E89">
        <w:rPr>
          <w:rFonts w:ascii="Book Antiqua" w:hAnsi="Book Antiqua" w:cs="Arial"/>
        </w:rPr>
        <w:t>i</w:t>
      </w:r>
      <w:r w:rsidR="00B70548">
        <w:rPr>
          <w:rFonts w:ascii="Book Antiqua" w:hAnsi="Book Antiqua" w:cs="Arial"/>
        </w:rPr>
        <w:t>s</w:t>
      </w:r>
      <w:r w:rsidR="009A1DF7">
        <w:rPr>
          <w:rFonts w:ascii="Book Antiqua" w:hAnsi="Book Antiqua" w:cs="Arial"/>
        </w:rPr>
        <w:t xml:space="preserve"> granted. </w:t>
      </w:r>
    </w:p>
    <w:p w:rsidR="009A1DF7" w:rsidRDefault="009A1DF7" w:rsidP="00ED0914">
      <w:pPr>
        <w:ind w:left="567" w:hanging="567"/>
        <w:jc w:val="both"/>
        <w:rPr>
          <w:rFonts w:ascii="Book Antiqua" w:hAnsi="Book Antiqua" w:cs="Arial"/>
        </w:rPr>
      </w:pPr>
    </w:p>
    <w:p w:rsidR="00696D1B" w:rsidRDefault="0070494E" w:rsidP="00B351DC">
      <w:pPr>
        <w:ind w:left="567" w:hanging="567"/>
        <w:jc w:val="both"/>
        <w:rPr>
          <w:rFonts w:ascii="Book Antiqua" w:hAnsi="Book Antiqua" w:cs="Arial"/>
        </w:rPr>
      </w:pPr>
      <w:r>
        <w:rPr>
          <w:rFonts w:ascii="Book Antiqua" w:hAnsi="Book Antiqua" w:cs="Arial"/>
        </w:rPr>
        <w:t>11</w:t>
      </w:r>
      <w:r w:rsidR="00D73C9D">
        <w:rPr>
          <w:rFonts w:ascii="Book Antiqua" w:hAnsi="Book Antiqua" w:cs="Arial"/>
        </w:rPr>
        <w:t>.</w:t>
      </w:r>
      <w:r w:rsidR="00D73C9D">
        <w:rPr>
          <w:rFonts w:ascii="Book Antiqua" w:hAnsi="Book Antiqua" w:cs="Arial"/>
        </w:rPr>
        <w:tab/>
      </w:r>
      <w:r w:rsidR="00AB714F">
        <w:rPr>
          <w:rFonts w:ascii="Book Antiqua" w:hAnsi="Book Antiqua" w:cs="Arial"/>
        </w:rPr>
        <w:t xml:space="preserve">There is one ground of appeal. </w:t>
      </w:r>
      <w:r w:rsidR="00B70548">
        <w:rPr>
          <w:rFonts w:ascii="Book Antiqua" w:hAnsi="Book Antiqua" w:cs="Arial"/>
        </w:rPr>
        <w:t>The ground,</w:t>
      </w:r>
      <w:r w:rsidR="00696D1B">
        <w:rPr>
          <w:rFonts w:ascii="Book Antiqua" w:hAnsi="Book Antiqua" w:cs="Arial"/>
        </w:rPr>
        <w:t xml:space="preserve"> simply put</w:t>
      </w:r>
      <w:r w:rsidR="00B70548">
        <w:rPr>
          <w:rFonts w:ascii="Book Antiqua" w:hAnsi="Book Antiqua" w:cs="Arial"/>
        </w:rPr>
        <w:t>,</w:t>
      </w:r>
      <w:r w:rsidR="00696D1B">
        <w:rPr>
          <w:rFonts w:ascii="Book Antiqua" w:hAnsi="Book Antiqua" w:cs="Arial"/>
        </w:rPr>
        <w:t xml:space="preserve"> assert</w:t>
      </w:r>
      <w:r w:rsidR="00B70548">
        <w:rPr>
          <w:rFonts w:ascii="Book Antiqua" w:hAnsi="Book Antiqua" w:cs="Arial"/>
        </w:rPr>
        <w:t>s</w:t>
      </w:r>
      <w:r w:rsidR="00696D1B">
        <w:rPr>
          <w:rFonts w:ascii="Book Antiqua" w:hAnsi="Book Antiqua" w:cs="Arial"/>
        </w:rPr>
        <w:t xml:space="preserve"> that the judge failed to consider the terms of the refusal </w:t>
      </w:r>
      <w:r w:rsidR="00B351DC">
        <w:rPr>
          <w:rFonts w:ascii="Book Antiqua" w:hAnsi="Book Antiqua" w:cs="Arial"/>
        </w:rPr>
        <w:t xml:space="preserve">letter </w:t>
      </w:r>
      <w:r w:rsidR="00696D1B">
        <w:rPr>
          <w:rFonts w:ascii="Book Antiqua" w:hAnsi="Book Antiqua" w:cs="Arial"/>
        </w:rPr>
        <w:t>and the evidence relied upon by the respondent.</w:t>
      </w:r>
      <w:r w:rsidR="00B351DC">
        <w:rPr>
          <w:rFonts w:ascii="Book Antiqua" w:hAnsi="Book Antiqua" w:cs="Arial"/>
        </w:rPr>
        <w:t xml:space="preserve"> </w:t>
      </w:r>
      <w:proofErr w:type="gramStart"/>
      <w:r w:rsidR="00B351DC">
        <w:rPr>
          <w:rFonts w:ascii="Book Antiqua" w:hAnsi="Book Antiqua" w:cs="Arial"/>
        </w:rPr>
        <w:t>In particular, it</w:t>
      </w:r>
      <w:proofErr w:type="gramEnd"/>
      <w:r w:rsidR="00B351DC">
        <w:rPr>
          <w:rFonts w:ascii="Book Antiqua" w:hAnsi="Book Antiqua" w:cs="Arial"/>
        </w:rPr>
        <w:t xml:space="preserve"> is asserted</w:t>
      </w:r>
      <w:r w:rsidR="00AB714F">
        <w:rPr>
          <w:rFonts w:ascii="Book Antiqua" w:hAnsi="Book Antiqua" w:cs="Arial"/>
        </w:rPr>
        <w:t xml:space="preserve"> that the judge failed to consider</w:t>
      </w:r>
      <w:r w:rsidR="00B70548">
        <w:rPr>
          <w:rFonts w:ascii="Book Antiqua" w:hAnsi="Book Antiqua" w:cs="Arial"/>
        </w:rPr>
        <w:t xml:space="preserve"> </w:t>
      </w:r>
      <w:r w:rsidR="00AD446E">
        <w:rPr>
          <w:rFonts w:ascii="Book Antiqua" w:hAnsi="Book Antiqua" w:cs="Arial"/>
        </w:rPr>
        <w:t>§</w:t>
      </w:r>
      <w:r w:rsidR="00696D1B">
        <w:rPr>
          <w:rFonts w:ascii="Book Antiqua" w:hAnsi="Book Antiqua" w:cs="Arial"/>
        </w:rPr>
        <w:t>84 of the refusal let</w:t>
      </w:r>
      <w:r w:rsidR="00AD446E">
        <w:rPr>
          <w:rFonts w:ascii="Book Antiqua" w:hAnsi="Book Antiqua" w:cs="Arial"/>
        </w:rPr>
        <w:t>ter, which quotes extracts from the “2016 US S</w:t>
      </w:r>
      <w:r w:rsidR="00696D1B">
        <w:rPr>
          <w:rFonts w:ascii="Book Antiqua" w:hAnsi="Book Antiqua" w:cs="Arial"/>
        </w:rPr>
        <w:t xml:space="preserve">tate </w:t>
      </w:r>
      <w:r w:rsidR="00AD446E">
        <w:rPr>
          <w:rFonts w:ascii="Book Antiqua" w:hAnsi="Book Antiqua" w:cs="Arial"/>
        </w:rPr>
        <w:t>D</w:t>
      </w:r>
      <w:r w:rsidR="00696D1B">
        <w:rPr>
          <w:rFonts w:ascii="Book Antiqua" w:hAnsi="Book Antiqua" w:cs="Arial"/>
        </w:rPr>
        <w:t xml:space="preserve">epartment </w:t>
      </w:r>
      <w:r w:rsidR="00AD446E">
        <w:rPr>
          <w:rFonts w:ascii="Book Antiqua" w:hAnsi="Book Antiqua" w:cs="Arial"/>
        </w:rPr>
        <w:t>Trafficking in Persons R</w:t>
      </w:r>
      <w:r w:rsidR="00696D1B">
        <w:rPr>
          <w:rFonts w:ascii="Book Antiqua" w:hAnsi="Book Antiqua" w:cs="Arial"/>
        </w:rPr>
        <w:t>eport</w:t>
      </w:r>
      <w:r w:rsidR="00AD446E">
        <w:rPr>
          <w:rFonts w:ascii="Book Antiqua" w:hAnsi="Book Antiqua" w:cs="Arial"/>
        </w:rPr>
        <w:t>”</w:t>
      </w:r>
      <w:r w:rsidR="00B351DC">
        <w:rPr>
          <w:rFonts w:ascii="Book Antiqua" w:hAnsi="Book Antiqua" w:cs="Arial"/>
        </w:rPr>
        <w:t xml:space="preserve">. </w:t>
      </w:r>
      <w:r w:rsidR="00696D1B">
        <w:rPr>
          <w:rFonts w:ascii="Book Antiqua" w:hAnsi="Book Antiqua" w:cs="Arial"/>
        </w:rPr>
        <w:t xml:space="preserve">As I </w:t>
      </w:r>
      <w:r w:rsidR="00384C57">
        <w:rPr>
          <w:rFonts w:ascii="Book Antiqua" w:hAnsi="Book Antiqua" w:cs="Arial"/>
        </w:rPr>
        <w:t>observed at the hearing, §</w:t>
      </w:r>
      <w:r w:rsidR="00696D1B">
        <w:rPr>
          <w:rFonts w:ascii="Book Antiqua" w:hAnsi="Book Antiqua" w:cs="Arial"/>
        </w:rPr>
        <w:t>84 of</w:t>
      </w:r>
      <w:r w:rsidR="00384C57">
        <w:rPr>
          <w:rFonts w:ascii="Book Antiqua" w:hAnsi="Book Antiqua" w:cs="Arial"/>
        </w:rPr>
        <w:t xml:space="preserve"> the</w:t>
      </w:r>
      <w:r w:rsidR="00696D1B">
        <w:rPr>
          <w:rFonts w:ascii="Book Antiqua" w:hAnsi="Book Antiqua" w:cs="Arial"/>
        </w:rPr>
        <w:t xml:space="preserve"> refusal</w:t>
      </w:r>
      <w:r w:rsidR="00AB714F">
        <w:rPr>
          <w:rFonts w:ascii="Book Antiqua" w:hAnsi="Book Antiqua" w:cs="Arial"/>
        </w:rPr>
        <w:t xml:space="preserve"> letter</w:t>
      </w:r>
      <w:r w:rsidR="00696D1B">
        <w:rPr>
          <w:rFonts w:ascii="Book Antiqua" w:hAnsi="Book Antiqua" w:cs="Arial"/>
        </w:rPr>
        <w:t xml:space="preserve"> quotes sections of the</w:t>
      </w:r>
      <w:r w:rsidR="00AB714F">
        <w:rPr>
          <w:rFonts w:ascii="Book Antiqua" w:hAnsi="Book Antiqua" w:cs="Arial"/>
        </w:rPr>
        <w:t xml:space="preserve"> USSD</w:t>
      </w:r>
      <w:r w:rsidR="00696D1B">
        <w:rPr>
          <w:rFonts w:ascii="Book Antiqua" w:hAnsi="Book Antiqua" w:cs="Arial"/>
        </w:rPr>
        <w:t xml:space="preserve"> report that deal</w:t>
      </w:r>
      <w:r w:rsidR="00AB714F">
        <w:rPr>
          <w:rFonts w:ascii="Book Antiqua" w:hAnsi="Book Antiqua" w:cs="Arial"/>
        </w:rPr>
        <w:t>s</w:t>
      </w:r>
      <w:r w:rsidR="00696D1B">
        <w:rPr>
          <w:rFonts w:ascii="Book Antiqua" w:hAnsi="Book Antiqua" w:cs="Arial"/>
        </w:rPr>
        <w:t xml:space="preserve"> with</w:t>
      </w:r>
      <w:r w:rsidR="00AB714F">
        <w:rPr>
          <w:rFonts w:ascii="Book Antiqua" w:hAnsi="Book Antiqua" w:cs="Arial"/>
        </w:rPr>
        <w:t xml:space="preserve"> issues relating to</w:t>
      </w:r>
      <w:r w:rsidR="00696D1B">
        <w:rPr>
          <w:rFonts w:ascii="Book Antiqua" w:hAnsi="Book Antiqua" w:cs="Arial"/>
        </w:rPr>
        <w:t xml:space="preserve"> </w:t>
      </w:r>
      <w:r w:rsidR="00384C57">
        <w:rPr>
          <w:rFonts w:ascii="Book Antiqua" w:hAnsi="Book Antiqua" w:cs="Arial"/>
        </w:rPr>
        <w:t>“</w:t>
      </w:r>
      <w:r w:rsidR="00B75238">
        <w:rPr>
          <w:rFonts w:ascii="Book Antiqua" w:hAnsi="Book Antiqua" w:cs="Arial"/>
        </w:rPr>
        <w:t>Prosecution</w:t>
      </w:r>
      <w:r w:rsidR="00384C57">
        <w:rPr>
          <w:rFonts w:ascii="Book Antiqua" w:hAnsi="Book Antiqua" w:cs="Arial"/>
        </w:rPr>
        <w:t>”</w:t>
      </w:r>
      <w:r w:rsidR="00696D1B">
        <w:rPr>
          <w:rFonts w:ascii="Book Antiqua" w:hAnsi="Book Antiqua" w:cs="Arial"/>
        </w:rPr>
        <w:t xml:space="preserve">, </w:t>
      </w:r>
      <w:r w:rsidR="00384C57">
        <w:rPr>
          <w:rFonts w:ascii="Book Antiqua" w:hAnsi="Book Antiqua" w:cs="Arial"/>
        </w:rPr>
        <w:t>“P</w:t>
      </w:r>
      <w:r w:rsidR="00696D1B">
        <w:rPr>
          <w:rFonts w:ascii="Book Antiqua" w:hAnsi="Book Antiqua" w:cs="Arial"/>
        </w:rPr>
        <w:t>rotection</w:t>
      </w:r>
      <w:r w:rsidR="00384C57">
        <w:rPr>
          <w:rFonts w:ascii="Book Antiqua" w:hAnsi="Book Antiqua" w:cs="Arial"/>
        </w:rPr>
        <w:t>”</w:t>
      </w:r>
      <w:r w:rsidR="00696D1B">
        <w:rPr>
          <w:rFonts w:ascii="Book Antiqua" w:hAnsi="Book Antiqua" w:cs="Arial"/>
        </w:rPr>
        <w:t xml:space="preserve"> and </w:t>
      </w:r>
      <w:r w:rsidR="00384C57">
        <w:rPr>
          <w:rFonts w:ascii="Book Antiqua" w:hAnsi="Book Antiqua" w:cs="Arial"/>
        </w:rPr>
        <w:t>“P</w:t>
      </w:r>
      <w:r w:rsidR="00696D1B">
        <w:rPr>
          <w:rFonts w:ascii="Book Antiqua" w:hAnsi="Book Antiqua" w:cs="Arial"/>
        </w:rPr>
        <w:t>revention</w:t>
      </w:r>
      <w:r w:rsidR="00384C57">
        <w:rPr>
          <w:rFonts w:ascii="Book Antiqua" w:hAnsi="Book Antiqua" w:cs="Arial"/>
        </w:rPr>
        <w:t>”</w:t>
      </w:r>
      <w:r w:rsidR="00696D1B">
        <w:rPr>
          <w:rFonts w:ascii="Book Antiqua" w:hAnsi="Book Antiqua" w:cs="Arial"/>
        </w:rPr>
        <w:t>. These sections</w:t>
      </w:r>
      <w:r w:rsidR="00B351DC">
        <w:rPr>
          <w:rFonts w:ascii="Book Antiqua" w:hAnsi="Book Antiqua" w:cs="Arial"/>
        </w:rPr>
        <w:t xml:space="preserve"> in my judgement</w:t>
      </w:r>
      <w:r w:rsidR="00696D1B">
        <w:rPr>
          <w:rFonts w:ascii="Book Antiqua" w:hAnsi="Book Antiqua" w:cs="Arial"/>
        </w:rPr>
        <w:t xml:space="preserve"> relate to the issue of sufficiency of protection and not internal flight.</w:t>
      </w:r>
      <w:r w:rsidR="005722E9">
        <w:rPr>
          <w:rFonts w:ascii="Book Antiqua" w:hAnsi="Book Antiqua" w:cs="Arial"/>
        </w:rPr>
        <w:t xml:space="preserve"> </w:t>
      </w:r>
    </w:p>
    <w:p w:rsidR="00696D1B" w:rsidRDefault="00696D1B" w:rsidP="00ED0914">
      <w:pPr>
        <w:ind w:left="567" w:hanging="567"/>
        <w:jc w:val="both"/>
        <w:rPr>
          <w:rFonts w:ascii="Book Antiqua" w:hAnsi="Book Antiqua" w:cs="Arial"/>
        </w:rPr>
      </w:pPr>
    </w:p>
    <w:p w:rsidR="006C6ABF" w:rsidRDefault="0070494E" w:rsidP="004165A0">
      <w:pPr>
        <w:ind w:left="567" w:hanging="567"/>
        <w:jc w:val="both"/>
        <w:rPr>
          <w:rFonts w:ascii="Book Antiqua" w:hAnsi="Book Antiqua" w:cs="Arial"/>
        </w:rPr>
      </w:pPr>
      <w:r>
        <w:rPr>
          <w:rFonts w:ascii="Book Antiqua" w:hAnsi="Book Antiqua" w:cs="Arial"/>
        </w:rPr>
        <w:t>12</w:t>
      </w:r>
      <w:r w:rsidR="00D73C9D">
        <w:rPr>
          <w:rFonts w:ascii="Book Antiqua" w:hAnsi="Book Antiqua" w:cs="Arial"/>
        </w:rPr>
        <w:t>.</w:t>
      </w:r>
      <w:r w:rsidR="00D73C9D">
        <w:rPr>
          <w:rFonts w:ascii="Book Antiqua" w:hAnsi="Book Antiqua" w:cs="Arial"/>
        </w:rPr>
        <w:tab/>
      </w:r>
      <w:r w:rsidR="00CE6513">
        <w:rPr>
          <w:rFonts w:ascii="Book Antiqua" w:hAnsi="Book Antiqua" w:cs="Arial"/>
        </w:rPr>
        <w:t xml:space="preserve">Mr Lindsay submitted that </w:t>
      </w:r>
      <w:r w:rsidR="00CE6513" w:rsidRPr="002B5A58">
        <w:rPr>
          <w:rFonts w:ascii="Book Antiqua" w:hAnsi="Book Antiqua" w:cs="Arial"/>
        </w:rPr>
        <w:t>the last sentence</w:t>
      </w:r>
      <w:r>
        <w:rPr>
          <w:rFonts w:ascii="Book Antiqua" w:hAnsi="Book Antiqua" w:cs="Arial"/>
        </w:rPr>
        <w:t xml:space="preserve"> of the grounds quoted </w:t>
      </w:r>
      <w:r w:rsidR="00CE6513">
        <w:rPr>
          <w:rFonts w:ascii="Book Antiqua" w:hAnsi="Book Antiqua" w:cs="Arial"/>
        </w:rPr>
        <w:t>above</w:t>
      </w:r>
      <w:r>
        <w:rPr>
          <w:rFonts w:ascii="Book Antiqua" w:hAnsi="Book Antiqua" w:cs="Arial"/>
        </w:rPr>
        <w:t xml:space="preserve"> (at [9])</w:t>
      </w:r>
      <w:r w:rsidR="00CE6513">
        <w:rPr>
          <w:rFonts w:ascii="Book Antiqua" w:hAnsi="Book Antiqua" w:cs="Arial"/>
        </w:rPr>
        <w:t xml:space="preserve"> was broad enough to include a challenge to the judge’s findings on internal relocation. I do not agree</w:t>
      </w:r>
      <w:r w:rsidR="00CE6513" w:rsidRPr="002B5A58">
        <w:rPr>
          <w:rFonts w:ascii="Book Antiqua" w:hAnsi="Book Antiqua" w:cs="Arial"/>
        </w:rPr>
        <w:t>.</w:t>
      </w:r>
      <w:r w:rsidR="00CE6513">
        <w:rPr>
          <w:rFonts w:ascii="Book Antiqua" w:hAnsi="Book Antiqua" w:cs="Arial"/>
        </w:rPr>
        <w:t xml:space="preserve"> In my view, the grounds</w:t>
      </w:r>
      <w:r w:rsidR="006C6ABF">
        <w:rPr>
          <w:rFonts w:ascii="Book Antiqua" w:hAnsi="Book Antiqua" w:cs="Arial"/>
        </w:rPr>
        <w:t xml:space="preserve"> as </w:t>
      </w:r>
      <w:r w:rsidR="00B75238">
        <w:rPr>
          <w:rFonts w:ascii="Book Antiqua" w:hAnsi="Book Antiqua" w:cs="Arial"/>
        </w:rPr>
        <w:t>particularised</w:t>
      </w:r>
      <w:r w:rsidR="00CE6513">
        <w:rPr>
          <w:rFonts w:ascii="Book Antiqua" w:hAnsi="Book Antiqua" w:cs="Arial"/>
        </w:rPr>
        <w:t xml:space="preserve"> suggest that the challenge</w:t>
      </w:r>
      <w:r w:rsidR="006C6ABF">
        <w:rPr>
          <w:rFonts w:ascii="Book Antiqua" w:hAnsi="Book Antiqua" w:cs="Arial"/>
        </w:rPr>
        <w:t xml:space="preserve"> </w:t>
      </w:r>
      <w:r w:rsidR="00171CAD">
        <w:rPr>
          <w:rFonts w:ascii="Book Antiqua" w:hAnsi="Book Antiqua" w:cs="Arial"/>
        </w:rPr>
        <w:t>being made relates to the judge’</w:t>
      </w:r>
      <w:r w:rsidR="006C6ABF">
        <w:rPr>
          <w:rFonts w:ascii="Book Antiqua" w:hAnsi="Book Antiqua" w:cs="Arial"/>
        </w:rPr>
        <w:t>s consideration</w:t>
      </w:r>
      <w:r w:rsidR="00CE6513">
        <w:rPr>
          <w:rFonts w:ascii="Book Antiqua" w:hAnsi="Book Antiqua" w:cs="Arial"/>
        </w:rPr>
        <w:t xml:space="preserve"> of </w:t>
      </w:r>
      <w:r w:rsidR="00B75238">
        <w:rPr>
          <w:rFonts w:ascii="Book Antiqua" w:hAnsi="Book Antiqua" w:cs="Arial"/>
        </w:rPr>
        <w:t>sufficiency</w:t>
      </w:r>
      <w:r w:rsidR="00CE6513">
        <w:rPr>
          <w:rFonts w:ascii="Book Antiqua" w:hAnsi="Book Antiqua" w:cs="Arial"/>
        </w:rPr>
        <w:t xml:space="preserve"> of protection. </w:t>
      </w:r>
      <w:r w:rsidR="00D43379">
        <w:rPr>
          <w:rFonts w:ascii="Book Antiqua" w:hAnsi="Book Antiqua" w:cs="Arial"/>
        </w:rPr>
        <w:t>T</w:t>
      </w:r>
      <w:r w:rsidR="00CE6513">
        <w:rPr>
          <w:rFonts w:ascii="Book Antiqua" w:hAnsi="Book Antiqua" w:cs="Arial"/>
        </w:rPr>
        <w:t>h</w:t>
      </w:r>
      <w:r w:rsidR="006C6ABF">
        <w:rPr>
          <w:rFonts w:ascii="Book Antiqua" w:hAnsi="Book Antiqua" w:cs="Arial"/>
        </w:rPr>
        <w:t xml:space="preserve">e </w:t>
      </w:r>
      <w:r w:rsidR="00B75238">
        <w:rPr>
          <w:rFonts w:ascii="Book Antiqua" w:hAnsi="Book Antiqua" w:cs="Arial"/>
        </w:rPr>
        <w:t>challenge</w:t>
      </w:r>
      <w:r w:rsidR="006C6ABF">
        <w:rPr>
          <w:rFonts w:ascii="Book Antiqua" w:hAnsi="Book Antiqua" w:cs="Arial"/>
        </w:rPr>
        <w:t xml:space="preserve"> in the grounds is</w:t>
      </w:r>
      <w:r w:rsidR="00CE6513">
        <w:rPr>
          <w:rFonts w:ascii="Book Antiqua" w:hAnsi="Book Antiqua" w:cs="Arial"/>
        </w:rPr>
        <w:t xml:space="preserve"> predicated </w:t>
      </w:r>
      <w:r w:rsidR="006C6ABF">
        <w:rPr>
          <w:rFonts w:ascii="Book Antiqua" w:hAnsi="Book Antiqua" w:cs="Arial"/>
        </w:rPr>
        <w:t>upon the terms of §</w:t>
      </w:r>
      <w:r w:rsidR="00CE6513">
        <w:rPr>
          <w:rFonts w:ascii="Book Antiqua" w:hAnsi="Book Antiqua" w:cs="Arial"/>
        </w:rPr>
        <w:t>84 of the refusal</w:t>
      </w:r>
      <w:r w:rsidR="005722E9">
        <w:rPr>
          <w:rFonts w:ascii="Book Antiqua" w:hAnsi="Book Antiqua" w:cs="Arial"/>
        </w:rPr>
        <w:t xml:space="preserve"> letter</w:t>
      </w:r>
      <w:r w:rsidR="006C6ABF">
        <w:rPr>
          <w:rFonts w:ascii="Book Antiqua" w:hAnsi="Book Antiqua" w:cs="Arial"/>
        </w:rPr>
        <w:t>,</w:t>
      </w:r>
      <w:r w:rsidR="005722E9">
        <w:rPr>
          <w:rFonts w:ascii="Book Antiqua" w:hAnsi="Book Antiqua" w:cs="Arial"/>
        </w:rPr>
        <w:t xml:space="preserve"> which</w:t>
      </w:r>
      <w:r w:rsidR="008374C5">
        <w:rPr>
          <w:rFonts w:ascii="Book Antiqua" w:hAnsi="Book Antiqua" w:cs="Arial"/>
        </w:rPr>
        <w:t xml:space="preserve"> quotes</w:t>
      </w:r>
      <w:r w:rsidR="006C6ABF">
        <w:rPr>
          <w:rFonts w:ascii="Book Antiqua" w:hAnsi="Book Antiqua" w:cs="Arial"/>
        </w:rPr>
        <w:t xml:space="preserve"> extracts of background evidence that</w:t>
      </w:r>
      <w:r w:rsidR="00CE6513">
        <w:rPr>
          <w:rFonts w:ascii="Book Antiqua" w:hAnsi="Book Antiqua" w:cs="Arial"/>
        </w:rPr>
        <w:t xml:space="preserve"> relate to the issue of sufficiency of protection and thus</w:t>
      </w:r>
      <w:r w:rsidR="008374C5">
        <w:rPr>
          <w:rFonts w:ascii="Book Antiqua" w:hAnsi="Book Antiqua" w:cs="Arial"/>
        </w:rPr>
        <w:t xml:space="preserve"> I find that</w:t>
      </w:r>
      <w:r w:rsidR="00CE6513">
        <w:rPr>
          <w:rFonts w:ascii="Book Antiqua" w:hAnsi="Book Antiqua" w:cs="Arial"/>
        </w:rPr>
        <w:t xml:space="preserve"> the reference to internal </w:t>
      </w:r>
      <w:r w:rsidR="00B75238">
        <w:rPr>
          <w:rFonts w:ascii="Book Antiqua" w:hAnsi="Book Antiqua" w:cs="Arial"/>
        </w:rPr>
        <w:t>relocation</w:t>
      </w:r>
      <w:r w:rsidR="00CE6513">
        <w:rPr>
          <w:rFonts w:ascii="Book Antiqua" w:hAnsi="Book Antiqua" w:cs="Arial"/>
        </w:rPr>
        <w:t xml:space="preserve"> in the grounds is mi</w:t>
      </w:r>
      <w:r w:rsidR="006C6ABF">
        <w:rPr>
          <w:rFonts w:ascii="Book Antiqua" w:hAnsi="Book Antiqua" w:cs="Arial"/>
        </w:rPr>
        <w:t>sconceived. I am reinforced</w:t>
      </w:r>
      <w:r w:rsidR="00CE6513">
        <w:rPr>
          <w:rFonts w:ascii="Book Antiqua" w:hAnsi="Book Antiqua" w:cs="Arial"/>
        </w:rPr>
        <w:t xml:space="preserve"> in</w:t>
      </w:r>
      <w:r w:rsidR="006C6ABF">
        <w:rPr>
          <w:rFonts w:ascii="Book Antiqua" w:hAnsi="Book Antiqua" w:cs="Arial"/>
        </w:rPr>
        <w:t xml:space="preserve"> this</w:t>
      </w:r>
      <w:r w:rsidR="00CE6513">
        <w:rPr>
          <w:rFonts w:ascii="Book Antiqua" w:hAnsi="Book Antiqua" w:cs="Arial"/>
        </w:rPr>
        <w:t xml:space="preserve"> view by the terms of the grant of permission to appeal</w:t>
      </w:r>
      <w:r w:rsidR="005722E9">
        <w:rPr>
          <w:rFonts w:ascii="Book Antiqua" w:hAnsi="Book Antiqua" w:cs="Arial"/>
        </w:rPr>
        <w:t xml:space="preserve"> itself. Judge Ransley </w:t>
      </w:r>
      <w:r w:rsidR="00CE6513">
        <w:rPr>
          <w:rFonts w:ascii="Book Antiqua" w:hAnsi="Book Antiqua" w:cs="Arial"/>
        </w:rPr>
        <w:t xml:space="preserve">stated in the </w:t>
      </w:r>
      <w:r w:rsidR="006C6ABF">
        <w:rPr>
          <w:rFonts w:ascii="Book Antiqua" w:hAnsi="Book Antiqua" w:cs="Arial"/>
        </w:rPr>
        <w:t>opening paragraph of his grant that</w:t>
      </w:r>
      <w:proofErr w:type="gramStart"/>
      <w:r w:rsidR="00CE6513">
        <w:rPr>
          <w:rFonts w:ascii="Book Antiqua" w:hAnsi="Book Antiqua" w:cs="Arial"/>
        </w:rPr>
        <w:t>:</w:t>
      </w:r>
      <w:r w:rsidR="006C6ABF">
        <w:rPr>
          <w:rFonts w:ascii="Book Antiqua" w:hAnsi="Book Antiqua" w:cs="Arial"/>
        </w:rPr>
        <w:t xml:space="preserve"> </w:t>
      </w:r>
      <w:r w:rsidR="00CE6513">
        <w:rPr>
          <w:rFonts w:ascii="Book Antiqua" w:hAnsi="Book Antiqua" w:cs="Arial"/>
        </w:rPr>
        <w:t>”The</w:t>
      </w:r>
      <w:proofErr w:type="gramEnd"/>
      <w:r w:rsidR="00CE6513">
        <w:rPr>
          <w:rFonts w:ascii="Book Antiqua" w:hAnsi="Book Antiqua" w:cs="Arial"/>
        </w:rPr>
        <w:t xml:space="preserve"> Ground of application challenges the Judge’s findings that there is insufficient state protection for the appellant on return to </w:t>
      </w:r>
      <w:r w:rsidR="00B75238">
        <w:rPr>
          <w:rFonts w:ascii="Book Antiqua" w:hAnsi="Book Antiqua" w:cs="Arial"/>
        </w:rPr>
        <w:t>Albania</w:t>
      </w:r>
      <w:r w:rsidR="00CE6513">
        <w:rPr>
          <w:rFonts w:ascii="Book Antiqua" w:hAnsi="Book Antiqua" w:cs="Arial"/>
        </w:rPr>
        <w:t>.</w:t>
      </w:r>
      <w:r w:rsidR="004E52F9">
        <w:rPr>
          <w:rFonts w:ascii="Book Antiqua" w:hAnsi="Book Antiqua" w:cs="Arial"/>
        </w:rPr>
        <w:t>”</w:t>
      </w:r>
      <w:r w:rsidR="005722E9">
        <w:rPr>
          <w:rFonts w:ascii="Book Antiqua" w:hAnsi="Book Antiqua" w:cs="Arial"/>
        </w:rPr>
        <w:t xml:space="preserve"> I</w:t>
      </w:r>
      <w:r w:rsidR="00D43379">
        <w:rPr>
          <w:rFonts w:ascii="Book Antiqua" w:hAnsi="Book Antiqua" w:cs="Arial"/>
        </w:rPr>
        <w:t xml:space="preserve"> thus find that the r</w:t>
      </w:r>
      <w:r w:rsidR="005722E9">
        <w:rPr>
          <w:rFonts w:ascii="Book Antiqua" w:hAnsi="Book Antiqua" w:cs="Arial"/>
        </w:rPr>
        <w:t>espondent’s challenge was limited to the issue of sufficiency of protection.</w:t>
      </w:r>
      <w:r w:rsidR="004165A0">
        <w:rPr>
          <w:rFonts w:ascii="Book Antiqua" w:hAnsi="Book Antiqua" w:cs="Arial"/>
        </w:rPr>
        <w:t xml:space="preserve"> There was no application to amend the grounds to include t</w:t>
      </w:r>
      <w:r w:rsidR="003C07B6">
        <w:rPr>
          <w:rFonts w:ascii="Book Antiqua" w:hAnsi="Book Antiqua" w:cs="Arial"/>
        </w:rPr>
        <w:t>he issue of internal relocation</w:t>
      </w:r>
      <w:r w:rsidR="004165A0">
        <w:rPr>
          <w:rFonts w:ascii="Book Antiqua" w:hAnsi="Book Antiqua" w:cs="Arial"/>
        </w:rPr>
        <w:t xml:space="preserve"> but</w:t>
      </w:r>
      <w:r w:rsidR="003C07B6">
        <w:rPr>
          <w:rFonts w:ascii="Book Antiqua" w:hAnsi="Book Antiqua" w:cs="Arial"/>
        </w:rPr>
        <w:t>,</w:t>
      </w:r>
      <w:r w:rsidR="004165A0">
        <w:rPr>
          <w:rFonts w:ascii="Book Antiqua" w:hAnsi="Book Antiqua" w:cs="Arial"/>
        </w:rPr>
        <w:t xml:space="preserve"> </w:t>
      </w:r>
      <w:proofErr w:type="gramStart"/>
      <w:r w:rsidR="004165A0">
        <w:rPr>
          <w:rFonts w:ascii="Book Antiqua" w:hAnsi="Book Antiqua" w:cs="Arial"/>
        </w:rPr>
        <w:t>i</w:t>
      </w:r>
      <w:r w:rsidR="006C6ABF">
        <w:rPr>
          <w:rFonts w:ascii="Book Antiqua" w:hAnsi="Book Antiqua" w:cs="Arial"/>
        </w:rPr>
        <w:t>n the event that</w:t>
      </w:r>
      <w:proofErr w:type="gramEnd"/>
      <w:r w:rsidR="006C6ABF">
        <w:rPr>
          <w:rFonts w:ascii="Book Antiqua" w:hAnsi="Book Antiqua" w:cs="Arial"/>
        </w:rPr>
        <w:t xml:space="preserve"> I </w:t>
      </w:r>
      <w:r w:rsidR="003C07B6">
        <w:rPr>
          <w:rFonts w:ascii="Book Antiqua" w:hAnsi="Book Antiqua" w:cs="Arial"/>
        </w:rPr>
        <w:t>am wrong</w:t>
      </w:r>
      <w:r w:rsidR="004165A0">
        <w:rPr>
          <w:rFonts w:ascii="Book Antiqua" w:hAnsi="Book Antiqua" w:cs="Arial"/>
        </w:rPr>
        <w:t xml:space="preserve"> about the limited scope of the grounds</w:t>
      </w:r>
      <w:r w:rsidR="006C6ABF">
        <w:rPr>
          <w:rFonts w:ascii="Book Antiqua" w:hAnsi="Book Antiqua" w:cs="Arial"/>
        </w:rPr>
        <w:t>, I will for the sake of completeness</w:t>
      </w:r>
      <w:r w:rsidR="004165A0">
        <w:rPr>
          <w:rFonts w:ascii="Book Antiqua" w:hAnsi="Book Antiqua" w:cs="Arial"/>
        </w:rPr>
        <w:t>,</w:t>
      </w:r>
      <w:r w:rsidR="006C6ABF">
        <w:rPr>
          <w:rFonts w:ascii="Book Antiqua" w:hAnsi="Book Antiqua" w:cs="Arial"/>
        </w:rPr>
        <w:t xml:space="preserve"> deal with the judge’s </w:t>
      </w:r>
      <w:r w:rsidR="00736491">
        <w:rPr>
          <w:rFonts w:ascii="Book Antiqua" w:hAnsi="Book Antiqua" w:cs="Arial"/>
        </w:rPr>
        <w:t xml:space="preserve">consideration of internal </w:t>
      </w:r>
      <w:r w:rsidR="00B75238">
        <w:rPr>
          <w:rFonts w:ascii="Book Antiqua" w:hAnsi="Book Antiqua" w:cs="Arial"/>
        </w:rPr>
        <w:t>relocation</w:t>
      </w:r>
      <w:r w:rsidR="006C6ABF">
        <w:rPr>
          <w:rFonts w:ascii="Book Antiqua" w:hAnsi="Book Antiqua" w:cs="Arial"/>
        </w:rPr>
        <w:t xml:space="preserve"> below. </w:t>
      </w:r>
    </w:p>
    <w:p w:rsidR="00D73C9D" w:rsidRDefault="00D73C9D" w:rsidP="0083447E">
      <w:pPr>
        <w:jc w:val="both"/>
        <w:rPr>
          <w:rFonts w:ascii="Book Antiqua" w:hAnsi="Book Antiqua" w:cs="Arial"/>
        </w:rPr>
      </w:pPr>
    </w:p>
    <w:p w:rsidR="004C186E" w:rsidRDefault="00D757AA" w:rsidP="00D73C9D">
      <w:pPr>
        <w:ind w:left="567" w:hanging="567"/>
        <w:jc w:val="both"/>
        <w:rPr>
          <w:rFonts w:ascii="Book Antiqua" w:hAnsi="Book Antiqua" w:cs="Arial"/>
        </w:rPr>
      </w:pPr>
      <w:r>
        <w:rPr>
          <w:rFonts w:ascii="Book Antiqua" w:hAnsi="Book Antiqua" w:cs="Arial"/>
        </w:rPr>
        <w:t>13</w:t>
      </w:r>
      <w:r w:rsidR="00D73C9D">
        <w:rPr>
          <w:rFonts w:ascii="Book Antiqua" w:hAnsi="Book Antiqua" w:cs="Arial"/>
        </w:rPr>
        <w:t>.</w:t>
      </w:r>
      <w:r w:rsidR="00D73C9D">
        <w:rPr>
          <w:rFonts w:ascii="Book Antiqua" w:hAnsi="Book Antiqua" w:cs="Arial"/>
        </w:rPr>
        <w:tab/>
      </w:r>
      <w:r w:rsidR="00ED0914">
        <w:rPr>
          <w:rFonts w:ascii="Book Antiqua" w:hAnsi="Book Antiqua" w:cs="Arial"/>
        </w:rPr>
        <w:t>The judge at [44]</w:t>
      </w:r>
      <w:r w:rsidR="00E74457">
        <w:rPr>
          <w:rFonts w:ascii="Book Antiqua" w:hAnsi="Book Antiqua" w:cs="Arial"/>
        </w:rPr>
        <w:t xml:space="preserve"> referred</w:t>
      </w:r>
      <w:r w:rsidR="00ED0914">
        <w:rPr>
          <w:rFonts w:ascii="Book Antiqua" w:hAnsi="Book Antiqua" w:cs="Arial"/>
        </w:rPr>
        <w:t xml:space="preserve"> to the principles set out in </w:t>
      </w:r>
      <w:r w:rsidR="00ED0914" w:rsidRPr="003C07B6">
        <w:rPr>
          <w:rFonts w:ascii="Book Antiqua" w:hAnsi="Book Antiqua" w:cs="Arial"/>
          <w:b/>
        </w:rPr>
        <w:t>AT (Guinea) v SSHD [2006] EWCA Civ 1889</w:t>
      </w:r>
      <w:r w:rsidR="00E74457" w:rsidRPr="003C07B6">
        <w:rPr>
          <w:rFonts w:ascii="Book Antiqua" w:hAnsi="Book Antiqua" w:cs="Arial"/>
          <w:b/>
        </w:rPr>
        <w:t xml:space="preserve"> </w:t>
      </w:r>
      <w:r w:rsidR="00E74457">
        <w:rPr>
          <w:rFonts w:ascii="Book Antiqua" w:hAnsi="Book Antiqua" w:cs="Arial"/>
        </w:rPr>
        <w:t>and correctly identifi</w:t>
      </w:r>
      <w:r w:rsidR="00ED0914">
        <w:rPr>
          <w:rFonts w:ascii="Book Antiqua" w:hAnsi="Book Antiqua" w:cs="Arial"/>
        </w:rPr>
        <w:t xml:space="preserve">ed that “it is the duty of an Immigration judge to give reasons for a decision and that this does not entail a requirement to deal expressly with every point, but to demonstrate that a duty has been discharged to ensure that parties to a decision understand why one had won, and the other has </w:t>
      </w:r>
      <w:r w:rsidR="00B75238">
        <w:rPr>
          <w:rFonts w:ascii="Book Antiqua" w:hAnsi="Book Antiqua" w:cs="Arial"/>
        </w:rPr>
        <w:t>lost</w:t>
      </w:r>
      <w:r w:rsidR="00ED0914">
        <w:rPr>
          <w:rFonts w:ascii="Book Antiqua" w:hAnsi="Book Antiqua" w:cs="Arial"/>
        </w:rPr>
        <w:t>.”</w:t>
      </w:r>
    </w:p>
    <w:p w:rsidR="004C186E" w:rsidRDefault="004C186E" w:rsidP="00ED0914">
      <w:pPr>
        <w:ind w:left="567" w:hanging="567"/>
        <w:jc w:val="both"/>
        <w:rPr>
          <w:rFonts w:ascii="Book Antiqua" w:hAnsi="Book Antiqua" w:cs="Arial"/>
        </w:rPr>
      </w:pPr>
    </w:p>
    <w:p w:rsidR="00ED0914" w:rsidRDefault="00D757AA" w:rsidP="00ED0914">
      <w:pPr>
        <w:ind w:left="567" w:hanging="567"/>
        <w:jc w:val="both"/>
        <w:rPr>
          <w:rFonts w:ascii="Book Antiqua" w:hAnsi="Book Antiqua" w:cs="Arial"/>
        </w:rPr>
      </w:pPr>
      <w:r>
        <w:rPr>
          <w:rFonts w:ascii="Book Antiqua" w:hAnsi="Book Antiqua" w:cs="Arial"/>
        </w:rPr>
        <w:t>14</w:t>
      </w:r>
      <w:r w:rsidR="00D73C9D">
        <w:rPr>
          <w:rFonts w:ascii="Book Antiqua" w:hAnsi="Book Antiqua" w:cs="Arial"/>
        </w:rPr>
        <w:t>.</w:t>
      </w:r>
      <w:r w:rsidR="00D73C9D">
        <w:rPr>
          <w:rFonts w:ascii="Book Antiqua" w:hAnsi="Book Antiqua" w:cs="Arial"/>
        </w:rPr>
        <w:tab/>
      </w:r>
      <w:r w:rsidR="004C186E">
        <w:rPr>
          <w:rFonts w:ascii="Book Antiqua" w:hAnsi="Book Antiqua" w:cs="Arial"/>
        </w:rPr>
        <w:t>In my judgement, the judge discharged that duty</w:t>
      </w:r>
      <w:r w:rsidR="00B03B93">
        <w:rPr>
          <w:rFonts w:ascii="Book Antiqua" w:hAnsi="Book Antiqua" w:cs="Arial"/>
        </w:rPr>
        <w:t>.</w:t>
      </w:r>
      <w:r w:rsidR="00EC569C">
        <w:rPr>
          <w:rFonts w:ascii="Book Antiqua" w:hAnsi="Book Antiqua" w:cs="Arial"/>
        </w:rPr>
        <w:t xml:space="preserve"> </w:t>
      </w:r>
      <w:r w:rsidR="00217F78">
        <w:rPr>
          <w:rFonts w:ascii="Book Antiqua" w:hAnsi="Book Antiqua" w:cs="Arial"/>
        </w:rPr>
        <w:t xml:space="preserve">The issue of sufficiency of protection </w:t>
      </w:r>
      <w:r w:rsidR="0091427D">
        <w:rPr>
          <w:rFonts w:ascii="Book Antiqua" w:hAnsi="Book Antiqua" w:cs="Arial"/>
        </w:rPr>
        <w:t>is</w:t>
      </w:r>
      <w:r w:rsidR="00656AC4">
        <w:rPr>
          <w:rFonts w:ascii="Book Antiqua" w:hAnsi="Book Antiqua" w:cs="Arial"/>
        </w:rPr>
        <w:t xml:space="preserve"> highly fact-sensitive</w:t>
      </w:r>
      <w:r w:rsidR="00217F78">
        <w:rPr>
          <w:rFonts w:ascii="Book Antiqua" w:hAnsi="Book Antiqua" w:cs="Arial"/>
        </w:rPr>
        <w:t xml:space="preserve">. The background evidence referred to at §84 </w:t>
      </w:r>
      <w:r w:rsidR="00656AC4">
        <w:rPr>
          <w:rFonts w:ascii="Book Antiqua" w:hAnsi="Book Antiqua" w:cs="Arial"/>
        </w:rPr>
        <w:t xml:space="preserve">of the refusal letter </w:t>
      </w:r>
      <w:r w:rsidR="00B75238">
        <w:rPr>
          <w:rFonts w:ascii="Book Antiqua" w:hAnsi="Book Antiqua" w:cs="Arial"/>
        </w:rPr>
        <w:t>clearly</w:t>
      </w:r>
      <w:r w:rsidR="00217F78">
        <w:rPr>
          <w:rFonts w:ascii="Book Antiqua" w:hAnsi="Book Antiqua" w:cs="Arial"/>
        </w:rPr>
        <w:t xml:space="preserve"> relate to that issue. That evidence referred to the government’s increased efforts in enforcing anti-trafficking laws and the prevention of trafficking, the number of </w:t>
      </w:r>
      <w:r w:rsidR="00B75238">
        <w:rPr>
          <w:rFonts w:ascii="Book Antiqua" w:hAnsi="Book Antiqua" w:cs="Arial"/>
        </w:rPr>
        <w:t>prosecutions</w:t>
      </w:r>
      <w:r w:rsidR="00217F78">
        <w:rPr>
          <w:rFonts w:ascii="Book Antiqua" w:hAnsi="Book Antiqua" w:cs="Arial"/>
        </w:rPr>
        <w:t xml:space="preserve"> that had to date taken place and the training provided to the judiciary and law enforcement officials. There was further </w:t>
      </w:r>
      <w:r w:rsidR="00B75238">
        <w:rPr>
          <w:rFonts w:ascii="Book Antiqua" w:hAnsi="Book Antiqua" w:cs="Arial"/>
        </w:rPr>
        <w:t>reference</w:t>
      </w:r>
      <w:r w:rsidR="00217F78">
        <w:rPr>
          <w:rFonts w:ascii="Book Antiqua" w:hAnsi="Book Antiqua" w:cs="Arial"/>
        </w:rPr>
        <w:t xml:space="preserve"> to the support available to victims of trafficking and indeed the inadequacies of such facilities. </w:t>
      </w:r>
    </w:p>
    <w:p w:rsidR="00290494" w:rsidRDefault="00290494" w:rsidP="00ED0914">
      <w:pPr>
        <w:ind w:left="567" w:hanging="567"/>
        <w:jc w:val="both"/>
        <w:rPr>
          <w:rFonts w:ascii="Book Antiqua" w:hAnsi="Book Antiqua" w:cs="Arial"/>
        </w:rPr>
      </w:pPr>
    </w:p>
    <w:p w:rsidR="00F32EAD" w:rsidRDefault="00D757AA" w:rsidP="000B6909">
      <w:pPr>
        <w:ind w:left="567" w:hanging="567"/>
        <w:jc w:val="both"/>
        <w:rPr>
          <w:rFonts w:ascii="Book Antiqua" w:hAnsi="Book Antiqua" w:cs="Arial"/>
        </w:rPr>
      </w:pPr>
      <w:r>
        <w:rPr>
          <w:rFonts w:ascii="Book Antiqua" w:hAnsi="Book Antiqua" w:cs="Arial"/>
        </w:rPr>
        <w:t>15</w:t>
      </w:r>
      <w:r w:rsidR="00D73C9D">
        <w:rPr>
          <w:rFonts w:ascii="Book Antiqua" w:hAnsi="Book Antiqua" w:cs="Arial"/>
        </w:rPr>
        <w:t>.</w:t>
      </w:r>
      <w:r w:rsidR="00D73C9D">
        <w:rPr>
          <w:rFonts w:ascii="Book Antiqua" w:hAnsi="Book Antiqua" w:cs="Arial"/>
        </w:rPr>
        <w:tab/>
      </w:r>
      <w:r w:rsidR="00A838C2">
        <w:rPr>
          <w:rFonts w:ascii="Book Antiqua" w:hAnsi="Book Antiqua" w:cs="Arial"/>
        </w:rPr>
        <w:t>The</w:t>
      </w:r>
      <w:r w:rsidR="00656AC4">
        <w:rPr>
          <w:rFonts w:ascii="Book Antiqua" w:hAnsi="Book Antiqua" w:cs="Arial"/>
        </w:rPr>
        <w:t xml:space="preserve"> relevant</w:t>
      </w:r>
      <w:r w:rsidR="00A838C2">
        <w:rPr>
          <w:rFonts w:ascii="Book Antiqua" w:hAnsi="Book Antiqua" w:cs="Arial"/>
        </w:rPr>
        <w:t xml:space="preserve"> question, in my judgement, is whether the judge reached a conclusion that</w:t>
      </w:r>
      <w:r w:rsidR="00656AC4">
        <w:rPr>
          <w:rFonts w:ascii="Book Antiqua" w:hAnsi="Book Antiqua" w:cs="Arial"/>
        </w:rPr>
        <w:t xml:space="preserve"> was open to him on </w:t>
      </w:r>
      <w:r w:rsidR="00A838C2">
        <w:rPr>
          <w:rFonts w:ascii="Book Antiqua" w:hAnsi="Book Antiqua" w:cs="Arial"/>
        </w:rPr>
        <w:t>the evidence that was before him.</w:t>
      </w:r>
      <w:r w:rsidR="00A838C2" w:rsidRPr="00A838C2">
        <w:rPr>
          <w:rFonts w:ascii="Book Antiqua" w:hAnsi="Book Antiqua" w:cs="Arial"/>
        </w:rPr>
        <w:t xml:space="preserve"> </w:t>
      </w:r>
      <w:r w:rsidR="00A838C2">
        <w:rPr>
          <w:rFonts w:ascii="Book Antiqua" w:hAnsi="Book Antiqua" w:cs="Arial"/>
        </w:rPr>
        <w:t xml:space="preserve">The judge’s failure to directly refer to the evidence contained at </w:t>
      </w:r>
      <w:r w:rsidR="00656AC4">
        <w:rPr>
          <w:rFonts w:ascii="Book Antiqua" w:hAnsi="Book Antiqua" w:cs="Arial"/>
        </w:rPr>
        <w:t>§</w:t>
      </w:r>
      <w:r w:rsidR="00A838C2">
        <w:rPr>
          <w:rFonts w:ascii="Book Antiqua" w:hAnsi="Book Antiqua" w:cs="Arial"/>
        </w:rPr>
        <w:t>84 is not in itself an error</w:t>
      </w:r>
      <w:r w:rsidR="00656AC4">
        <w:rPr>
          <w:rFonts w:ascii="Book Antiqua" w:hAnsi="Book Antiqua" w:cs="Arial"/>
        </w:rPr>
        <w:t>,</w:t>
      </w:r>
      <w:r w:rsidR="00A838C2">
        <w:rPr>
          <w:rFonts w:ascii="Book Antiqua" w:hAnsi="Book Antiqua" w:cs="Arial"/>
        </w:rPr>
        <w:t xml:space="preserve"> and the respondent has not shown </w:t>
      </w:r>
      <w:r w:rsidR="00F32EAD">
        <w:rPr>
          <w:rFonts w:ascii="Book Antiqua" w:hAnsi="Book Antiqua" w:cs="Arial"/>
        </w:rPr>
        <w:t>that the judge failed to consider the substance of t</w:t>
      </w:r>
      <w:r w:rsidR="00656AC4">
        <w:rPr>
          <w:rFonts w:ascii="Book Antiqua" w:hAnsi="Book Antiqua" w:cs="Arial"/>
        </w:rPr>
        <w:t xml:space="preserve">he evidence contained therein. </w:t>
      </w:r>
      <w:r w:rsidR="00F32EAD">
        <w:rPr>
          <w:rFonts w:ascii="Book Antiqua" w:hAnsi="Book Antiqua" w:cs="Arial"/>
        </w:rPr>
        <w:t xml:space="preserve">The difficulty with the respondent’s complaint, as </w:t>
      </w:r>
      <w:r w:rsidR="00F32EAD">
        <w:rPr>
          <w:rFonts w:ascii="Book Antiqua" w:hAnsi="Book Antiqua" w:cs="Arial"/>
        </w:rPr>
        <w:lastRenderedPageBreak/>
        <w:t>properly acknowledged by Mr Lindsay, is that the extracts quoted at §84, taken from the 2016 USSD report, is no different in its content to the USSD 2014 report considered</w:t>
      </w:r>
      <w:r w:rsidR="00251DE1">
        <w:rPr>
          <w:rFonts w:ascii="Book Antiqua" w:hAnsi="Book Antiqua" w:cs="Arial"/>
        </w:rPr>
        <w:t xml:space="preserve"> by the </w:t>
      </w:r>
      <w:r w:rsidR="00B75238">
        <w:rPr>
          <w:rFonts w:ascii="Book Antiqua" w:hAnsi="Book Antiqua" w:cs="Arial"/>
        </w:rPr>
        <w:t>Tribunal</w:t>
      </w:r>
      <w:r w:rsidR="000B6909">
        <w:rPr>
          <w:rFonts w:ascii="Book Antiqua" w:hAnsi="Book Antiqua" w:cs="Arial"/>
        </w:rPr>
        <w:t xml:space="preserve"> in </w:t>
      </w:r>
      <w:r w:rsidR="000B6909" w:rsidRPr="00656AC4">
        <w:rPr>
          <w:rFonts w:ascii="Book Antiqua" w:hAnsi="Book Antiqua" w:cs="Arial"/>
          <w:b/>
        </w:rPr>
        <w:t>TD and AD</w:t>
      </w:r>
      <w:r w:rsidR="000B6909">
        <w:rPr>
          <w:rFonts w:ascii="Book Antiqua" w:hAnsi="Book Antiqua" w:cs="Arial"/>
        </w:rPr>
        <w:t xml:space="preserve">, which the judge considered at [55] to [56]. </w:t>
      </w:r>
      <w:r w:rsidR="00F32EAD">
        <w:rPr>
          <w:rFonts w:ascii="Book Antiqua" w:hAnsi="Book Antiqua" w:cs="Arial"/>
        </w:rPr>
        <w:t xml:space="preserve">Mr Collins </w:t>
      </w:r>
      <w:r w:rsidR="00656AC4">
        <w:rPr>
          <w:rFonts w:ascii="Book Antiqua" w:hAnsi="Book Antiqua" w:cs="Arial"/>
        </w:rPr>
        <w:t xml:space="preserve">further </w:t>
      </w:r>
      <w:r w:rsidR="00F32EAD">
        <w:rPr>
          <w:rFonts w:ascii="Book Antiqua" w:hAnsi="Book Antiqua" w:cs="Arial"/>
        </w:rPr>
        <w:t>pointed out that the most recent</w:t>
      </w:r>
      <w:r w:rsidR="00A70574">
        <w:rPr>
          <w:rFonts w:ascii="Book Antiqua" w:hAnsi="Book Antiqua" w:cs="Arial"/>
        </w:rPr>
        <w:t xml:space="preserve"> USSD</w:t>
      </w:r>
      <w:r w:rsidR="00F32EAD">
        <w:rPr>
          <w:rFonts w:ascii="Book Antiqua" w:hAnsi="Book Antiqua" w:cs="Arial"/>
        </w:rPr>
        <w:t xml:space="preserve"> report of 2017 was also before the </w:t>
      </w:r>
      <w:r w:rsidR="00656AC4">
        <w:rPr>
          <w:rFonts w:ascii="Book Antiqua" w:hAnsi="Book Antiqua" w:cs="Arial"/>
        </w:rPr>
        <w:t>judge and</w:t>
      </w:r>
      <w:r w:rsidR="00F32EAD">
        <w:rPr>
          <w:rFonts w:ascii="Book Antiqua" w:hAnsi="Book Antiqua" w:cs="Arial"/>
        </w:rPr>
        <w:t xml:space="preserve"> couched in identical terms.</w:t>
      </w:r>
    </w:p>
    <w:p w:rsidR="000B6909" w:rsidRDefault="000B6909" w:rsidP="000B6909">
      <w:pPr>
        <w:ind w:left="567" w:hanging="567"/>
        <w:jc w:val="both"/>
        <w:rPr>
          <w:rFonts w:ascii="Book Antiqua" w:hAnsi="Book Antiqua" w:cs="Arial"/>
        </w:rPr>
      </w:pPr>
    </w:p>
    <w:p w:rsidR="000B6909" w:rsidRDefault="00D757AA" w:rsidP="000B6909">
      <w:pPr>
        <w:ind w:left="567" w:hanging="567"/>
        <w:jc w:val="both"/>
        <w:rPr>
          <w:rFonts w:ascii="Book Antiqua" w:hAnsi="Book Antiqua" w:cs="Arial"/>
        </w:rPr>
      </w:pPr>
      <w:r>
        <w:rPr>
          <w:rFonts w:ascii="Book Antiqua" w:hAnsi="Book Antiqua" w:cs="Arial"/>
        </w:rPr>
        <w:t>16</w:t>
      </w:r>
      <w:r w:rsidR="00D73C9D">
        <w:rPr>
          <w:rFonts w:ascii="Book Antiqua" w:hAnsi="Book Antiqua" w:cs="Arial"/>
        </w:rPr>
        <w:t>.</w:t>
      </w:r>
      <w:r w:rsidR="00D73C9D">
        <w:rPr>
          <w:rFonts w:ascii="Book Antiqua" w:hAnsi="Book Antiqua" w:cs="Arial"/>
        </w:rPr>
        <w:tab/>
      </w:r>
      <w:r w:rsidR="00357B8C">
        <w:rPr>
          <w:rFonts w:ascii="Book Antiqua" w:hAnsi="Book Antiqua" w:cs="Arial"/>
        </w:rPr>
        <w:t>In the circumstances, I consider that it is</w:t>
      </w:r>
      <w:r w:rsidR="000B6909">
        <w:rPr>
          <w:rFonts w:ascii="Book Antiqua" w:hAnsi="Book Antiqua" w:cs="Arial"/>
        </w:rPr>
        <w:t xml:space="preserve"> simpl</w:t>
      </w:r>
      <w:r w:rsidR="00357B8C">
        <w:rPr>
          <w:rFonts w:ascii="Book Antiqua" w:hAnsi="Book Antiqua" w:cs="Arial"/>
        </w:rPr>
        <w:t>y misguided</w:t>
      </w:r>
      <w:r w:rsidR="000B6909">
        <w:rPr>
          <w:rFonts w:ascii="Book Antiqua" w:hAnsi="Book Antiqua" w:cs="Arial"/>
        </w:rPr>
        <w:t xml:space="preserve"> for the respondent to assert that the judge failed to take that evidence into account. He did not. </w:t>
      </w:r>
      <w:r w:rsidR="00357B8C">
        <w:rPr>
          <w:rFonts w:ascii="Book Antiqua" w:hAnsi="Book Antiqua" w:cs="Arial"/>
        </w:rPr>
        <w:t xml:space="preserve">The evidence relied upon by the respondent was not determinative of the issue of sufficiency of protection. </w:t>
      </w:r>
      <w:r w:rsidR="000B6909">
        <w:rPr>
          <w:rFonts w:ascii="Book Antiqua" w:hAnsi="Book Antiqua" w:cs="Arial"/>
        </w:rPr>
        <w:t xml:space="preserve">Moreover, </w:t>
      </w:r>
      <w:r w:rsidR="00357B8C">
        <w:rPr>
          <w:rFonts w:ascii="Book Antiqua" w:hAnsi="Book Antiqua" w:cs="Arial"/>
        </w:rPr>
        <w:t>I note that the evidence at §</w:t>
      </w:r>
      <w:r w:rsidR="000B6909">
        <w:rPr>
          <w:rFonts w:ascii="Book Antiqua" w:hAnsi="Book Antiqua" w:cs="Arial"/>
        </w:rPr>
        <w:t>84 is no differe</w:t>
      </w:r>
      <w:r w:rsidR="00AC0621">
        <w:rPr>
          <w:rFonts w:ascii="Book Antiqua" w:hAnsi="Book Antiqua" w:cs="Arial"/>
        </w:rPr>
        <w:t xml:space="preserve">nt in </w:t>
      </w:r>
      <w:r w:rsidR="000B6909">
        <w:rPr>
          <w:rFonts w:ascii="Book Antiqua" w:hAnsi="Book Antiqua" w:cs="Arial"/>
        </w:rPr>
        <w:t>terms to that set out in the respondent’s own Count</w:t>
      </w:r>
      <w:r w:rsidR="0091427D">
        <w:rPr>
          <w:rFonts w:ascii="Book Antiqua" w:hAnsi="Book Antiqua" w:cs="Arial"/>
        </w:rPr>
        <w:t>r</w:t>
      </w:r>
      <w:r w:rsidR="000B6909">
        <w:rPr>
          <w:rFonts w:ascii="Book Antiqua" w:hAnsi="Book Antiqua" w:cs="Arial"/>
        </w:rPr>
        <w:t xml:space="preserve">y Policy and </w:t>
      </w:r>
      <w:r w:rsidR="00B75238">
        <w:rPr>
          <w:rFonts w:ascii="Book Antiqua" w:hAnsi="Book Antiqua" w:cs="Arial"/>
        </w:rPr>
        <w:t>Information</w:t>
      </w:r>
      <w:r w:rsidR="000B6909">
        <w:rPr>
          <w:rFonts w:ascii="Book Antiqua" w:hAnsi="Book Antiqua" w:cs="Arial"/>
        </w:rPr>
        <w:t xml:space="preserve"> Note, which the judge specifically considered at [54]. The re</w:t>
      </w:r>
      <w:r w:rsidR="00357B8C">
        <w:rPr>
          <w:rFonts w:ascii="Book Antiqua" w:hAnsi="Book Antiqua" w:cs="Arial"/>
        </w:rPr>
        <w:t xml:space="preserve">spondent’s complaint </w:t>
      </w:r>
      <w:r w:rsidR="000B6909">
        <w:rPr>
          <w:rFonts w:ascii="Book Antiqua" w:hAnsi="Book Antiqua" w:cs="Arial"/>
        </w:rPr>
        <w:t>that the judge failed to consider t</w:t>
      </w:r>
      <w:r w:rsidR="00AC0621">
        <w:rPr>
          <w:rFonts w:ascii="Book Antiqua" w:hAnsi="Book Antiqua" w:cs="Arial"/>
        </w:rPr>
        <w:t>he evidence relied upon</w:t>
      </w:r>
      <w:r w:rsidR="000B6909">
        <w:rPr>
          <w:rFonts w:ascii="Book Antiqua" w:hAnsi="Book Antiqua" w:cs="Arial"/>
        </w:rPr>
        <w:t xml:space="preserve"> is</w:t>
      </w:r>
      <w:r w:rsidR="00357B8C">
        <w:rPr>
          <w:rFonts w:ascii="Book Antiqua" w:hAnsi="Book Antiqua" w:cs="Arial"/>
        </w:rPr>
        <w:t xml:space="preserve"> thus</w:t>
      </w:r>
      <w:r w:rsidR="000B6909">
        <w:rPr>
          <w:rFonts w:ascii="Book Antiqua" w:hAnsi="Book Antiqua" w:cs="Arial"/>
        </w:rPr>
        <w:t xml:space="preserve"> not borne out on the face of the decision. </w:t>
      </w:r>
    </w:p>
    <w:p w:rsidR="000B6909" w:rsidRDefault="000B6909" w:rsidP="000B6909">
      <w:pPr>
        <w:ind w:left="567" w:hanging="567"/>
        <w:jc w:val="both"/>
        <w:rPr>
          <w:rFonts w:ascii="Book Antiqua" w:hAnsi="Book Antiqua" w:cs="Arial"/>
        </w:rPr>
      </w:pPr>
    </w:p>
    <w:p w:rsidR="005430E1" w:rsidRDefault="00D757AA" w:rsidP="00AC0621">
      <w:pPr>
        <w:ind w:left="567" w:hanging="567"/>
        <w:jc w:val="both"/>
        <w:rPr>
          <w:rFonts w:ascii="Book Antiqua" w:hAnsi="Book Antiqua" w:cs="Arial"/>
        </w:rPr>
      </w:pPr>
      <w:r>
        <w:rPr>
          <w:rFonts w:ascii="Book Antiqua" w:hAnsi="Book Antiqua" w:cs="Arial"/>
        </w:rPr>
        <w:t>17</w:t>
      </w:r>
      <w:r w:rsidR="00D73C9D">
        <w:rPr>
          <w:rFonts w:ascii="Book Antiqua" w:hAnsi="Book Antiqua" w:cs="Arial"/>
        </w:rPr>
        <w:t>.</w:t>
      </w:r>
      <w:r w:rsidR="00D73C9D">
        <w:rPr>
          <w:rFonts w:ascii="Book Antiqua" w:hAnsi="Book Antiqua" w:cs="Arial"/>
        </w:rPr>
        <w:tab/>
      </w:r>
      <w:r w:rsidR="00AC0621">
        <w:rPr>
          <w:rFonts w:ascii="Book Antiqua" w:hAnsi="Book Antiqua" w:cs="Arial"/>
        </w:rPr>
        <w:t>In the alternative</w:t>
      </w:r>
      <w:r w:rsidR="003D7608">
        <w:rPr>
          <w:rFonts w:ascii="Book Antiqua" w:hAnsi="Book Antiqua" w:cs="Arial"/>
        </w:rPr>
        <w:t xml:space="preserve">, Mr Lindsay argued that the judge was wrong to consider </w:t>
      </w:r>
      <w:r w:rsidR="003D7608" w:rsidRPr="00AC0621">
        <w:rPr>
          <w:rFonts w:ascii="Book Antiqua" w:hAnsi="Book Antiqua" w:cs="Arial"/>
          <w:b/>
        </w:rPr>
        <w:t xml:space="preserve">TD and AD </w:t>
      </w:r>
      <w:r w:rsidR="003D7608">
        <w:rPr>
          <w:rFonts w:ascii="Book Antiqua" w:hAnsi="Book Antiqua" w:cs="Arial"/>
        </w:rPr>
        <w:t>as that decision applied to women and not men</w:t>
      </w:r>
      <w:r w:rsidR="00AC0621">
        <w:rPr>
          <w:rFonts w:ascii="Book Antiqua" w:hAnsi="Book Antiqua" w:cs="Arial"/>
        </w:rPr>
        <w:t>,</w:t>
      </w:r>
      <w:r w:rsidR="003D7608">
        <w:rPr>
          <w:rFonts w:ascii="Book Antiqua" w:hAnsi="Book Antiqua" w:cs="Arial"/>
        </w:rPr>
        <w:t xml:space="preserve"> and that his conclusion that the appellant would have no support in Tirana was not supported by the evidence</w:t>
      </w:r>
      <w:r w:rsidR="00E46856">
        <w:rPr>
          <w:rFonts w:ascii="Book Antiqua" w:hAnsi="Book Antiqua" w:cs="Arial"/>
        </w:rPr>
        <w:t xml:space="preserve">. Mr Lindsay </w:t>
      </w:r>
      <w:r w:rsidR="003D7608">
        <w:rPr>
          <w:rFonts w:ascii="Book Antiqua" w:hAnsi="Book Antiqua" w:cs="Arial"/>
        </w:rPr>
        <w:t>sou</w:t>
      </w:r>
      <w:r w:rsidR="00AC0621">
        <w:rPr>
          <w:rFonts w:ascii="Book Antiqua" w:hAnsi="Book Antiqua" w:cs="Arial"/>
        </w:rPr>
        <w:t>ght to amend the grounds to this</w:t>
      </w:r>
      <w:r w:rsidR="003D7608">
        <w:rPr>
          <w:rFonts w:ascii="Book Antiqua" w:hAnsi="Book Antiqua" w:cs="Arial"/>
        </w:rPr>
        <w:t xml:space="preserve"> effect. </w:t>
      </w:r>
      <w:r w:rsidR="005430E1">
        <w:rPr>
          <w:rFonts w:ascii="Book Antiqua" w:hAnsi="Book Antiqua" w:cs="Arial"/>
        </w:rPr>
        <w:t xml:space="preserve"> </w:t>
      </w:r>
    </w:p>
    <w:p w:rsidR="005430E1" w:rsidRDefault="005430E1" w:rsidP="007618EC">
      <w:pPr>
        <w:tabs>
          <w:tab w:val="left" w:pos="2520"/>
        </w:tabs>
        <w:jc w:val="both"/>
        <w:rPr>
          <w:rFonts w:ascii="Book Antiqua" w:hAnsi="Book Antiqua" w:cs="Arial"/>
        </w:rPr>
      </w:pPr>
    </w:p>
    <w:p w:rsidR="009A1DF7" w:rsidRDefault="00D757AA" w:rsidP="00D757AA">
      <w:pPr>
        <w:tabs>
          <w:tab w:val="left" w:pos="2520"/>
        </w:tabs>
        <w:ind w:left="567" w:hanging="567"/>
        <w:jc w:val="both"/>
        <w:rPr>
          <w:rFonts w:ascii="Book Antiqua" w:hAnsi="Book Antiqua" w:cs="Arial"/>
        </w:rPr>
      </w:pPr>
      <w:r>
        <w:rPr>
          <w:rFonts w:ascii="Book Antiqua" w:hAnsi="Book Antiqua" w:cs="Arial"/>
        </w:rPr>
        <w:t>18.</w:t>
      </w:r>
      <w:r>
        <w:rPr>
          <w:rFonts w:ascii="Book Antiqua" w:hAnsi="Book Antiqua" w:cs="Arial"/>
        </w:rPr>
        <w:tab/>
      </w:r>
      <w:r w:rsidR="00645E21">
        <w:rPr>
          <w:rFonts w:ascii="Book Antiqua" w:hAnsi="Book Antiqua" w:cs="Arial"/>
        </w:rPr>
        <w:t xml:space="preserve">I refuse permission on these grounds. </w:t>
      </w:r>
      <w:r w:rsidR="009A1DF7">
        <w:rPr>
          <w:rFonts w:ascii="Book Antiqua" w:hAnsi="Book Antiqua" w:cs="Arial"/>
        </w:rPr>
        <w:t xml:space="preserve">I find that there is no merit in the </w:t>
      </w:r>
      <w:r w:rsidR="00645E21">
        <w:rPr>
          <w:rFonts w:ascii="Book Antiqua" w:hAnsi="Book Antiqua" w:cs="Arial"/>
        </w:rPr>
        <w:t>argument that the judge</w:t>
      </w:r>
      <w:r w:rsidR="009A1DF7">
        <w:rPr>
          <w:rFonts w:ascii="Book Antiqua" w:hAnsi="Book Antiqua" w:cs="Arial"/>
        </w:rPr>
        <w:t xml:space="preserve"> fell into error in his consideration of</w:t>
      </w:r>
      <w:r w:rsidR="00645E21">
        <w:rPr>
          <w:rFonts w:ascii="Book Antiqua" w:hAnsi="Book Antiqua" w:cs="Arial"/>
        </w:rPr>
        <w:t xml:space="preserve"> the</w:t>
      </w:r>
      <w:r w:rsidR="009A1DF7">
        <w:rPr>
          <w:rFonts w:ascii="Book Antiqua" w:hAnsi="Book Antiqua" w:cs="Arial"/>
        </w:rPr>
        <w:t xml:space="preserve"> eviden</w:t>
      </w:r>
      <w:r w:rsidR="00645E21">
        <w:rPr>
          <w:rFonts w:ascii="Book Antiqua" w:hAnsi="Book Antiqua" w:cs="Arial"/>
        </w:rPr>
        <w:t>ce. In my judgement</w:t>
      </w:r>
      <w:r w:rsidR="00AC0621">
        <w:rPr>
          <w:rFonts w:ascii="Book Antiqua" w:hAnsi="Book Antiqua" w:cs="Arial"/>
        </w:rPr>
        <w:t>,</w:t>
      </w:r>
      <w:r w:rsidR="00645E21">
        <w:rPr>
          <w:rFonts w:ascii="Book Antiqua" w:hAnsi="Book Antiqua" w:cs="Arial"/>
        </w:rPr>
        <w:t xml:space="preserve"> the judge</w:t>
      </w:r>
      <w:r w:rsidR="00867B65">
        <w:rPr>
          <w:rFonts w:ascii="Book Antiqua" w:hAnsi="Book Antiqua" w:cs="Arial"/>
        </w:rPr>
        <w:t xml:space="preserve"> succinctly considered</w:t>
      </w:r>
      <w:r w:rsidR="009A1DF7">
        <w:rPr>
          <w:rFonts w:ascii="Book Antiqua" w:hAnsi="Book Antiqua" w:cs="Arial"/>
        </w:rPr>
        <w:t xml:space="preserve"> </w:t>
      </w:r>
      <w:r w:rsidR="00867B65">
        <w:rPr>
          <w:rFonts w:ascii="Book Antiqua" w:hAnsi="Book Antiqua" w:cs="Arial"/>
        </w:rPr>
        <w:t>the evidence</w:t>
      </w:r>
      <w:r w:rsidR="0091427D">
        <w:rPr>
          <w:rFonts w:ascii="Book Antiqua" w:hAnsi="Book Antiqua" w:cs="Arial"/>
        </w:rPr>
        <w:t xml:space="preserve"> and gave</w:t>
      </w:r>
      <w:r w:rsidR="009A1DF7">
        <w:rPr>
          <w:rFonts w:ascii="Book Antiqua" w:hAnsi="Book Antiqua" w:cs="Arial"/>
        </w:rPr>
        <w:t xml:space="preserve"> adequate and sustainable reasons for his conclusion. </w:t>
      </w:r>
      <w:r w:rsidR="00794DBA">
        <w:rPr>
          <w:rFonts w:ascii="Book Antiqua" w:hAnsi="Book Antiqua" w:cs="Arial"/>
        </w:rPr>
        <w:t xml:space="preserve">The judge acknowledged the </w:t>
      </w:r>
      <w:r w:rsidR="002433B2">
        <w:rPr>
          <w:rFonts w:ascii="Book Antiqua" w:hAnsi="Book Antiqua" w:cs="Arial"/>
        </w:rPr>
        <w:t>distinguishing</w:t>
      </w:r>
      <w:r w:rsidR="00794DBA">
        <w:rPr>
          <w:rFonts w:ascii="Book Antiqua" w:hAnsi="Book Antiqua" w:cs="Arial"/>
        </w:rPr>
        <w:t xml:space="preserve"> feature</w:t>
      </w:r>
      <w:r w:rsidR="002E1A65">
        <w:rPr>
          <w:rFonts w:ascii="Book Antiqua" w:hAnsi="Book Antiqua" w:cs="Arial"/>
        </w:rPr>
        <w:t xml:space="preserve"> of gender</w:t>
      </w:r>
      <w:r w:rsidR="00794DBA">
        <w:rPr>
          <w:rFonts w:ascii="Book Antiqua" w:hAnsi="Book Antiqua" w:cs="Arial"/>
        </w:rPr>
        <w:t xml:space="preserve"> in this case from that of </w:t>
      </w:r>
      <w:r w:rsidR="00273CB1" w:rsidRPr="002E1A65">
        <w:rPr>
          <w:rFonts w:ascii="Book Antiqua" w:hAnsi="Book Antiqua" w:cs="Arial"/>
          <w:b/>
        </w:rPr>
        <w:t>TD and AD</w:t>
      </w:r>
      <w:r w:rsidR="0091427D">
        <w:rPr>
          <w:rFonts w:ascii="Book Antiqua" w:hAnsi="Book Antiqua" w:cs="Arial"/>
        </w:rPr>
        <w:t xml:space="preserve"> but</w:t>
      </w:r>
      <w:r w:rsidR="00794DBA">
        <w:rPr>
          <w:rFonts w:ascii="Book Antiqua" w:hAnsi="Book Antiqua" w:cs="Arial"/>
        </w:rPr>
        <w:t xml:space="preserve"> found that the principle</w:t>
      </w:r>
      <w:r w:rsidR="00047500">
        <w:rPr>
          <w:rFonts w:ascii="Book Antiqua" w:hAnsi="Book Antiqua" w:cs="Arial"/>
        </w:rPr>
        <w:t>s</w:t>
      </w:r>
      <w:r w:rsidR="00794DBA">
        <w:rPr>
          <w:rFonts w:ascii="Book Antiqua" w:hAnsi="Book Antiqua" w:cs="Arial"/>
        </w:rPr>
        <w:t xml:space="preserve"> therein </w:t>
      </w:r>
      <w:r w:rsidR="00047500">
        <w:rPr>
          <w:rFonts w:ascii="Book Antiqua" w:hAnsi="Book Antiqua" w:cs="Arial"/>
        </w:rPr>
        <w:t>were</w:t>
      </w:r>
      <w:r w:rsidR="00794DBA">
        <w:rPr>
          <w:rFonts w:ascii="Book Antiqua" w:hAnsi="Book Antiqua" w:cs="Arial"/>
        </w:rPr>
        <w:t xml:space="preserve"> equally applicable to an </w:t>
      </w:r>
      <w:r w:rsidR="002433B2">
        <w:rPr>
          <w:rFonts w:ascii="Book Antiqua" w:hAnsi="Book Antiqua" w:cs="Arial"/>
        </w:rPr>
        <w:t>unaccompanied</w:t>
      </w:r>
      <w:r w:rsidR="00794DBA">
        <w:rPr>
          <w:rFonts w:ascii="Book Antiqua" w:hAnsi="Book Antiqua" w:cs="Arial"/>
        </w:rPr>
        <w:t xml:space="preserve"> </w:t>
      </w:r>
      <w:r w:rsidR="00047500">
        <w:rPr>
          <w:rFonts w:ascii="Book Antiqua" w:hAnsi="Book Antiqua" w:cs="Arial"/>
        </w:rPr>
        <w:t xml:space="preserve">male </w:t>
      </w:r>
      <w:r w:rsidR="00794DBA">
        <w:rPr>
          <w:rFonts w:ascii="Book Antiqua" w:hAnsi="Book Antiqua" w:cs="Arial"/>
        </w:rPr>
        <w:t xml:space="preserve">minor. Before me the </w:t>
      </w:r>
      <w:r w:rsidR="002433B2">
        <w:rPr>
          <w:rFonts w:ascii="Book Antiqua" w:hAnsi="Book Antiqua" w:cs="Arial"/>
        </w:rPr>
        <w:t>contrary</w:t>
      </w:r>
      <w:r w:rsidR="00794DBA">
        <w:rPr>
          <w:rFonts w:ascii="Book Antiqua" w:hAnsi="Book Antiqua" w:cs="Arial"/>
        </w:rPr>
        <w:t xml:space="preserve"> has not been demonstrated. </w:t>
      </w:r>
      <w:r w:rsidR="009A1DF7">
        <w:rPr>
          <w:rFonts w:ascii="Book Antiqua" w:hAnsi="Book Antiqua" w:cs="Arial"/>
        </w:rPr>
        <w:t>This line of challenge is unarguable.</w:t>
      </w:r>
    </w:p>
    <w:p w:rsidR="00357B8C" w:rsidRDefault="00357B8C" w:rsidP="00645E21">
      <w:pPr>
        <w:tabs>
          <w:tab w:val="left" w:pos="2520"/>
        </w:tabs>
        <w:jc w:val="both"/>
        <w:rPr>
          <w:rFonts w:ascii="Book Antiqua" w:hAnsi="Book Antiqua" w:cs="Arial"/>
        </w:rPr>
      </w:pPr>
    </w:p>
    <w:p w:rsidR="004165A0" w:rsidRPr="001D286E" w:rsidRDefault="00D757AA" w:rsidP="00D757AA">
      <w:pPr>
        <w:tabs>
          <w:tab w:val="left" w:pos="2520"/>
        </w:tabs>
        <w:ind w:left="567" w:hanging="567"/>
        <w:jc w:val="both"/>
        <w:rPr>
          <w:rFonts w:ascii="Book Antiqua" w:hAnsi="Book Antiqua" w:cs="Arial"/>
        </w:rPr>
      </w:pPr>
      <w:r>
        <w:rPr>
          <w:rFonts w:ascii="Book Antiqua" w:hAnsi="Book Antiqua" w:cs="Arial"/>
        </w:rPr>
        <w:t>19.</w:t>
      </w:r>
      <w:r>
        <w:rPr>
          <w:rFonts w:ascii="Book Antiqua" w:hAnsi="Book Antiqua" w:cs="Arial"/>
        </w:rPr>
        <w:tab/>
      </w:r>
      <w:r w:rsidR="009A1DF7">
        <w:rPr>
          <w:rFonts w:ascii="Book Antiqua" w:hAnsi="Book Antiqua" w:cs="Arial"/>
        </w:rPr>
        <w:t>I also consider that the further line o</w:t>
      </w:r>
      <w:r w:rsidR="00273CB1">
        <w:rPr>
          <w:rFonts w:ascii="Book Antiqua" w:hAnsi="Book Antiqua" w:cs="Arial"/>
        </w:rPr>
        <w:t>f challenge pursued by Mr Lindsay</w:t>
      </w:r>
      <w:r w:rsidR="009A1DF7">
        <w:rPr>
          <w:rFonts w:ascii="Book Antiqua" w:hAnsi="Book Antiqua" w:cs="Arial"/>
        </w:rPr>
        <w:t xml:space="preserve"> is</w:t>
      </w:r>
      <w:r w:rsidR="00047500">
        <w:rPr>
          <w:rFonts w:ascii="Book Antiqua" w:hAnsi="Book Antiqua" w:cs="Arial"/>
        </w:rPr>
        <w:t xml:space="preserve"> also</w:t>
      </w:r>
      <w:r w:rsidR="009A1DF7">
        <w:rPr>
          <w:rFonts w:ascii="Book Antiqua" w:hAnsi="Book Antiqua" w:cs="Arial"/>
        </w:rPr>
        <w:t xml:space="preserve"> unarguable.</w:t>
      </w:r>
      <w:r w:rsidR="00047500" w:rsidRPr="00047500">
        <w:rPr>
          <w:rFonts w:ascii="Book Antiqua" w:hAnsi="Book Antiqua" w:cs="Arial"/>
        </w:rPr>
        <w:t xml:space="preserve"> </w:t>
      </w:r>
      <w:r w:rsidR="00047500">
        <w:rPr>
          <w:rFonts w:ascii="Book Antiqua" w:hAnsi="Book Antiqua" w:cs="Arial"/>
        </w:rPr>
        <w:t>Mr Lindsay contended that</w:t>
      </w:r>
      <w:r w:rsidR="0091427D">
        <w:rPr>
          <w:rFonts w:ascii="Book Antiqua" w:hAnsi="Book Antiqua" w:cs="Arial"/>
        </w:rPr>
        <w:t xml:space="preserve"> the judge failed to consider §</w:t>
      </w:r>
      <w:r w:rsidR="00047500">
        <w:rPr>
          <w:rFonts w:ascii="Book Antiqua" w:hAnsi="Book Antiqua" w:cs="Arial"/>
        </w:rPr>
        <w:t xml:space="preserve">97 of the refusal letter that relied upon the appellant’s claim that he had family in Tirana. Mr Lindsay submitted that this was contrary to what the judge stated at [57] that no support network would be available in Tirana. </w:t>
      </w:r>
      <w:r w:rsidR="0091427D">
        <w:rPr>
          <w:rFonts w:ascii="Book Antiqua" w:hAnsi="Book Antiqua" w:cs="Arial"/>
        </w:rPr>
        <w:t>There is no merit in this challenge</w:t>
      </w:r>
      <w:r w:rsidR="00047500">
        <w:rPr>
          <w:rFonts w:ascii="Book Antiqua" w:hAnsi="Book Antiqua" w:cs="Arial"/>
        </w:rPr>
        <w:t xml:space="preserve">. It is misguided and fails to consider the findings of the judge. </w:t>
      </w:r>
      <w:r w:rsidR="002278C3">
        <w:rPr>
          <w:rFonts w:ascii="Book Antiqua" w:hAnsi="Book Antiqua" w:cs="Arial"/>
        </w:rPr>
        <w:t>The evidence before the judge</w:t>
      </w:r>
      <w:r w:rsidR="00047500">
        <w:rPr>
          <w:rFonts w:ascii="Book Antiqua" w:hAnsi="Book Antiqua" w:cs="Arial"/>
        </w:rPr>
        <w:t>,</w:t>
      </w:r>
      <w:r w:rsidR="002278C3">
        <w:rPr>
          <w:rFonts w:ascii="Book Antiqua" w:hAnsi="Book Antiqua" w:cs="Arial"/>
        </w:rPr>
        <w:t xml:space="preserve"> which he accepted</w:t>
      </w:r>
      <w:r w:rsidR="00047500">
        <w:rPr>
          <w:rFonts w:ascii="Book Antiqua" w:hAnsi="Book Antiqua" w:cs="Arial"/>
        </w:rPr>
        <w:t>, was</w:t>
      </w:r>
      <w:r w:rsidR="0091427D">
        <w:rPr>
          <w:rFonts w:ascii="Book Antiqua" w:hAnsi="Book Antiqua" w:cs="Arial"/>
        </w:rPr>
        <w:t xml:space="preserve"> that</w:t>
      </w:r>
      <w:r w:rsidR="00047500">
        <w:rPr>
          <w:rFonts w:ascii="Book Antiqua" w:hAnsi="Book Antiqua" w:cs="Arial"/>
        </w:rPr>
        <w:t xml:space="preserve"> the appellant’s</w:t>
      </w:r>
      <w:r w:rsidR="00C94C97">
        <w:rPr>
          <w:rFonts w:ascii="Book Antiqua" w:hAnsi="Book Antiqua" w:cs="Arial"/>
        </w:rPr>
        <w:t xml:space="preserve"> father had connections to the gang and perm</w:t>
      </w:r>
      <w:r w:rsidR="00047500">
        <w:rPr>
          <w:rFonts w:ascii="Book Antiqua" w:hAnsi="Book Antiqua" w:cs="Arial"/>
        </w:rPr>
        <w:t>itted him to wo</w:t>
      </w:r>
      <w:r w:rsidR="0091427D">
        <w:rPr>
          <w:rFonts w:ascii="Book Antiqua" w:hAnsi="Book Antiqua" w:cs="Arial"/>
        </w:rPr>
        <w:t>rk for them</w:t>
      </w:r>
      <w:r w:rsidR="00047500">
        <w:rPr>
          <w:rFonts w:ascii="Book Antiqua" w:hAnsi="Book Antiqua" w:cs="Arial"/>
        </w:rPr>
        <w:t>;</w:t>
      </w:r>
      <w:r w:rsidR="00273CB1">
        <w:rPr>
          <w:rFonts w:ascii="Book Antiqua" w:hAnsi="Book Antiqua" w:cs="Arial"/>
        </w:rPr>
        <w:t xml:space="preserve"> </w:t>
      </w:r>
      <w:r w:rsidR="00C94C97">
        <w:rPr>
          <w:rFonts w:ascii="Book Antiqua" w:hAnsi="Book Antiqua" w:cs="Arial"/>
        </w:rPr>
        <w:t xml:space="preserve">that his father would be notified of his return; </w:t>
      </w:r>
      <w:r w:rsidR="0091427D">
        <w:rPr>
          <w:rFonts w:ascii="Book Antiqua" w:hAnsi="Book Antiqua" w:cs="Arial"/>
        </w:rPr>
        <w:t xml:space="preserve">that </w:t>
      </w:r>
      <w:r w:rsidR="007236E9">
        <w:rPr>
          <w:rFonts w:ascii="Book Antiqua" w:hAnsi="Book Antiqua" w:cs="Arial"/>
        </w:rPr>
        <w:t>he did not have contact with his family;</w:t>
      </w:r>
      <w:r w:rsidR="00C7539C">
        <w:rPr>
          <w:rFonts w:ascii="Book Antiqua" w:hAnsi="Book Antiqua" w:cs="Arial"/>
        </w:rPr>
        <w:t xml:space="preserve"> his father had not sought to prevent what had happened to him</w:t>
      </w:r>
      <w:r w:rsidR="0091427D">
        <w:rPr>
          <w:rFonts w:ascii="Book Antiqua" w:hAnsi="Book Antiqua" w:cs="Arial"/>
        </w:rPr>
        <w:t>,</w:t>
      </w:r>
      <w:r w:rsidR="00C7539C">
        <w:rPr>
          <w:rFonts w:ascii="Book Antiqua" w:hAnsi="Book Antiqua" w:cs="Arial"/>
        </w:rPr>
        <w:t xml:space="preserve"> and his family advised him not to leave. </w:t>
      </w:r>
      <w:r w:rsidR="002433B2">
        <w:rPr>
          <w:rFonts w:ascii="Book Antiqua" w:hAnsi="Book Antiqua" w:cs="Arial"/>
        </w:rPr>
        <w:t>Considering</w:t>
      </w:r>
      <w:r w:rsidR="00025806">
        <w:rPr>
          <w:rFonts w:ascii="Book Antiqua" w:hAnsi="Book Antiqua" w:cs="Arial"/>
        </w:rPr>
        <w:t xml:space="preserve"> that evidence, the judge in my view was entitled to conclude that the appellant would have no network of support in Tirana. </w:t>
      </w:r>
      <w:r w:rsidR="009A1DF7">
        <w:rPr>
          <w:rFonts w:ascii="Book Antiqua" w:hAnsi="Book Antiqua" w:cs="Arial"/>
        </w:rPr>
        <w:t>To that extent e</w:t>
      </w:r>
      <w:r w:rsidR="00877ED3">
        <w:rPr>
          <w:rFonts w:ascii="Book Antiqua" w:hAnsi="Book Antiqua" w:cs="Arial"/>
        </w:rPr>
        <w:t>ven if criticism can be made for the failure to specifically consider the presence of family members in Tirana, it is ultimately immaterial to the j</w:t>
      </w:r>
      <w:r w:rsidR="009A1DF7">
        <w:rPr>
          <w:rFonts w:ascii="Book Antiqua" w:hAnsi="Book Antiqua" w:cs="Arial"/>
        </w:rPr>
        <w:t>udge’s over</w:t>
      </w:r>
      <w:r w:rsidR="00877ED3">
        <w:rPr>
          <w:rFonts w:ascii="Book Antiqua" w:hAnsi="Book Antiqua" w:cs="Arial"/>
        </w:rPr>
        <w:t>all evaluation of the</w:t>
      </w:r>
      <w:r w:rsidR="00047500">
        <w:rPr>
          <w:rFonts w:ascii="Book Antiqua" w:hAnsi="Book Antiqua" w:cs="Arial"/>
        </w:rPr>
        <w:t xml:space="preserve"> evidence.</w:t>
      </w:r>
    </w:p>
    <w:p w:rsidR="00273CB1" w:rsidRDefault="00273CB1" w:rsidP="00D73C9D">
      <w:pPr>
        <w:jc w:val="both"/>
        <w:rPr>
          <w:rFonts w:ascii="Book Antiqua" w:hAnsi="Book Antiqua" w:cs="Arial"/>
        </w:rPr>
      </w:pPr>
    </w:p>
    <w:p w:rsidR="004165A0" w:rsidRDefault="00D757AA" w:rsidP="00D757AA">
      <w:pPr>
        <w:ind w:left="567" w:hanging="567"/>
        <w:jc w:val="both"/>
        <w:rPr>
          <w:rFonts w:ascii="Book Antiqua" w:hAnsi="Book Antiqua" w:cs="Arial"/>
        </w:rPr>
      </w:pPr>
      <w:r>
        <w:rPr>
          <w:rFonts w:ascii="Book Antiqua" w:hAnsi="Book Antiqua" w:cs="Arial"/>
        </w:rPr>
        <w:t>20.</w:t>
      </w:r>
      <w:r>
        <w:rPr>
          <w:rFonts w:ascii="Book Antiqua" w:hAnsi="Book Antiqua" w:cs="Arial"/>
        </w:rPr>
        <w:tab/>
      </w:r>
      <w:r w:rsidR="00367CF1">
        <w:rPr>
          <w:rFonts w:ascii="Book Antiqua" w:hAnsi="Book Antiqua" w:cs="Arial"/>
        </w:rPr>
        <w:t>The ju</w:t>
      </w:r>
      <w:r w:rsidR="008220F3">
        <w:rPr>
          <w:rFonts w:ascii="Book Antiqua" w:hAnsi="Book Antiqua" w:cs="Arial"/>
        </w:rPr>
        <w:t xml:space="preserve">dge </w:t>
      </w:r>
      <w:r w:rsidR="002433B2">
        <w:rPr>
          <w:rFonts w:ascii="Book Antiqua" w:hAnsi="Book Antiqua" w:cs="Arial"/>
        </w:rPr>
        <w:t>accepted</w:t>
      </w:r>
      <w:r w:rsidR="008220F3">
        <w:rPr>
          <w:rFonts w:ascii="Book Antiqua" w:hAnsi="Book Antiqua" w:cs="Arial"/>
        </w:rPr>
        <w:t xml:space="preserve"> the primary facts, which he was entitled to do for the reasons he gave.</w:t>
      </w:r>
      <w:r w:rsidR="00D73C9D" w:rsidRPr="00D73C9D">
        <w:rPr>
          <w:rFonts w:ascii="Book Antiqua" w:hAnsi="Book Antiqua" w:cs="Arial"/>
        </w:rPr>
        <w:t xml:space="preserve"> </w:t>
      </w:r>
      <w:r w:rsidR="00D73C9D">
        <w:rPr>
          <w:rFonts w:ascii="Book Antiqua" w:hAnsi="Book Antiqua" w:cs="Arial"/>
        </w:rPr>
        <w:t xml:space="preserve">The judge was dealing with the circumstances of a young vulnerable appellant who had been trafficked and abused. </w:t>
      </w:r>
      <w:r w:rsidR="00873F32">
        <w:rPr>
          <w:rFonts w:ascii="Book Antiqua" w:hAnsi="Book Antiqua" w:cs="Arial"/>
        </w:rPr>
        <w:t xml:space="preserve">I see no evidence that the judge did not </w:t>
      </w:r>
      <w:r w:rsidR="00767320">
        <w:rPr>
          <w:rFonts w:ascii="Book Antiqua" w:hAnsi="Book Antiqua" w:cs="Arial"/>
        </w:rPr>
        <w:t xml:space="preserve">approach matters holistically. </w:t>
      </w:r>
      <w:r w:rsidR="00873F32">
        <w:rPr>
          <w:rFonts w:ascii="Book Antiqua" w:hAnsi="Book Antiqua" w:cs="Arial"/>
        </w:rPr>
        <w:t xml:space="preserve">The determination </w:t>
      </w:r>
      <w:r w:rsidR="007E0162">
        <w:rPr>
          <w:rFonts w:ascii="Book Antiqua" w:hAnsi="Book Antiqua" w:cs="Arial"/>
        </w:rPr>
        <w:t>must</w:t>
      </w:r>
      <w:r w:rsidR="00873F32">
        <w:rPr>
          <w:rFonts w:ascii="Book Antiqua" w:hAnsi="Book Antiqua" w:cs="Arial"/>
        </w:rPr>
        <w:t xml:space="preserve"> be </w:t>
      </w:r>
      <w:proofErr w:type="gramStart"/>
      <w:r w:rsidR="00873F32">
        <w:rPr>
          <w:rFonts w:ascii="Book Antiqua" w:hAnsi="Book Antiqua" w:cs="Arial"/>
        </w:rPr>
        <w:t>read as a whole</w:t>
      </w:r>
      <w:proofErr w:type="gramEnd"/>
      <w:r w:rsidR="00873F32">
        <w:rPr>
          <w:rFonts w:ascii="Book Antiqua" w:hAnsi="Book Antiqua" w:cs="Arial"/>
        </w:rPr>
        <w:t>.  The j</w:t>
      </w:r>
      <w:r w:rsidR="00877ED3">
        <w:rPr>
          <w:rFonts w:ascii="Book Antiqua" w:hAnsi="Book Antiqua" w:cs="Arial"/>
        </w:rPr>
        <w:t>udge had regard to the background</w:t>
      </w:r>
      <w:r w:rsidR="00873F32">
        <w:rPr>
          <w:rFonts w:ascii="Book Antiqua" w:hAnsi="Book Antiqua" w:cs="Arial"/>
        </w:rPr>
        <w:t xml:space="preserve"> evidence and directed himself in appropriate terms on legal </w:t>
      </w:r>
      <w:r w:rsidR="00873F32">
        <w:rPr>
          <w:rFonts w:ascii="Book Antiqua" w:hAnsi="Book Antiqua" w:cs="Arial"/>
        </w:rPr>
        <w:lastRenderedPageBreak/>
        <w:t>matters</w:t>
      </w:r>
      <w:r w:rsidR="00877ED3">
        <w:rPr>
          <w:rFonts w:ascii="Book Antiqua" w:hAnsi="Book Antiqua" w:cs="Arial"/>
        </w:rPr>
        <w:t>.</w:t>
      </w:r>
      <w:r w:rsidR="00873F32">
        <w:rPr>
          <w:rFonts w:ascii="Book Antiqua" w:hAnsi="Book Antiqua" w:cs="Arial"/>
        </w:rPr>
        <w:t xml:space="preserve"> </w:t>
      </w:r>
      <w:r>
        <w:rPr>
          <w:rFonts w:ascii="Book Antiqua" w:hAnsi="Book Antiqua" w:cs="Arial"/>
        </w:rPr>
        <w:t>I find that i</w:t>
      </w:r>
      <w:r w:rsidR="00873F32">
        <w:rPr>
          <w:rFonts w:ascii="Book Antiqua" w:hAnsi="Book Antiqua" w:cs="Arial"/>
        </w:rPr>
        <w:t xml:space="preserve">t was open to </w:t>
      </w:r>
      <w:r w:rsidR="0091427D">
        <w:rPr>
          <w:rFonts w:ascii="Book Antiqua" w:hAnsi="Book Antiqua" w:cs="Arial"/>
        </w:rPr>
        <w:t xml:space="preserve">the judge </w:t>
      </w:r>
      <w:r w:rsidR="00873F32">
        <w:rPr>
          <w:rFonts w:ascii="Book Antiqua" w:hAnsi="Book Antiqua" w:cs="Arial"/>
        </w:rPr>
        <w:t>to rule as he did on the issues of internal relocation a</w:t>
      </w:r>
      <w:r>
        <w:rPr>
          <w:rFonts w:ascii="Book Antiqua" w:hAnsi="Book Antiqua" w:cs="Arial"/>
        </w:rPr>
        <w:t xml:space="preserve">nd sufficiency of protection.  </w:t>
      </w:r>
    </w:p>
    <w:p w:rsidR="00873F32" w:rsidRDefault="00873F32" w:rsidP="00873F32">
      <w:pPr>
        <w:ind w:left="567" w:hanging="567"/>
        <w:jc w:val="both"/>
        <w:rPr>
          <w:rFonts w:ascii="Book Antiqua" w:hAnsi="Book Antiqua" w:cs="Arial"/>
        </w:rPr>
      </w:pPr>
    </w:p>
    <w:p w:rsidR="00873F32" w:rsidRDefault="00D757AA" w:rsidP="00873F32">
      <w:pPr>
        <w:ind w:left="567" w:hanging="567"/>
        <w:jc w:val="both"/>
        <w:rPr>
          <w:rFonts w:ascii="Book Antiqua" w:hAnsi="Book Antiqua" w:cs="Arial"/>
        </w:rPr>
      </w:pPr>
      <w:r>
        <w:rPr>
          <w:rFonts w:ascii="Book Antiqua" w:hAnsi="Book Antiqua" w:cs="Arial"/>
        </w:rPr>
        <w:t>21</w:t>
      </w:r>
      <w:r w:rsidR="00873F32">
        <w:rPr>
          <w:rFonts w:ascii="Book Antiqua" w:hAnsi="Book Antiqua" w:cs="Arial"/>
        </w:rPr>
        <w:t>.</w:t>
      </w:r>
      <w:r w:rsidR="00873F32">
        <w:rPr>
          <w:rFonts w:ascii="Book Antiqua" w:hAnsi="Book Antiqua" w:cs="Arial"/>
        </w:rPr>
        <w:tab/>
      </w:r>
      <w:r>
        <w:rPr>
          <w:rFonts w:ascii="Book Antiqua" w:hAnsi="Book Antiqua" w:cs="Arial"/>
        </w:rPr>
        <w:t>Accordingly, t</w:t>
      </w:r>
      <w:r w:rsidR="00873F32">
        <w:rPr>
          <w:rFonts w:ascii="Book Antiqua" w:hAnsi="Book Antiqua" w:cs="Arial"/>
        </w:rPr>
        <w:t>he appeal of the Secretary of State is dismissed</w:t>
      </w:r>
      <w:r w:rsidR="00653BA8">
        <w:rPr>
          <w:rFonts w:ascii="Book Antiqua" w:hAnsi="Book Antiqua" w:cs="Arial"/>
        </w:rPr>
        <w:t>,</w:t>
      </w:r>
      <w:r w:rsidR="00873F32">
        <w:rPr>
          <w:rFonts w:ascii="Book Antiqua" w:hAnsi="Book Antiqua" w:cs="Arial"/>
        </w:rPr>
        <w:t xml:space="preserve"> and the </w:t>
      </w:r>
      <w:r w:rsidR="0091427D">
        <w:rPr>
          <w:rFonts w:ascii="Book Antiqua" w:hAnsi="Book Antiqua" w:cs="Arial"/>
        </w:rPr>
        <w:t>decision of the judge</w:t>
      </w:r>
      <w:r w:rsidR="00873F32">
        <w:rPr>
          <w:rFonts w:ascii="Book Antiqua" w:hAnsi="Book Antiqua" w:cs="Arial"/>
        </w:rPr>
        <w:t xml:space="preserve"> shall stand.  </w:t>
      </w:r>
    </w:p>
    <w:p w:rsidR="00873F32" w:rsidRDefault="00873F32" w:rsidP="00873F32">
      <w:pPr>
        <w:ind w:left="567" w:hanging="567"/>
        <w:jc w:val="both"/>
        <w:rPr>
          <w:rFonts w:ascii="Book Antiqua" w:hAnsi="Book Antiqua" w:cs="Arial"/>
        </w:rPr>
      </w:pPr>
    </w:p>
    <w:p w:rsidR="00873F32" w:rsidRPr="00973FE3" w:rsidRDefault="00D757AA" w:rsidP="00873F32">
      <w:pPr>
        <w:ind w:left="567" w:hanging="567"/>
        <w:jc w:val="both"/>
        <w:rPr>
          <w:rFonts w:ascii="Book Antiqua" w:hAnsi="Book Antiqua" w:cs="Arial"/>
        </w:rPr>
      </w:pPr>
      <w:r>
        <w:rPr>
          <w:rFonts w:ascii="Book Antiqua" w:hAnsi="Book Antiqua" w:cs="Arial"/>
        </w:rPr>
        <w:t>22</w:t>
      </w:r>
      <w:r w:rsidR="00AC33EC">
        <w:rPr>
          <w:rFonts w:ascii="Book Antiqua" w:hAnsi="Book Antiqua" w:cs="Arial"/>
        </w:rPr>
        <w:t>.</w:t>
      </w:r>
      <w:r w:rsidR="00AC33EC">
        <w:rPr>
          <w:rFonts w:ascii="Book Antiqua" w:hAnsi="Book Antiqua" w:cs="Arial"/>
        </w:rPr>
        <w:tab/>
        <w:t>The First-tier T</w:t>
      </w:r>
      <w:r w:rsidR="00767320">
        <w:rPr>
          <w:rFonts w:ascii="Book Antiqua" w:hAnsi="Book Antiqua" w:cs="Arial"/>
        </w:rPr>
        <w:t>ribunal</w:t>
      </w:r>
      <w:r w:rsidR="00873F32">
        <w:rPr>
          <w:rFonts w:ascii="Book Antiqua" w:hAnsi="Book Antiqua" w:cs="Arial"/>
        </w:rPr>
        <w:t xml:space="preserve"> made an anonymity direction and it is appropriate in my view that that should continue.  </w:t>
      </w:r>
    </w:p>
    <w:p w:rsidR="00873F32" w:rsidRPr="00D757AA" w:rsidRDefault="00873F32" w:rsidP="00873F32">
      <w:pPr>
        <w:tabs>
          <w:tab w:val="left" w:pos="567"/>
        </w:tabs>
        <w:ind w:left="567" w:hanging="567"/>
        <w:jc w:val="both"/>
        <w:rPr>
          <w:rFonts w:ascii="Book Antiqua" w:hAnsi="Book Antiqua" w:cs="Arial"/>
          <w:b/>
        </w:rPr>
      </w:pPr>
    </w:p>
    <w:p w:rsidR="000150C1" w:rsidRDefault="000150C1" w:rsidP="00873F32">
      <w:pPr>
        <w:jc w:val="both"/>
        <w:rPr>
          <w:rFonts w:ascii="Book Antiqua" w:hAnsi="Book Antiqua" w:cs="Arial"/>
          <w:b/>
          <w:u w:val="single"/>
        </w:rPr>
      </w:pPr>
    </w:p>
    <w:p w:rsidR="00873F32" w:rsidRPr="00D757AA" w:rsidRDefault="00873F32" w:rsidP="00873F32">
      <w:pPr>
        <w:jc w:val="both"/>
        <w:rPr>
          <w:rFonts w:ascii="Book Antiqua" w:hAnsi="Book Antiqua" w:cs="Arial"/>
          <w:b/>
          <w:u w:val="single"/>
        </w:rPr>
      </w:pPr>
      <w:bookmarkStart w:id="0" w:name="_GoBack"/>
      <w:bookmarkEnd w:id="0"/>
      <w:r w:rsidRPr="00D757AA">
        <w:rPr>
          <w:rFonts w:ascii="Book Antiqua" w:hAnsi="Book Antiqua" w:cs="Arial"/>
          <w:b/>
          <w:u w:val="single"/>
        </w:rPr>
        <w:t>Direction Regarding Anonymity – Rule 14 of the Tribunal Procedure (Upper Tribunal) Rules 2008</w:t>
      </w:r>
    </w:p>
    <w:p w:rsidR="00873F32" w:rsidRPr="00267473" w:rsidRDefault="00873F32" w:rsidP="00873F32">
      <w:pPr>
        <w:jc w:val="both"/>
        <w:rPr>
          <w:rFonts w:ascii="Book Antiqua" w:hAnsi="Book Antiqua" w:cs="Arial"/>
        </w:rPr>
      </w:pPr>
    </w:p>
    <w:p w:rsidR="00873F32" w:rsidRPr="00687601" w:rsidRDefault="00873F32" w:rsidP="00873F32">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Pr>
          <w:rFonts w:ascii="Book Antiqua" w:hAnsi="Book Antiqua"/>
        </w:rPr>
        <w:t>a</w:t>
      </w:r>
      <w:r w:rsidRPr="004B71FD">
        <w:rPr>
          <w:rFonts w:ascii="Book Antiqua" w:hAnsi="Book Antiqua"/>
        </w:rPr>
        <w:t>ppellant is granted anonymity.  No report of these proceedings shall directly or indirectly identify him or any member of their family.  This</w:t>
      </w:r>
      <w:r>
        <w:rPr>
          <w:rFonts w:ascii="Book Antiqua" w:hAnsi="Book Antiqua"/>
        </w:rPr>
        <w:t xml:space="preserve"> direction applies both to the a</w:t>
      </w:r>
      <w:r w:rsidRPr="004B71FD">
        <w:rPr>
          <w:rFonts w:ascii="Book Antiqua" w:hAnsi="Book Antiqua"/>
        </w:rPr>
        <w:t xml:space="preserve">ppellant and to the </w:t>
      </w:r>
      <w:r>
        <w:rPr>
          <w:rFonts w:ascii="Book Antiqua" w:hAnsi="Book Antiqua"/>
        </w:rPr>
        <w:t>r</w:t>
      </w:r>
      <w:r w:rsidR="00D757AA">
        <w:rPr>
          <w:rFonts w:ascii="Book Antiqua" w:hAnsi="Book Antiqua"/>
        </w:rPr>
        <w:t>espondent.</w:t>
      </w:r>
      <w:r w:rsidRPr="004B71FD">
        <w:rPr>
          <w:rFonts w:ascii="Book Antiqua" w:hAnsi="Book Antiqua"/>
        </w:rPr>
        <w:t xml:space="preserve"> Failure to comply with this direction could lead to contempt of court proceedings.</w:t>
      </w:r>
    </w:p>
    <w:p w:rsidR="00873F32" w:rsidRDefault="00873F32" w:rsidP="00873F32">
      <w:pPr>
        <w:tabs>
          <w:tab w:val="left" w:pos="2520"/>
        </w:tabs>
        <w:ind w:left="540" w:hanging="540"/>
        <w:jc w:val="both"/>
        <w:rPr>
          <w:rFonts w:ascii="Book Antiqua" w:hAnsi="Book Antiqua" w:cs="Arial"/>
          <w:color w:val="000000"/>
        </w:rPr>
      </w:pPr>
    </w:p>
    <w:p w:rsidR="00873F32" w:rsidRDefault="00873F32" w:rsidP="00873F32">
      <w:pPr>
        <w:jc w:val="both"/>
        <w:rPr>
          <w:rFonts w:ascii="Book Antiqua" w:hAnsi="Book Antiqua" w:cs="Arial"/>
        </w:rPr>
      </w:pPr>
    </w:p>
    <w:p w:rsidR="00911E15" w:rsidRDefault="00911E15" w:rsidP="00873F32">
      <w:pPr>
        <w:jc w:val="both"/>
        <w:rPr>
          <w:rFonts w:ascii="Book Antiqua" w:hAnsi="Book Antiqua" w:cs="Arial"/>
        </w:rPr>
      </w:pPr>
    </w:p>
    <w:p w:rsidR="00911E15" w:rsidRPr="004B71FD" w:rsidRDefault="00911E15" w:rsidP="00873F32">
      <w:pPr>
        <w:jc w:val="both"/>
        <w:rPr>
          <w:rFonts w:ascii="Book Antiqua" w:hAnsi="Book Antiqua" w:cs="Arial"/>
        </w:rPr>
      </w:pPr>
    </w:p>
    <w:p w:rsidR="00873F32" w:rsidRDefault="00873F32" w:rsidP="00873F32">
      <w:pPr>
        <w:jc w:val="both"/>
        <w:rPr>
          <w:rFonts w:ascii="Book Antiqua" w:hAnsi="Book Antiqua" w:cs="Arial"/>
        </w:rPr>
      </w:pPr>
    </w:p>
    <w:p w:rsidR="00873F32" w:rsidRPr="001C5703" w:rsidRDefault="00873F32" w:rsidP="00873F32">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Pr>
          <w:rFonts w:ascii="Book Antiqua" w:hAnsi="Book Antiqua" w:cs="Arial"/>
        </w:rPr>
        <w:t xml:space="preserve"> </w:t>
      </w:r>
      <w:bookmarkStart w:id="1" w:name="_Hlk509911050"/>
      <w:r w:rsidR="003C4CA6">
        <w:rPr>
          <w:rFonts w:ascii="Book Antiqua" w:hAnsi="Book Antiqua" w:cs="Arial"/>
        </w:rPr>
        <w:t>13 June</w:t>
      </w:r>
      <w:r>
        <w:rPr>
          <w:rFonts w:ascii="Book Antiqua" w:hAnsi="Book Antiqua" w:cs="Arial"/>
        </w:rPr>
        <w:t xml:space="preserve"> 2018</w:t>
      </w:r>
      <w:bookmarkEnd w:id="1"/>
    </w:p>
    <w:p w:rsidR="00873F32" w:rsidRDefault="00873F32" w:rsidP="00873F32">
      <w:pPr>
        <w:jc w:val="both"/>
        <w:rPr>
          <w:rFonts w:ascii="Book Antiqua" w:hAnsi="Book Antiqua" w:cs="Arial"/>
        </w:rPr>
      </w:pPr>
    </w:p>
    <w:p w:rsidR="00911E15" w:rsidRDefault="00911E15" w:rsidP="00873F32">
      <w:pPr>
        <w:jc w:val="both"/>
        <w:rPr>
          <w:rFonts w:ascii="Book Antiqua" w:hAnsi="Book Antiqua" w:cs="Arial"/>
        </w:rPr>
      </w:pPr>
    </w:p>
    <w:p w:rsidR="00911E15" w:rsidRDefault="00911E15" w:rsidP="00873F32">
      <w:pPr>
        <w:jc w:val="both"/>
        <w:rPr>
          <w:rFonts w:ascii="Book Antiqua" w:hAnsi="Book Antiqua" w:cs="Arial"/>
        </w:rPr>
      </w:pPr>
    </w:p>
    <w:p w:rsidR="00D757AA" w:rsidRDefault="00D757AA" w:rsidP="00873F32">
      <w:pPr>
        <w:jc w:val="both"/>
        <w:rPr>
          <w:rFonts w:ascii="Book Antiqua" w:hAnsi="Book Antiqua" w:cs="Arial"/>
        </w:rPr>
      </w:pPr>
    </w:p>
    <w:p w:rsidR="00D757AA" w:rsidRPr="001C5703" w:rsidRDefault="00D757AA" w:rsidP="00873F32">
      <w:pPr>
        <w:jc w:val="both"/>
        <w:rPr>
          <w:rFonts w:ascii="Book Antiqua" w:hAnsi="Book Antiqua" w:cs="Arial"/>
        </w:rPr>
      </w:pPr>
    </w:p>
    <w:p w:rsidR="00873F32" w:rsidRPr="001C5703" w:rsidRDefault="003C4CA6" w:rsidP="00873F32">
      <w:pPr>
        <w:jc w:val="both"/>
        <w:rPr>
          <w:rFonts w:ascii="Book Antiqua" w:hAnsi="Book Antiqua" w:cs="Arial"/>
        </w:rPr>
      </w:pPr>
      <w:r>
        <w:rPr>
          <w:rFonts w:ascii="Book Antiqua" w:hAnsi="Book Antiqua" w:cs="Arial"/>
        </w:rPr>
        <w:t xml:space="preserve">Deputy </w:t>
      </w:r>
      <w:r w:rsidR="00873F32" w:rsidRPr="00104AC6">
        <w:rPr>
          <w:rFonts w:ascii="Book Antiqua" w:hAnsi="Book Antiqua" w:cs="Arial"/>
        </w:rPr>
        <w:t>Upper Tribunal</w:t>
      </w:r>
      <w:r>
        <w:rPr>
          <w:rFonts w:ascii="Book Antiqua" w:hAnsi="Book Antiqua" w:cs="Arial"/>
        </w:rPr>
        <w:t xml:space="preserve"> Judge Bagral</w:t>
      </w:r>
    </w:p>
    <w:p w:rsidR="002B5C2A" w:rsidRDefault="002B5C2A"/>
    <w:sectPr w:rsidR="002B5C2A" w:rsidSect="000150C1">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449" w:rsidRDefault="00364449" w:rsidP="003C4CA6">
      <w:r>
        <w:separator/>
      </w:r>
    </w:p>
  </w:endnote>
  <w:endnote w:type="continuationSeparator" w:id="0">
    <w:p w:rsidR="00364449" w:rsidRDefault="00364449" w:rsidP="003C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290" w:rsidRPr="000150C1" w:rsidRDefault="00FA1290" w:rsidP="00FA1290">
    <w:pPr>
      <w:pStyle w:val="Footer"/>
      <w:jc w:val="center"/>
      <w:rPr>
        <w:rFonts w:ascii="Book Antiqua" w:hAnsi="Book Antiqua" w:cs="Arial"/>
      </w:rPr>
    </w:pPr>
    <w:r w:rsidRPr="000150C1">
      <w:rPr>
        <w:rStyle w:val="PageNumber"/>
        <w:rFonts w:ascii="Book Antiqua" w:hAnsi="Book Antiqua" w:cs="Arial"/>
      </w:rPr>
      <w:fldChar w:fldCharType="begin"/>
    </w:r>
    <w:r w:rsidRPr="000150C1">
      <w:rPr>
        <w:rStyle w:val="PageNumber"/>
        <w:rFonts w:ascii="Book Antiqua" w:hAnsi="Book Antiqua" w:cs="Arial"/>
      </w:rPr>
      <w:instrText xml:space="preserve"> PAGE </w:instrText>
    </w:r>
    <w:r w:rsidRPr="000150C1">
      <w:rPr>
        <w:rStyle w:val="PageNumber"/>
        <w:rFonts w:ascii="Book Antiqua" w:hAnsi="Book Antiqua" w:cs="Arial"/>
      </w:rPr>
      <w:fldChar w:fldCharType="separate"/>
    </w:r>
    <w:r w:rsidR="003D5996">
      <w:rPr>
        <w:rStyle w:val="PageNumber"/>
        <w:rFonts w:ascii="Book Antiqua" w:hAnsi="Book Antiqua" w:cs="Arial"/>
        <w:noProof/>
      </w:rPr>
      <w:t>6</w:t>
    </w:r>
    <w:r w:rsidRPr="000150C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290" w:rsidRPr="001C5703" w:rsidRDefault="00FA1290" w:rsidP="00FA1290">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449" w:rsidRDefault="00364449" w:rsidP="003C4CA6">
      <w:r>
        <w:separator/>
      </w:r>
    </w:p>
  </w:footnote>
  <w:footnote w:type="continuationSeparator" w:id="0">
    <w:p w:rsidR="00364449" w:rsidRDefault="00364449" w:rsidP="003C4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290" w:rsidRDefault="00FA1290" w:rsidP="00FA1290">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3C4CA6">
      <w:rPr>
        <w:rFonts w:ascii="Book Antiqua" w:hAnsi="Book Antiqua" w:cs="Arial"/>
        <w:sz w:val="16"/>
        <w:szCs w:val="16"/>
      </w:rPr>
      <w:t>PA/12960/2017</w:t>
    </w:r>
  </w:p>
  <w:p w:rsidR="000150C1" w:rsidRPr="001C5703" w:rsidRDefault="000150C1" w:rsidP="00FA1290">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290" w:rsidRPr="001C5703" w:rsidRDefault="00FA1290">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16D"/>
    <w:multiLevelType w:val="hybridMultilevel"/>
    <w:tmpl w:val="4E4E90C0"/>
    <w:lvl w:ilvl="0" w:tplc="B45C9CF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32"/>
    <w:rsid w:val="00014F75"/>
    <w:rsid w:val="000150C1"/>
    <w:rsid w:val="00016C92"/>
    <w:rsid w:val="00025806"/>
    <w:rsid w:val="00026FE0"/>
    <w:rsid w:val="00047500"/>
    <w:rsid w:val="000520F3"/>
    <w:rsid w:val="0007389D"/>
    <w:rsid w:val="000816CB"/>
    <w:rsid w:val="00093003"/>
    <w:rsid w:val="000B309F"/>
    <w:rsid w:val="000B6909"/>
    <w:rsid w:val="001135E9"/>
    <w:rsid w:val="00125408"/>
    <w:rsid w:val="00161A74"/>
    <w:rsid w:val="00170A26"/>
    <w:rsid w:val="00171CAD"/>
    <w:rsid w:val="00191300"/>
    <w:rsid w:val="001A7E7C"/>
    <w:rsid w:val="001F6505"/>
    <w:rsid w:val="00205ED4"/>
    <w:rsid w:val="00217F78"/>
    <w:rsid w:val="002278C3"/>
    <w:rsid w:val="002357A3"/>
    <w:rsid w:val="00236D44"/>
    <w:rsid w:val="002433B2"/>
    <w:rsid w:val="00251DE1"/>
    <w:rsid w:val="00267473"/>
    <w:rsid w:val="00273CB1"/>
    <w:rsid w:val="00290494"/>
    <w:rsid w:val="002B00A2"/>
    <w:rsid w:val="002B5A58"/>
    <w:rsid w:val="002B5C2A"/>
    <w:rsid w:val="002E1A65"/>
    <w:rsid w:val="002E3FD2"/>
    <w:rsid w:val="003007A5"/>
    <w:rsid w:val="00357B8C"/>
    <w:rsid w:val="00364449"/>
    <w:rsid w:val="003677CC"/>
    <w:rsid w:val="00367CF1"/>
    <w:rsid w:val="00384C57"/>
    <w:rsid w:val="003C07B6"/>
    <w:rsid w:val="003C4CA6"/>
    <w:rsid w:val="003D5996"/>
    <w:rsid w:val="003D7608"/>
    <w:rsid w:val="003E32D1"/>
    <w:rsid w:val="004165A0"/>
    <w:rsid w:val="0044005A"/>
    <w:rsid w:val="00444BDF"/>
    <w:rsid w:val="00463E16"/>
    <w:rsid w:val="00465E40"/>
    <w:rsid w:val="004A3987"/>
    <w:rsid w:val="004C186E"/>
    <w:rsid w:val="004C4164"/>
    <w:rsid w:val="004E52F9"/>
    <w:rsid w:val="005430E1"/>
    <w:rsid w:val="005722E9"/>
    <w:rsid w:val="005B0D27"/>
    <w:rsid w:val="00600348"/>
    <w:rsid w:val="00645E21"/>
    <w:rsid w:val="00653BA8"/>
    <w:rsid w:val="006558E2"/>
    <w:rsid w:val="00656AC4"/>
    <w:rsid w:val="00696D1B"/>
    <w:rsid w:val="006A2C01"/>
    <w:rsid w:val="006C3D53"/>
    <w:rsid w:val="006C6003"/>
    <w:rsid w:val="006C6ABF"/>
    <w:rsid w:val="0070494E"/>
    <w:rsid w:val="007236E9"/>
    <w:rsid w:val="007314A2"/>
    <w:rsid w:val="00736491"/>
    <w:rsid w:val="00740E89"/>
    <w:rsid w:val="00747557"/>
    <w:rsid w:val="007618EC"/>
    <w:rsid w:val="00767320"/>
    <w:rsid w:val="00793619"/>
    <w:rsid w:val="00794DBA"/>
    <w:rsid w:val="007E0162"/>
    <w:rsid w:val="00805128"/>
    <w:rsid w:val="008220F3"/>
    <w:rsid w:val="0083447E"/>
    <w:rsid w:val="008374C5"/>
    <w:rsid w:val="00867B65"/>
    <w:rsid w:val="00873F32"/>
    <w:rsid w:val="00877ED3"/>
    <w:rsid w:val="00890D81"/>
    <w:rsid w:val="008A15CC"/>
    <w:rsid w:val="008B0F01"/>
    <w:rsid w:val="008D0051"/>
    <w:rsid w:val="008E12A3"/>
    <w:rsid w:val="008F763D"/>
    <w:rsid w:val="00911E15"/>
    <w:rsid w:val="0091427D"/>
    <w:rsid w:val="00965D78"/>
    <w:rsid w:val="009A1625"/>
    <w:rsid w:val="009A1DF7"/>
    <w:rsid w:val="009F1B2F"/>
    <w:rsid w:val="00A53B81"/>
    <w:rsid w:val="00A60E84"/>
    <w:rsid w:val="00A644EF"/>
    <w:rsid w:val="00A70574"/>
    <w:rsid w:val="00A77046"/>
    <w:rsid w:val="00A838C2"/>
    <w:rsid w:val="00A957E7"/>
    <w:rsid w:val="00AA0B53"/>
    <w:rsid w:val="00AB714F"/>
    <w:rsid w:val="00AC0621"/>
    <w:rsid w:val="00AC33EC"/>
    <w:rsid w:val="00AD446E"/>
    <w:rsid w:val="00B03B93"/>
    <w:rsid w:val="00B26B0F"/>
    <w:rsid w:val="00B351DC"/>
    <w:rsid w:val="00B53D01"/>
    <w:rsid w:val="00B70548"/>
    <w:rsid w:val="00B75238"/>
    <w:rsid w:val="00BD1BE7"/>
    <w:rsid w:val="00BD259E"/>
    <w:rsid w:val="00BE32DB"/>
    <w:rsid w:val="00BF2030"/>
    <w:rsid w:val="00BF7A0B"/>
    <w:rsid w:val="00C7539C"/>
    <w:rsid w:val="00C94C97"/>
    <w:rsid w:val="00CE6513"/>
    <w:rsid w:val="00D32C8E"/>
    <w:rsid w:val="00D43379"/>
    <w:rsid w:val="00D607CA"/>
    <w:rsid w:val="00D73C9D"/>
    <w:rsid w:val="00D757AA"/>
    <w:rsid w:val="00D9530D"/>
    <w:rsid w:val="00DF58AA"/>
    <w:rsid w:val="00E07411"/>
    <w:rsid w:val="00E127F6"/>
    <w:rsid w:val="00E46856"/>
    <w:rsid w:val="00E60149"/>
    <w:rsid w:val="00E74457"/>
    <w:rsid w:val="00E90AB4"/>
    <w:rsid w:val="00EC569C"/>
    <w:rsid w:val="00ED0914"/>
    <w:rsid w:val="00ED4CF1"/>
    <w:rsid w:val="00F275CB"/>
    <w:rsid w:val="00F32EAD"/>
    <w:rsid w:val="00F8158C"/>
    <w:rsid w:val="00F94000"/>
    <w:rsid w:val="00FA1290"/>
    <w:rsid w:val="00FC4C6A"/>
    <w:rsid w:val="00FD6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32D239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F3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73F32"/>
    <w:pPr>
      <w:tabs>
        <w:tab w:val="center" w:pos="4153"/>
        <w:tab w:val="right" w:pos="8306"/>
      </w:tabs>
    </w:pPr>
  </w:style>
  <w:style w:type="character" w:customStyle="1" w:styleId="HeaderChar">
    <w:name w:val="Header Char"/>
    <w:link w:val="Header"/>
    <w:rsid w:val="00873F32"/>
    <w:rPr>
      <w:rFonts w:ascii="Times New Roman" w:eastAsia="Times New Roman" w:hAnsi="Times New Roman" w:cs="Times New Roman"/>
      <w:sz w:val="24"/>
      <w:szCs w:val="24"/>
      <w:lang w:eastAsia="en-GB"/>
    </w:rPr>
  </w:style>
  <w:style w:type="paragraph" w:styleId="Footer">
    <w:name w:val="footer"/>
    <w:basedOn w:val="Normal"/>
    <w:link w:val="FooterChar"/>
    <w:rsid w:val="00873F32"/>
    <w:pPr>
      <w:tabs>
        <w:tab w:val="center" w:pos="4153"/>
        <w:tab w:val="right" w:pos="8306"/>
      </w:tabs>
    </w:pPr>
  </w:style>
  <w:style w:type="character" w:customStyle="1" w:styleId="FooterChar">
    <w:name w:val="Footer Char"/>
    <w:link w:val="Footer"/>
    <w:rsid w:val="00873F32"/>
    <w:rPr>
      <w:rFonts w:ascii="Times New Roman" w:eastAsia="Times New Roman" w:hAnsi="Times New Roman" w:cs="Times New Roman"/>
      <w:sz w:val="24"/>
      <w:szCs w:val="24"/>
      <w:lang w:eastAsia="en-GB"/>
    </w:rPr>
  </w:style>
  <w:style w:type="character" w:styleId="PageNumber">
    <w:name w:val="page number"/>
    <w:rsid w:val="00873F32"/>
    <w:rPr>
      <w:rFonts w:cs="Times New Roman"/>
    </w:rPr>
  </w:style>
  <w:style w:type="paragraph" w:styleId="BalloonText">
    <w:name w:val="Balloon Text"/>
    <w:basedOn w:val="Normal"/>
    <w:link w:val="BalloonTextChar"/>
    <w:uiPriority w:val="99"/>
    <w:semiHidden/>
    <w:unhideWhenUsed/>
    <w:rsid w:val="00267473"/>
    <w:rPr>
      <w:rFonts w:ascii="Segoe UI" w:hAnsi="Segoe UI" w:cs="Segoe UI"/>
      <w:sz w:val="18"/>
      <w:szCs w:val="18"/>
    </w:rPr>
  </w:style>
  <w:style w:type="character" w:customStyle="1" w:styleId="BalloonTextChar">
    <w:name w:val="Balloon Text Char"/>
    <w:link w:val="BalloonText"/>
    <w:uiPriority w:val="99"/>
    <w:semiHidden/>
    <w:rsid w:val="0026747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58A0D-E878-4F66-BE6A-44C00F85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2483</Words>
  <Characters>14156</Characters>
  <Application>Microsoft Office Word</Application>
  <DocSecurity>0</DocSecurity>
  <Lines>117</Lines>
  <Paragraphs>33</Paragraphs>
  <ScaleCrop>false</ScaleCrop>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2018-08-03T13:36:00Z</dcterms:created>
  <dcterms:modified xsi:type="dcterms:W3CDTF">2018-08-03T13:36:00Z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