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A2FB" w14:textId="77777777" w:rsidR="00A57B3D" w:rsidRPr="00297C36" w:rsidRDefault="00F831DE" w:rsidP="0010335F">
      <w:pPr>
        <w:jc w:val="center"/>
        <w:rPr>
          <w:rFonts w:ascii="Book Antiqua" w:hAnsi="Book Antiqua" w:cs="Arial"/>
          <w:caps/>
          <w:color w:val="000000"/>
          <w:sz w:val="16"/>
          <w:szCs w:val="16"/>
        </w:rPr>
      </w:pPr>
      <w:r w:rsidRPr="00297C36">
        <w:rPr>
          <w:noProof/>
          <w:sz w:val="16"/>
          <w:szCs w:val="16"/>
        </w:rPr>
        <w:drawing>
          <wp:inline distT="0" distB="0" distL="0" distR="0" wp14:anchorId="20EF160B" wp14:editId="0F2D614A">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316164CE" w14:textId="77777777" w:rsidR="00D94AFC" w:rsidRPr="00297C36" w:rsidRDefault="001C5703">
      <w:pPr>
        <w:rPr>
          <w:rFonts w:ascii="Book Antiqua" w:hAnsi="Book Antiqua" w:cs="Arial"/>
          <w:color w:val="000000"/>
          <w:sz w:val="16"/>
          <w:szCs w:val="16"/>
        </w:rPr>
      </w:pPr>
      <w:r w:rsidRPr="00297C36">
        <w:rPr>
          <w:rFonts w:ascii="Book Antiqua" w:hAnsi="Book Antiqua" w:cs="Arial"/>
          <w:caps/>
          <w:color w:val="000000"/>
          <w:sz w:val="16"/>
          <w:szCs w:val="16"/>
        </w:rPr>
        <w:t>IAC</w:t>
      </w:r>
      <w:r w:rsidR="00F831DE" w:rsidRPr="00297C36">
        <w:rPr>
          <w:rFonts w:ascii="Book Antiqua" w:hAnsi="Book Antiqua" w:cs="Arial"/>
          <w:caps/>
          <w:color w:val="000000"/>
          <w:sz w:val="16"/>
          <w:szCs w:val="16"/>
        </w:rPr>
        <w:t>-F</w:t>
      </w:r>
      <w:r w:rsidR="005B1C60" w:rsidRPr="00297C36">
        <w:rPr>
          <w:rFonts w:ascii="Book Antiqua" w:hAnsi="Book Antiqua" w:cs="Arial"/>
          <w:caps/>
          <w:color w:val="000000"/>
          <w:sz w:val="16"/>
          <w:szCs w:val="16"/>
        </w:rPr>
        <w:t>H-</w:t>
      </w:r>
      <w:r w:rsidR="00F831DE" w:rsidRPr="00297C36">
        <w:rPr>
          <w:rFonts w:ascii="Book Antiqua" w:hAnsi="Book Antiqua" w:cs="Arial"/>
          <w:caps/>
          <w:color w:val="000000"/>
          <w:sz w:val="16"/>
          <w:szCs w:val="16"/>
        </w:rPr>
        <w:t>LW</w:t>
      </w:r>
      <w:r w:rsidR="005B1C60" w:rsidRPr="00297C36">
        <w:rPr>
          <w:rFonts w:ascii="Book Antiqua" w:hAnsi="Book Antiqua" w:cs="Arial"/>
          <w:caps/>
          <w:color w:val="000000"/>
          <w:sz w:val="16"/>
          <w:szCs w:val="16"/>
        </w:rPr>
        <w:t>-V1</w:t>
      </w:r>
    </w:p>
    <w:p w14:paraId="006502B7" w14:textId="77777777" w:rsidR="00D94AFC" w:rsidRPr="00297C36" w:rsidRDefault="00D94AFC">
      <w:pPr>
        <w:rPr>
          <w:rFonts w:ascii="Book Antiqua" w:hAnsi="Book Antiqua" w:cs="Arial"/>
          <w:color w:val="000000"/>
          <w:sz w:val="16"/>
          <w:szCs w:val="16"/>
        </w:rPr>
      </w:pPr>
    </w:p>
    <w:p w14:paraId="3E25CBB8"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4B053640"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F831DE" w:rsidRPr="00F831DE">
        <w:rPr>
          <w:rFonts w:ascii="Book Antiqua" w:hAnsi="Book Antiqua" w:cs="Arial"/>
          <w:caps/>
          <w:color w:val="000000"/>
        </w:rPr>
        <w:t>PA/12966/2016</w:t>
      </w:r>
      <w:bookmarkEnd w:id="0"/>
    </w:p>
    <w:p w14:paraId="21FF0666" w14:textId="77777777" w:rsidR="00C345E1" w:rsidRPr="001C5703" w:rsidRDefault="00C345E1" w:rsidP="00C345E1">
      <w:pPr>
        <w:jc w:val="center"/>
        <w:rPr>
          <w:rFonts w:ascii="Book Antiqua" w:hAnsi="Book Antiqua" w:cs="Arial"/>
          <w:color w:val="000000"/>
        </w:rPr>
      </w:pPr>
    </w:p>
    <w:p w14:paraId="4FA54607" w14:textId="77777777" w:rsidR="00C345E1" w:rsidRPr="001C5703" w:rsidRDefault="00C345E1" w:rsidP="00C345E1">
      <w:pPr>
        <w:jc w:val="center"/>
        <w:rPr>
          <w:rFonts w:ascii="Book Antiqua" w:hAnsi="Book Antiqua" w:cs="Arial"/>
          <w:color w:val="000000"/>
        </w:rPr>
      </w:pPr>
    </w:p>
    <w:p w14:paraId="127C659E"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49532787" w14:textId="77777777" w:rsidR="00C345E1" w:rsidRPr="001C5703" w:rsidRDefault="00C345E1" w:rsidP="00C345E1">
      <w:pPr>
        <w:jc w:val="center"/>
        <w:rPr>
          <w:rFonts w:ascii="Book Antiqua" w:hAnsi="Book Antiqua" w:cs="Arial"/>
          <w:b/>
          <w:u w:val="single"/>
        </w:rPr>
      </w:pPr>
    </w:p>
    <w:p w14:paraId="16204AAD"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10EA284A" w14:textId="77777777" w:rsidTr="00207D73">
        <w:tc>
          <w:tcPr>
            <w:tcW w:w="6048" w:type="dxa"/>
          </w:tcPr>
          <w:p w14:paraId="6FDD8026"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F831DE">
              <w:rPr>
                <w:rFonts w:ascii="Book Antiqua" w:hAnsi="Book Antiqua" w:cs="Arial"/>
                <w:b/>
              </w:rPr>
              <w:t xml:space="preserve">Glasgow </w:t>
            </w:r>
          </w:p>
        </w:tc>
        <w:tc>
          <w:tcPr>
            <w:tcW w:w="3960" w:type="dxa"/>
          </w:tcPr>
          <w:p w14:paraId="1F8A1F94" w14:textId="77777777" w:rsidR="00D22636" w:rsidRPr="001C5703" w:rsidRDefault="00207D73"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10434BC4" w14:textId="77777777" w:rsidTr="00207D73">
        <w:tc>
          <w:tcPr>
            <w:tcW w:w="6048" w:type="dxa"/>
          </w:tcPr>
          <w:p w14:paraId="02186937"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F831DE">
              <w:rPr>
                <w:rFonts w:ascii="Book Antiqua" w:hAnsi="Book Antiqua" w:cs="Arial"/>
                <w:b/>
              </w:rPr>
              <w:t xml:space="preserve">10 August 2018 </w:t>
            </w:r>
          </w:p>
        </w:tc>
        <w:tc>
          <w:tcPr>
            <w:tcW w:w="3960" w:type="dxa"/>
          </w:tcPr>
          <w:p w14:paraId="7D891DA5" w14:textId="77777777" w:rsidR="00D22636" w:rsidRPr="001C5703" w:rsidRDefault="00107731" w:rsidP="004A1848">
            <w:pPr>
              <w:jc w:val="both"/>
              <w:rPr>
                <w:rFonts w:ascii="Book Antiqua" w:hAnsi="Book Antiqua" w:cs="Arial"/>
                <w:b/>
              </w:rPr>
            </w:pPr>
            <w:r>
              <w:rPr>
                <w:rFonts w:ascii="Book Antiqua" w:hAnsi="Book Antiqua" w:cs="Arial"/>
                <w:b/>
                <w:color w:val="000000"/>
              </w:rPr>
              <w:t>On 03 September 2018</w:t>
            </w:r>
          </w:p>
        </w:tc>
      </w:tr>
      <w:tr w:rsidR="00D22636" w:rsidRPr="001C5703" w14:paraId="6F70E0F7" w14:textId="77777777" w:rsidTr="00207D73">
        <w:tc>
          <w:tcPr>
            <w:tcW w:w="6048" w:type="dxa"/>
          </w:tcPr>
          <w:p w14:paraId="00BE5C53" w14:textId="77777777" w:rsidR="00D22636" w:rsidRPr="001C5703" w:rsidRDefault="00D22636" w:rsidP="004A1848">
            <w:pPr>
              <w:jc w:val="both"/>
              <w:rPr>
                <w:rFonts w:ascii="Book Antiqua" w:hAnsi="Book Antiqua" w:cs="Arial"/>
                <w:b/>
              </w:rPr>
            </w:pPr>
          </w:p>
        </w:tc>
        <w:tc>
          <w:tcPr>
            <w:tcW w:w="3960" w:type="dxa"/>
          </w:tcPr>
          <w:p w14:paraId="21E87F85" w14:textId="77777777" w:rsidR="00D22636" w:rsidRPr="001C5703" w:rsidRDefault="00D22636" w:rsidP="004A1848">
            <w:pPr>
              <w:jc w:val="both"/>
              <w:rPr>
                <w:rFonts w:ascii="Book Antiqua" w:hAnsi="Book Antiqua" w:cs="Arial"/>
                <w:b/>
              </w:rPr>
            </w:pPr>
          </w:p>
        </w:tc>
      </w:tr>
    </w:tbl>
    <w:p w14:paraId="58734C4B" w14:textId="77777777" w:rsidR="00A15234" w:rsidRPr="001C5703" w:rsidRDefault="00A15234" w:rsidP="00DA7D91">
      <w:pPr>
        <w:rPr>
          <w:rFonts w:ascii="Book Antiqua" w:hAnsi="Book Antiqua" w:cs="Arial"/>
        </w:rPr>
      </w:pPr>
    </w:p>
    <w:p w14:paraId="5A42B256"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4BC065F5" w14:textId="77777777" w:rsidR="00A15234" w:rsidRPr="001C5703" w:rsidRDefault="00A15234" w:rsidP="00A15234">
      <w:pPr>
        <w:jc w:val="center"/>
        <w:rPr>
          <w:rFonts w:ascii="Book Antiqua" w:hAnsi="Book Antiqua" w:cs="Arial"/>
          <w:b/>
        </w:rPr>
      </w:pPr>
    </w:p>
    <w:p w14:paraId="2F14443E"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14:paraId="378AC901" w14:textId="77777777" w:rsidR="001B186A" w:rsidRPr="001C5703" w:rsidRDefault="001B186A" w:rsidP="00A15234">
      <w:pPr>
        <w:jc w:val="center"/>
        <w:rPr>
          <w:rFonts w:ascii="Book Antiqua" w:hAnsi="Book Antiqua" w:cs="Arial"/>
          <w:b/>
          <w:color w:val="000000"/>
        </w:rPr>
      </w:pPr>
    </w:p>
    <w:p w14:paraId="624DF3F8" w14:textId="77777777" w:rsidR="00A845DC" w:rsidRPr="001C5703" w:rsidRDefault="00A845DC" w:rsidP="00A15234">
      <w:pPr>
        <w:jc w:val="center"/>
        <w:rPr>
          <w:rFonts w:ascii="Book Antiqua" w:hAnsi="Book Antiqua" w:cs="Arial"/>
          <w:b/>
        </w:rPr>
      </w:pPr>
    </w:p>
    <w:p w14:paraId="63954B4E"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7176E3D9" w14:textId="77777777" w:rsidR="00A845DC" w:rsidRPr="001C5703" w:rsidRDefault="00A845DC" w:rsidP="00A15234">
      <w:pPr>
        <w:jc w:val="center"/>
        <w:rPr>
          <w:rFonts w:ascii="Book Antiqua" w:hAnsi="Book Antiqua" w:cs="Arial"/>
          <w:b/>
        </w:rPr>
      </w:pPr>
    </w:p>
    <w:p w14:paraId="790FE6FA" w14:textId="77777777" w:rsidR="00A845DC" w:rsidRDefault="00F831DE" w:rsidP="00DA7D91">
      <w:pPr>
        <w:ind w:left="3969" w:firstLine="567"/>
        <w:rPr>
          <w:rFonts w:ascii="Book Antiqua" w:hAnsi="Book Antiqua" w:cs="Arial"/>
          <w:b/>
          <w:caps/>
        </w:rPr>
      </w:pPr>
      <w:r>
        <w:rPr>
          <w:rFonts w:ascii="Book Antiqua" w:hAnsi="Book Antiqua" w:cs="Arial"/>
          <w:b/>
          <w:caps/>
        </w:rPr>
        <w:t xml:space="preserve"> k s y</w:t>
      </w:r>
    </w:p>
    <w:p w14:paraId="721CFB6E" w14:textId="77777777" w:rsidR="00207D73" w:rsidRDefault="00207D73" w:rsidP="00207D73">
      <w:pPr>
        <w:jc w:val="center"/>
        <w:rPr>
          <w:rFonts w:ascii="Book Antiqua" w:hAnsi="Book Antiqua" w:cs="Arial"/>
          <w:b/>
          <w:caps/>
        </w:rPr>
      </w:pPr>
      <w:r w:rsidRPr="00207D73">
        <w:rPr>
          <w:rFonts w:ascii="Book Antiqua" w:hAnsi="Book Antiqua" w:cs="Arial"/>
          <w:b/>
          <w:caps/>
        </w:rPr>
        <w:t xml:space="preserve">(ANONYMITY DIRECTION </w:t>
      </w:r>
      <w:r w:rsidR="00F831DE">
        <w:rPr>
          <w:rFonts w:ascii="Book Antiqua" w:hAnsi="Book Antiqua" w:cs="Arial"/>
          <w:b/>
          <w:caps/>
        </w:rPr>
        <w:t>made</w:t>
      </w:r>
      <w:r w:rsidRPr="00207D73">
        <w:rPr>
          <w:rFonts w:ascii="Book Antiqua" w:hAnsi="Book Antiqua" w:cs="Arial"/>
          <w:b/>
          <w:caps/>
        </w:rPr>
        <w:t>)</w:t>
      </w:r>
    </w:p>
    <w:p w14:paraId="5CE6997B"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159ADA87"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70BE3486" w14:textId="77777777" w:rsidR="00DD5071" w:rsidRPr="001C5703" w:rsidRDefault="00DD5071" w:rsidP="00704B61">
      <w:pPr>
        <w:jc w:val="center"/>
        <w:rPr>
          <w:rFonts w:ascii="Book Antiqua" w:hAnsi="Book Antiqua" w:cs="Arial"/>
          <w:b/>
        </w:rPr>
      </w:pPr>
    </w:p>
    <w:p w14:paraId="4BF1DD75"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14:paraId="0D854C36"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4DC967B1" w14:textId="61522432" w:rsidR="00DD5071" w:rsidRDefault="00DD5071" w:rsidP="00DD5071">
      <w:pPr>
        <w:rPr>
          <w:rFonts w:ascii="Book Antiqua" w:hAnsi="Book Antiqua" w:cs="Arial"/>
          <w:u w:val="single"/>
        </w:rPr>
      </w:pPr>
    </w:p>
    <w:p w14:paraId="27436E2E" w14:textId="77777777" w:rsidR="00297C36" w:rsidRPr="001C5703" w:rsidRDefault="00297C36" w:rsidP="00DD5071">
      <w:pPr>
        <w:rPr>
          <w:rFonts w:ascii="Book Antiqua" w:hAnsi="Book Antiqua" w:cs="Arial"/>
          <w:u w:val="single"/>
        </w:rPr>
      </w:pPr>
    </w:p>
    <w:p w14:paraId="429BD45B"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66D180B0" w14:textId="4F15D4C8" w:rsidR="00DE7DB7" w:rsidRPr="001C5703" w:rsidRDefault="00DE7DB7" w:rsidP="00297C36">
      <w:pPr>
        <w:tabs>
          <w:tab w:val="left" w:pos="2552"/>
        </w:tabs>
        <w:rPr>
          <w:rFonts w:ascii="Book Antiqua" w:hAnsi="Book Antiqua" w:cs="Arial"/>
        </w:rPr>
      </w:pPr>
      <w:r w:rsidRPr="001C5703">
        <w:rPr>
          <w:rFonts w:ascii="Book Antiqua" w:hAnsi="Book Antiqua" w:cs="Arial"/>
        </w:rPr>
        <w:t>For the Appellant:</w:t>
      </w:r>
      <w:r w:rsidR="00297C36">
        <w:rPr>
          <w:rFonts w:ascii="Book Antiqua" w:hAnsi="Book Antiqua" w:cs="Arial"/>
        </w:rPr>
        <w:tab/>
      </w:r>
      <w:r w:rsidR="0014744A">
        <w:rPr>
          <w:rFonts w:ascii="Book Antiqua" w:hAnsi="Book Antiqua" w:cs="Arial"/>
        </w:rPr>
        <w:t xml:space="preserve">Ms </w:t>
      </w:r>
      <w:r w:rsidR="00DA7D91">
        <w:rPr>
          <w:rFonts w:ascii="Book Antiqua" w:hAnsi="Book Antiqua" w:cs="Arial"/>
        </w:rPr>
        <w:t xml:space="preserve">X </w:t>
      </w:r>
      <w:proofErr w:type="spellStart"/>
      <w:r w:rsidR="0014744A">
        <w:rPr>
          <w:rFonts w:ascii="Book Antiqua" w:hAnsi="Book Antiqua"/>
          <w:lang w:val="en-US"/>
        </w:rPr>
        <w:t>Vengoechea</w:t>
      </w:r>
      <w:proofErr w:type="spellEnd"/>
      <w:r w:rsidR="00DA7D91">
        <w:rPr>
          <w:rFonts w:ascii="Book Antiqua" w:hAnsi="Book Antiqua"/>
          <w:lang w:val="en-US"/>
        </w:rPr>
        <w:t xml:space="preserve"> instructed by Loughran &amp; Co</w:t>
      </w:r>
    </w:p>
    <w:p w14:paraId="0E42DC3F" w14:textId="0E83B69B" w:rsidR="00DE7DB7" w:rsidRPr="001C5703" w:rsidRDefault="00DE7DB7" w:rsidP="00297C36">
      <w:pPr>
        <w:tabs>
          <w:tab w:val="left" w:pos="2552"/>
        </w:tabs>
        <w:rPr>
          <w:rFonts w:ascii="Book Antiqua" w:hAnsi="Book Antiqua" w:cs="Arial"/>
        </w:rPr>
      </w:pPr>
      <w:r w:rsidRPr="001C5703">
        <w:rPr>
          <w:rFonts w:ascii="Book Antiqua" w:hAnsi="Book Antiqua" w:cs="Arial"/>
        </w:rPr>
        <w:t>For the Respondent:</w:t>
      </w:r>
      <w:r w:rsidR="00297C36">
        <w:rPr>
          <w:rFonts w:ascii="Book Antiqua" w:hAnsi="Book Antiqua" w:cs="Arial"/>
        </w:rPr>
        <w:tab/>
      </w:r>
      <w:r w:rsidR="0014744A">
        <w:rPr>
          <w:rFonts w:ascii="Book Antiqua" w:hAnsi="Book Antiqua" w:cs="Arial"/>
        </w:rPr>
        <w:t xml:space="preserve">Mr Mathews, Home Office Presenting Officer </w:t>
      </w:r>
    </w:p>
    <w:p w14:paraId="36081D7A" w14:textId="77777777" w:rsidR="00DE7DB7" w:rsidRPr="001C5703" w:rsidRDefault="00DE7DB7" w:rsidP="00C22C3F">
      <w:pPr>
        <w:tabs>
          <w:tab w:val="left" w:pos="2520"/>
        </w:tabs>
        <w:rPr>
          <w:rFonts w:ascii="Book Antiqua" w:hAnsi="Book Antiqua" w:cs="Arial"/>
        </w:rPr>
      </w:pPr>
    </w:p>
    <w:p w14:paraId="28EE7D99" w14:textId="77777777" w:rsidR="00297C36" w:rsidRDefault="00297C36" w:rsidP="007E3B27">
      <w:pPr>
        <w:tabs>
          <w:tab w:val="left" w:pos="2520"/>
        </w:tabs>
        <w:jc w:val="center"/>
        <w:rPr>
          <w:rFonts w:ascii="Book Antiqua" w:hAnsi="Book Antiqua" w:cs="Arial"/>
          <w:b/>
          <w:u w:val="single"/>
        </w:rPr>
      </w:pPr>
    </w:p>
    <w:p w14:paraId="705F9AD3" w14:textId="2391BC38"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4AF008E6" w14:textId="77777777" w:rsidR="00DA7D91" w:rsidRPr="00DA7D91" w:rsidRDefault="00F831DE" w:rsidP="00297C36">
      <w:pPr>
        <w:numPr>
          <w:ilvl w:val="0"/>
          <w:numId w:val="1"/>
        </w:numPr>
        <w:tabs>
          <w:tab w:val="clear" w:pos="567"/>
        </w:tabs>
        <w:spacing w:before="160"/>
        <w:jc w:val="both"/>
        <w:rPr>
          <w:rFonts w:ascii="Book Antiqua" w:hAnsi="Book Antiqua" w:cs="Arial"/>
        </w:rPr>
      </w:pPr>
      <w:r>
        <w:rPr>
          <w:rFonts w:ascii="Book Antiqua" w:hAnsi="Book Antiqua"/>
          <w:lang w:val="en-US"/>
        </w:rPr>
        <w:t xml:space="preserve">This is an appeal against the decision of First-tier Tribunal Judge McGrade who dismissed the appeal against </w:t>
      </w:r>
      <w:r w:rsidR="00DA7D91">
        <w:rPr>
          <w:rFonts w:ascii="Book Antiqua" w:hAnsi="Book Antiqua"/>
          <w:lang w:val="en-US"/>
        </w:rPr>
        <w:t xml:space="preserve">the </w:t>
      </w:r>
      <w:r>
        <w:rPr>
          <w:rFonts w:ascii="Book Antiqua" w:hAnsi="Book Antiqua"/>
          <w:lang w:val="en-US"/>
        </w:rPr>
        <w:t xml:space="preserve">refusal </w:t>
      </w:r>
      <w:r w:rsidR="00DA7D91">
        <w:rPr>
          <w:rFonts w:ascii="Book Antiqua" w:hAnsi="Book Antiqua"/>
          <w:lang w:val="en-US"/>
        </w:rPr>
        <w:t xml:space="preserve">on 8 November 2016 </w:t>
      </w:r>
      <w:r>
        <w:rPr>
          <w:rFonts w:ascii="Book Antiqua" w:hAnsi="Book Antiqua"/>
          <w:lang w:val="en-US"/>
        </w:rPr>
        <w:t xml:space="preserve">of the appellant’s protection claim which was based on a fear of harm owing to his Kurdish origins if </w:t>
      </w:r>
      <w:r w:rsidR="00DB792E">
        <w:rPr>
          <w:rFonts w:ascii="Book Antiqua" w:hAnsi="Book Antiqua"/>
          <w:lang w:val="en-US"/>
        </w:rPr>
        <w:t>returned</w:t>
      </w:r>
      <w:r>
        <w:rPr>
          <w:rFonts w:ascii="Book Antiqua" w:hAnsi="Book Antiqua"/>
          <w:lang w:val="en-US"/>
        </w:rPr>
        <w:t xml:space="preserve"> to his claimed country of citizenship, Syria which he </w:t>
      </w:r>
      <w:r w:rsidR="00DA7D91">
        <w:rPr>
          <w:rFonts w:ascii="Book Antiqua" w:hAnsi="Book Antiqua"/>
          <w:lang w:val="en-US"/>
        </w:rPr>
        <w:t xml:space="preserve">explains that he </w:t>
      </w:r>
      <w:r>
        <w:rPr>
          <w:rFonts w:ascii="Book Antiqua" w:hAnsi="Book Antiqua"/>
          <w:lang w:val="en-US"/>
        </w:rPr>
        <w:t>left on 1 May 2016.</w:t>
      </w:r>
      <w:r>
        <w:rPr>
          <w:rFonts w:ascii="Book Antiqua" w:hAnsi="Book Antiqua"/>
        </w:rPr>
        <w:t xml:space="preserve"> </w:t>
      </w:r>
    </w:p>
    <w:p w14:paraId="75924F32" w14:textId="77777777" w:rsidR="00DA7D91" w:rsidRPr="00F831DE" w:rsidRDefault="00DA7D91" w:rsidP="00297C36">
      <w:pPr>
        <w:numPr>
          <w:ilvl w:val="0"/>
          <w:numId w:val="1"/>
        </w:numPr>
        <w:spacing w:before="160"/>
        <w:jc w:val="both"/>
        <w:rPr>
          <w:rFonts w:ascii="Book Antiqua" w:hAnsi="Book Antiqua" w:cs="Arial"/>
        </w:rPr>
      </w:pPr>
      <w:r>
        <w:rPr>
          <w:rFonts w:ascii="Book Antiqua" w:hAnsi="Book Antiqua"/>
          <w:lang w:val="en-US"/>
        </w:rPr>
        <w:t xml:space="preserve">The appellant entered the United Kingdom on 11 May 2016 concealed in a lorry and claimed asylum the same day.  He was interviewed about the substance of his claim </w:t>
      </w:r>
      <w:r>
        <w:rPr>
          <w:rFonts w:ascii="Book Antiqua" w:hAnsi="Book Antiqua"/>
          <w:lang w:val="en-US"/>
        </w:rPr>
        <w:lastRenderedPageBreak/>
        <w:t>on 12 October by when he had been subject to a language analysis indicating that his language was not consistent with his claimed place of origin (</w:t>
      </w:r>
      <w:proofErr w:type="spellStart"/>
      <w:r>
        <w:rPr>
          <w:rFonts w:ascii="Book Antiqua" w:hAnsi="Book Antiqua"/>
          <w:lang w:val="en-US"/>
        </w:rPr>
        <w:t>Hasakaha</w:t>
      </w:r>
      <w:proofErr w:type="spellEnd"/>
      <w:r>
        <w:rPr>
          <w:rFonts w:ascii="Book Antiqua" w:hAnsi="Book Antiqua"/>
          <w:lang w:val="en-US"/>
        </w:rPr>
        <w:t xml:space="preserve"> province). It was also put to him that he had been fingerprinted in Dunkirk when he had said he was from Iraq. </w:t>
      </w:r>
    </w:p>
    <w:p w14:paraId="08F523BC" w14:textId="77777777" w:rsidR="00535603" w:rsidRPr="00F831DE" w:rsidRDefault="00F831DE" w:rsidP="00297C36">
      <w:pPr>
        <w:numPr>
          <w:ilvl w:val="0"/>
          <w:numId w:val="1"/>
        </w:numPr>
        <w:tabs>
          <w:tab w:val="clear" w:pos="567"/>
        </w:tabs>
        <w:spacing w:before="160"/>
        <w:jc w:val="both"/>
        <w:rPr>
          <w:rFonts w:ascii="Book Antiqua" w:hAnsi="Book Antiqua" w:cs="Arial"/>
        </w:rPr>
      </w:pPr>
      <w:r>
        <w:rPr>
          <w:rFonts w:ascii="Book Antiqua" w:hAnsi="Book Antiqua"/>
          <w:lang w:val="en-US"/>
        </w:rPr>
        <w:t xml:space="preserve">The Secretary of State did not accept that he was Syrian. The </w:t>
      </w:r>
      <w:proofErr w:type="spellStart"/>
      <w:r w:rsidR="00DA7D91">
        <w:rPr>
          <w:rFonts w:ascii="Book Antiqua" w:hAnsi="Book Antiqua"/>
          <w:lang w:val="en-US"/>
        </w:rPr>
        <w:t>FtT</w:t>
      </w:r>
      <w:proofErr w:type="spellEnd"/>
      <w:r w:rsidR="00DA7D91">
        <w:rPr>
          <w:rFonts w:ascii="Book Antiqua" w:hAnsi="Book Antiqua"/>
          <w:lang w:val="en-US"/>
        </w:rPr>
        <w:t xml:space="preserve"> </w:t>
      </w:r>
      <w:r>
        <w:rPr>
          <w:rFonts w:ascii="Book Antiqua" w:hAnsi="Book Antiqua"/>
          <w:lang w:val="en-US"/>
        </w:rPr>
        <w:t>rejected the appellant’s account of events in Syria as well as his claim to be a Syrian citizen.</w:t>
      </w:r>
    </w:p>
    <w:p w14:paraId="3F688C6F" w14:textId="77777777" w:rsidR="00F831DE" w:rsidRDefault="00F831DE" w:rsidP="00297C36">
      <w:pPr>
        <w:pStyle w:val="Body"/>
        <w:numPr>
          <w:ilvl w:val="0"/>
          <w:numId w:val="1"/>
        </w:numPr>
        <w:spacing w:before="160"/>
        <w:jc w:val="both"/>
        <w:rPr>
          <w:rFonts w:ascii="Book Antiqua" w:hAnsi="Book Antiqua"/>
        </w:rPr>
      </w:pPr>
      <w:r>
        <w:rPr>
          <w:rFonts w:ascii="Book Antiqua" w:hAnsi="Book Antiqua"/>
        </w:rPr>
        <w:t xml:space="preserve">There </w:t>
      </w:r>
      <w:r w:rsidR="00DA7D91">
        <w:rPr>
          <w:rFonts w:ascii="Book Antiqua" w:hAnsi="Book Antiqua"/>
        </w:rPr>
        <w:t>are</w:t>
      </w:r>
      <w:r>
        <w:rPr>
          <w:rFonts w:ascii="Book Antiqua" w:hAnsi="Book Antiqua"/>
        </w:rPr>
        <w:t xml:space="preserve"> eight grounds of challenge to the FtT decision. These may be summarised as follows:</w:t>
      </w:r>
    </w:p>
    <w:p w14:paraId="28E04D73" w14:textId="77777777" w:rsidR="00F831DE" w:rsidRDefault="00F831DE" w:rsidP="00297C36">
      <w:pPr>
        <w:pStyle w:val="ListParagraph"/>
        <w:numPr>
          <w:ilvl w:val="2"/>
          <w:numId w:val="1"/>
        </w:numPr>
        <w:spacing w:before="120"/>
        <w:jc w:val="both"/>
        <w:rPr>
          <w:rFonts w:ascii="Book Antiqua" w:hAnsi="Book Antiqua"/>
        </w:rPr>
      </w:pPr>
      <w:r>
        <w:rPr>
          <w:rFonts w:ascii="Book Antiqua" w:hAnsi="Book Antiqua"/>
        </w:rPr>
        <w:t>A failure to undertake a fact-finding assessment by the Tribunal by placing too much weight on the assessment by the Secretary of State in the reasons for refusal.</w:t>
      </w:r>
    </w:p>
    <w:p w14:paraId="4008076C" w14:textId="77777777" w:rsidR="00F831DE" w:rsidRDefault="00F831DE" w:rsidP="00297C36">
      <w:pPr>
        <w:pStyle w:val="ListParagraph"/>
        <w:numPr>
          <w:ilvl w:val="2"/>
          <w:numId w:val="1"/>
        </w:numPr>
        <w:spacing w:before="120"/>
        <w:jc w:val="both"/>
        <w:rPr>
          <w:rFonts w:ascii="Book Antiqua" w:hAnsi="Book Antiqua"/>
        </w:rPr>
      </w:pPr>
      <w:r>
        <w:rPr>
          <w:rFonts w:ascii="Book Antiqua" w:hAnsi="Book Antiqua"/>
        </w:rPr>
        <w:t>Failing to consider the appellant’s witness statement which explained his earlier statement that he did not have a passport.  The Tribunal failed to consider the appellant correctly identified aspects of life in Syrian for a Kurd.</w:t>
      </w:r>
    </w:p>
    <w:p w14:paraId="0F11A17D" w14:textId="77777777" w:rsidR="00F831DE" w:rsidRDefault="00F831DE" w:rsidP="00297C36">
      <w:pPr>
        <w:pStyle w:val="ListParagraph"/>
        <w:numPr>
          <w:ilvl w:val="2"/>
          <w:numId w:val="1"/>
        </w:numPr>
        <w:spacing w:before="120"/>
        <w:jc w:val="both"/>
        <w:rPr>
          <w:rFonts w:ascii="Book Antiqua" w:hAnsi="Book Antiqua"/>
        </w:rPr>
      </w:pPr>
      <w:r>
        <w:rPr>
          <w:rFonts w:ascii="Book Antiqua" w:hAnsi="Book Antiqua"/>
        </w:rPr>
        <w:t>Failure to explain why the Tribunal found not credible the explanation by the appellant over his fingerprinting in Dunkirk.</w:t>
      </w:r>
    </w:p>
    <w:p w14:paraId="326CF76D" w14:textId="77777777" w:rsidR="00F831DE" w:rsidRDefault="00F831DE" w:rsidP="00297C36">
      <w:pPr>
        <w:pStyle w:val="ListParagraph"/>
        <w:numPr>
          <w:ilvl w:val="2"/>
          <w:numId w:val="1"/>
        </w:numPr>
        <w:spacing w:before="120"/>
        <w:jc w:val="both"/>
        <w:rPr>
          <w:rFonts w:ascii="Book Antiqua" w:hAnsi="Book Antiqua"/>
        </w:rPr>
      </w:pPr>
      <w:r>
        <w:rPr>
          <w:rFonts w:ascii="Book Antiqua" w:hAnsi="Book Antiqua"/>
        </w:rPr>
        <w:t>A failure by the Tribunal to consider the appellant’s answers at the substantive interview in relation to Syria and with specific reference to his hometown of Dayrik.</w:t>
      </w:r>
    </w:p>
    <w:p w14:paraId="195CE139" w14:textId="77777777" w:rsidR="00F831DE" w:rsidRDefault="00F831DE" w:rsidP="00297C36">
      <w:pPr>
        <w:pStyle w:val="ListParagraph"/>
        <w:numPr>
          <w:ilvl w:val="2"/>
          <w:numId w:val="1"/>
        </w:numPr>
        <w:spacing w:before="120"/>
        <w:jc w:val="both"/>
        <w:rPr>
          <w:rFonts w:ascii="Book Antiqua" w:hAnsi="Book Antiqua"/>
        </w:rPr>
      </w:pPr>
      <w:r>
        <w:rPr>
          <w:rFonts w:ascii="Book Antiqua" w:hAnsi="Book Antiqua"/>
        </w:rPr>
        <w:t>A failure by the Tribunal to consider the case law relating to the weight to be attached to linguistic analysis reports.</w:t>
      </w:r>
    </w:p>
    <w:p w14:paraId="1B390C45" w14:textId="77777777" w:rsidR="00F831DE" w:rsidRPr="00F831DE" w:rsidRDefault="00F831DE" w:rsidP="00297C36">
      <w:pPr>
        <w:pStyle w:val="ListParagraph"/>
        <w:numPr>
          <w:ilvl w:val="2"/>
          <w:numId w:val="1"/>
        </w:numPr>
        <w:spacing w:before="120"/>
        <w:jc w:val="both"/>
        <w:rPr>
          <w:rFonts w:ascii="Book Antiqua" w:hAnsi="Book Antiqua"/>
        </w:rPr>
      </w:pPr>
      <w:r>
        <w:rPr>
          <w:rFonts w:ascii="Book Antiqua" w:hAnsi="Book Antiqua"/>
        </w:rPr>
        <w:t xml:space="preserve">Failure to apply the country guidance case of </w:t>
      </w:r>
      <w:r w:rsidRPr="00F831DE">
        <w:rPr>
          <w:rFonts w:ascii="Book Antiqua" w:hAnsi="Book Antiqua"/>
          <w:i/>
        </w:rPr>
        <w:t>AA (</w:t>
      </w:r>
      <w:r>
        <w:rPr>
          <w:rFonts w:ascii="Book Antiqua" w:hAnsi="Book Antiqua"/>
          <w:i/>
        </w:rPr>
        <w:t>Article</w:t>
      </w:r>
      <w:r w:rsidRPr="00F831DE">
        <w:rPr>
          <w:rFonts w:ascii="Book Antiqua" w:hAnsi="Book Antiqua"/>
          <w:i/>
        </w:rPr>
        <w:t xml:space="preserve"> 15c)</w:t>
      </w:r>
      <w:r>
        <w:rPr>
          <w:rFonts w:ascii="Book Antiqua" w:hAnsi="Book Antiqua"/>
        </w:rPr>
        <w:t xml:space="preserve"> CG [2015] UKUT 544 and </w:t>
      </w:r>
      <w:r w:rsidRPr="00F831DE">
        <w:rPr>
          <w:rFonts w:ascii="Book Antiqua" w:hAnsi="Book Antiqua"/>
          <w:i/>
        </w:rPr>
        <w:t>AA (Iraq)</w:t>
      </w:r>
      <w:r>
        <w:rPr>
          <w:rFonts w:ascii="Book Antiqua" w:hAnsi="Book Antiqua"/>
        </w:rPr>
        <w:t xml:space="preserve"> [2017] EWCA Civ 944 in respect of return to Iraq. </w:t>
      </w:r>
    </w:p>
    <w:p w14:paraId="76986E42" w14:textId="77777777" w:rsidR="00F831DE" w:rsidRPr="00F831DE" w:rsidRDefault="00F831DE" w:rsidP="00297C36">
      <w:pPr>
        <w:numPr>
          <w:ilvl w:val="0"/>
          <w:numId w:val="1"/>
        </w:numPr>
        <w:spacing w:before="160"/>
        <w:jc w:val="both"/>
        <w:rPr>
          <w:rFonts w:ascii="Book Antiqua" w:hAnsi="Book Antiqua" w:cs="Arial"/>
        </w:rPr>
      </w:pPr>
      <w:r>
        <w:rPr>
          <w:rFonts w:ascii="Book Antiqua" w:hAnsi="Book Antiqua"/>
          <w:lang w:val="en-US"/>
        </w:rPr>
        <w:t>Ms Vengoechea had lodged a detailed skeleton argument that to an extent departed from the ambit of the above grounds. I reminded her of the need to keep to those grounds and both parties agreed that the above summary represented a fair summary</w:t>
      </w:r>
      <w:r w:rsidR="001B09B5">
        <w:rPr>
          <w:rFonts w:ascii="Book Antiqua" w:hAnsi="Book Antiqua"/>
          <w:lang w:val="en-US"/>
        </w:rPr>
        <w:t xml:space="preserve"> of the grounds of challenge. </w:t>
      </w:r>
      <w:r>
        <w:rPr>
          <w:rFonts w:ascii="Book Antiqua" w:hAnsi="Book Antiqua"/>
          <w:lang w:val="en-US"/>
        </w:rPr>
        <w:t>In addition</w:t>
      </w:r>
      <w:r w:rsidR="00DA7D91">
        <w:rPr>
          <w:rFonts w:ascii="Book Antiqua" w:hAnsi="Book Antiqua"/>
          <w:lang w:val="en-US"/>
        </w:rPr>
        <w:t>,</w:t>
      </w:r>
      <w:r>
        <w:rPr>
          <w:rFonts w:ascii="Book Antiqua" w:hAnsi="Book Antiqua"/>
          <w:lang w:val="en-US"/>
        </w:rPr>
        <w:t xml:space="preserve"> it was agreed that the challenge related to the correctness of the judge’s findings on the claim based on the appellant being a national of Syria as opposed to risk in Iraq. This resulted in ground (vi) falling away. </w:t>
      </w:r>
      <w:r w:rsidR="002B61BB">
        <w:rPr>
          <w:rFonts w:ascii="Book Antiqua" w:hAnsi="Book Antiqua"/>
          <w:lang w:val="en-US"/>
        </w:rPr>
        <w:t xml:space="preserve">In </w:t>
      </w:r>
      <w:r>
        <w:rPr>
          <w:rFonts w:ascii="Book Antiqua" w:hAnsi="Book Antiqua"/>
          <w:lang w:val="en-US"/>
        </w:rPr>
        <w:t>the light of the detail in the skeleton</w:t>
      </w:r>
      <w:r w:rsidR="00426816">
        <w:rPr>
          <w:rFonts w:ascii="Book Antiqua" w:hAnsi="Book Antiqua"/>
          <w:lang w:val="en-US"/>
        </w:rPr>
        <w:t>,</w:t>
      </w:r>
      <w:r>
        <w:rPr>
          <w:rFonts w:ascii="Book Antiqua" w:hAnsi="Book Antiqua"/>
          <w:lang w:val="en-US"/>
        </w:rPr>
        <w:t xml:space="preserve"> it was also agreed th</w:t>
      </w:r>
      <w:r w:rsidR="00DB792E">
        <w:rPr>
          <w:rFonts w:ascii="Book Antiqua" w:hAnsi="Book Antiqua"/>
          <w:lang w:val="en-US"/>
        </w:rPr>
        <w:t>at</w:t>
      </w:r>
      <w:r>
        <w:rPr>
          <w:rFonts w:ascii="Book Antiqua" w:hAnsi="Book Antiqua"/>
          <w:lang w:val="en-US"/>
        </w:rPr>
        <w:t xml:space="preserve"> Mr Mathews would make his submissions first. I announced at the end of the submissions </w:t>
      </w:r>
      <w:r w:rsidR="00426816">
        <w:rPr>
          <w:rFonts w:ascii="Book Antiqua" w:hAnsi="Book Antiqua"/>
          <w:lang w:val="en-US"/>
        </w:rPr>
        <w:t xml:space="preserve">of both </w:t>
      </w:r>
      <w:r>
        <w:rPr>
          <w:rFonts w:ascii="Book Antiqua" w:hAnsi="Book Antiqua"/>
          <w:lang w:val="en-US"/>
        </w:rPr>
        <w:t xml:space="preserve">that I would dismiss the appeal </w:t>
      </w:r>
      <w:proofErr w:type="gramStart"/>
      <w:r>
        <w:rPr>
          <w:rFonts w:ascii="Book Antiqua" w:hAnsi="Book Antiqua"/>
          <w:lang w:val="en-US"/>
        </w:rPr>
        <w:t>for the reasons that</w:t>
      </w:r>
      <w:proofErr w:type="gramEnd"/>
      <w:r>
        <w:rPr>
          <w:rFonts w:ascii="Book Antiqua" w:hAnsi="Book Antiqua"/>
          <w:lang w:val="en-US"/>
        </w:rPr>
        <w:t xml:space="preserve"> I now give.</w:t>
      </w:r>
    </w:p>
    <w:p w14:paraId="50CAC6D9" w14:textId="77777777" w:rsidR="0014744A" w:rsidRPr="00BB245A" w:rsidRDefault="00F831DE" w:rsidP="00297C36">
      <w:pPr>
        <w:numPr>
          <w:ilvl w:val="0"/>
          <w:numId w:val="1"/>
        </w:numPr>
        <w:spacing w:before="160"/>
        <w:jc w:val="both"/>
        <w:rPr>
          <w:rFonts w:ascii="Book Antiqua" w:hAnsi="Book Antiqua" w:cs="Arial"/>
        </w:rPr>
      </w:pPr>
      <w:r w:rsidRPr="00BB245A">
        <w:rPr>
          <w:rFonts w:ascii="Book Antiqua" w:hAnsi="Book Antiqua" w:cs="Arial"/>
        </w:rPr>
        <w:t xml:space="preserve">I take each </w:t>
      </w:r>
      <w:r w:rsidR="00DB792E" w:rsidRPr="00BB245A">
        <w:rPr>
          <w:rFonts w:ascii="Book Antiqua" w:hAnsi="Book Antiqua" w:cs="Arial"/>
        </w:rPr>
        <w:t>ground</w:t>
      </w:r>
      <w:r w:rsidRPr="00BB245A">
        <w:rPr>
          <w:rFonts w:ascii="Book Antiqua" w:hAnsi="Book Antiqua" w:cs="Arial"/>
        </w:rPr>
        <w:t xml:space="preserve"> in turn.</w:t>
      </w:r>
      <w:r w:rsidR="00337209" w:rsidRPr="00BB245A">
        <w:rPr>
          <w:rFonts w:ascii="Book Antiqua" w:hAnsi="Book Antiqua" w:cs="Arial"/>
        </w:rPr>
        <w:t xml:space="preserve">  Mr Mathews characterised </w:t>
      </w:r>
      <w:r w:rsidR="00D62758">
        <w:rPr>
          <w:rFonts w:ascii="Book Antiqua" w:hAnsi="Book Antiqua" w:cs="Arial"/>
        </w:rPr>
        <w:t>the first ground</w:t>
      </w:r>
      <w:r w:rsidR="00337209" w:rsidRPr="00BB245A">
        <w:rPr>
          <w:rFonts w:ascii="Book Antiqua" w:hAnsi="Book Antiqua" w:cs="Arial"/>
        </w:rPr>
        <w:t xml:space="preserve"> as a </w:t>
      </w:r>
      <w:r w:rsidR="0014744A" w:rsidRPr="00BB245A">
        <w:rPr>
          <w:rFonts w:ascii="Book Antiqua" w:hAnsi="Book Antiqua" w:cs="Arial"/>
        </w:rPr>
        <w:t xml:space="preserve">general </w:t>
      </w:r>
      <w:r w:rsidR="00D62758">
        <w:rPr>
          <w:rFonts w:ascii="Book Antiqua" w:hAnsi="Book Antiqua" w:cs="Arial"/>
        </w:rPr>
        <w:t>one</w:t>
      </w:r>
      <w:r w:rsidR="00E4340F">
        <w:rPr>
          <w:rFonts w:ascii="Book Antiqua" w:hAnsi="Book Antiqua" w:cs="Arial"/>
        </w:rPr>
        <w:t xml:space="preserve">; </w:t>
      </w:r>
      <w:r w:rsidR="0014744A" w:rsidRPr="00BB245A">
        <w:rPr>
          <w:rFonts w:ascii="Book Antiqua" w:hAnsi="Book Antiqua" w:cs="Arial"/>
        </w:rPr>
        <w:t xml:space="preserve">the weight given to the evidence was a matter for the judge.  He further observed there was no rationality challenge as acknowledged by Ms </w:t>
      </w:r>
      <w:r w:rsidR="0014744A" w:rsidRPr="00BB245A">
        <w:rPr>
          <w:rFonts w:ascii="Book Antiqua" w:hAnsi="Book Antiqua"/>
          <w:lang w:val="en-US"/>
        </w:rPr>
        <w:t>Vengoechea</w:t>
      </w:r>
      <w:r w:rsidR="0014744A" w:rsidRPr="00BB245A">
        <w:rPr>
          <w:rFonts w:ascii="Book Antiqua" w:hAnsi="Book Antiqua" w:cs="Arial"/>
        </w:rPr>
        <w:t xml:space="preserve"> and </w:t>
      </w:r>
      <w:r w:rsidR="00E4340F">
        <w:rPr>
          <w:rFonts w:ascii="Book Antiqua" w:hAnsi="Book Antiqua" w:cs="Arial"/>
        </w:rPr>
        <w:t xml:space="preserve">he </w:t>
      </w:r>
      <w:r w:rsidR="0014744A" w:rsidRPr="00BB245A">
        <w:rPr>
          <w:rFonts w:ascii="Book Antiqua" w:hAnsi="Book Antiqua" w:cs="Arial"/>
        </w:rPr>
        <w:t>did not consider there had been error.  In the course of her submissions</w:t>
      </w:r>
      <w:r w:rsidR="00E4340F">
        <w:rPr>
          <w:rFonts w:ascii="Book Antiqua" w:hAnsi="Book Antiqua" w:cs="Arial"/>
        </w:rPr>
        <w:t>,</w:t>
      </w:r>
      <w:r w:rsidR="0014744A" w:rsidRPr="00BB245A">
        <w:rPr>
          <w:rFonts w:ascii="Book Antiqua" w:hAnsi="Book Antiqua" w:cs="Arial"/>
        </w:rPr>
        <w:t xml:space="preserve"> I encouraged Ms </w:t>
      </w:r>
      <w:r w:rsidR="0014744A" w:rsidRPr="00BB245A">
        <w:rPr>
          <w:rFonts w:ascii="Book Antiqua" w:hAnsi="Book Antiqua"/>
          <w:lang w:val="en-US"/>
        </w:rPr>
        <w:t xml:space="preserve">Vengoechea to identify the areas where the appellant had been credible.  This involved </w:t>
      </w:r>
      <w:r w:rsidR="00DB792E" w:rsidRPr="00BB245A">
        <w:rPr>
          <w:rFonts w:ascii="Book Antiqua" w:hAnsi="Book Antiqua"/>
        </w:rPr>
        <w:t>analysis</w:t>
      </w:r>
      <w:r w:rsidR="0014744A" w:rsidRPr="00BB245A">
        <w:rPr>
          <w:rFonts w:ascii="Book Antiqua" w:hAnsi="Book Antiqua"/>
        </w:rPr>
        <w:t xml:space="preserve"> of the country information which had been produced by previous agents cross-referenced to the record of </w:t>
      </w:r>
      <w:r w:rsidR="00BB245A">
        <w:rPr>
          <w:rFonts w:ascii="Book Antiqua" w:hAnsi="Book Antiqua"/>
        </w:rPr>
        <w:t xml:space="preserve">interview.  Implicit </w:t>
      </w:r>
      <w:r w:rsidR="00E4340F">
        <w:rPr>
          <w:rFonts w:ascii="Book Antiqua" w:hAnsi="Book Antiqua"/>
        </w:rPr>
        <w:t>in her</w:t>
      </w:r>
      <w:r w:rsidR="00BB245A">
        <w:rPr>
          <w:rFonts w:ascii="Book Antiqua" w:hAnsi="Book Antiqua"/>
          <w:lang w:val="en-US"/>
        </w:rPr>
        <w:t xml:space="preserve"> submissions</w:t>
      </w:r>
      <w:r w:rsidR="00E4340F">
        <w:rPr>
          <w:rFonts w:ascii="Book Antiqua" w:hAnsi="Book Antiqua"/>
          <w:lang w:val="en-US"/>
        </w:rPr>
        <w:t xml:space="preserve"> is the point</w:t>
      </w:r>
      <w:r w:rsidR="00BB245A">
        <w:rPr>
          <w:rFonts w:ascii="Book Antiqua" w:hAnsi="Book Antiqua"/>
          <w:lang w:val="en-US"/>
        </w:rPr>
        <w:t xml:space="preserve"> that the judge</w:t>
      </w:r>
      <w:r w:rsidR="00E4340F">
        <w:rPr>
          <w:rFonts w:ascii="Book Antiqua" w:hAnsi="Book Antiqua"/>
          <w:lang w:val="en-US"/>
        </w:rPr>
        <w:t xml:space="preserve"> </w:t>
      </w:r>
      <w:r w:rsidR="00BB245A">
        <w:rPr>
          <w:rFonts w:ascii="Book Antiqua" w:hAnsi="Book Antiqua"/>
        </w:rPr>
        <w:t xml:space="preserve">had simply taken the negative points and had failed to </w:t>
      </w:r>
      <w:r w:rsidR="00DB792E">
        <w:rPr>
          <w:rFonts w:ascii="Book Antiqua" w:hAnsi="Book Antiqua"/>
        </w:rPr>
        <w:t>attribute</w:t>
      </w:r>
      <w:r w:rsidR="00BB245A">
        <w:rPr>
          <w:rFonts w:ascii="Book Antiqua" w:hAnsi="Book Antiqua"/>
        </w:rPr>
        <w:t xml:space="preserve"> appropriate weight to the </w:t>
      </w:r>
      <w:r w:rsidR="00DB792E">
        <w:rPr>
          <w:rFonts w:ascii="Book Antiqua" w:hAnsi="Book Antiqua"/>
        </w:rPr>
        <w:t>positive</w:t>
      </w:r>
      <w:r w:rsidR="00BB245A">
        <w:rPr>
          <w:rFonts w:ascii="Book Antiqua" w:hAnsi="Book Antiqua"/>
        </w:rPr>
        <w:t xml:space="preserve"> matters in support of the appellant’s claim.</w:t>
      </w:r>
    </w:p>
    <w:p w14:paraId="0E3B49D4" w14:textId="77777777" w:rsidR="00184E8D" w:rsidRPr="00184E8D" w:rsidRDefault="00BB245A" w:rsidP="00297C36">
      <w:pPr>
        <w:numPr>
          <w:ilvl w:val="0"/>
          <w:numId w:val="1"/>
        </w:numPr>
        <w:spacing w:before="160"/>
        <w:jc w:val="both"/>
        <w:rPr>
          <w:rFonts w:ascii="Book Antiqua" w:hAnsi="Book Antiqua" w:cs="Arial"/>
        </w:rPr>
      </w:pPr>
      <w:r>
        <w:rPr>
          <w:rFonts w:ascii="Book Antiqua" w:hAnsi="Book Antiqua" w:cs="Arial"/>
        </w:rPr>
        <w:lastRenderedPageBreak/>
        <w:t xml:space="preserve">The judge’s decision is not a lengthy one and it is correct that there is no mention of, for example, the unchallenged account by the appellant of seven provinces in Syria, the religions practised and the geography surrounding his village, except the existence of certain towns and villages </w:t>
      </w:r>
      <w:r w:rsidR="00184E8D">
        <w:rPr>
          <w:rFonts w:ascii="Book Antiqua" w:hAnsi="Book Antiqua" w:cs="Arial"/>
        </w:rPr>
        <w:t xml:space="preserve">that would be </w:t>
      </w:r>
      <w:r w:rsidR="00DB792E">
        <w:rPr>
          <w:rFonts w:ascii="Book Antiqua" w:hAnsi="Book Antiqua" w:cs="Arial"/>
        </w:rPr>
        <w:t>passed</w:t>
      </w:r>
      <w:r w:rsidR="00184E8D">
        <w:rPr>
          <w:rFonts w:ascii="Book Antiqua" w:hAnsi="Book Antiqua" w:cs="Arial"/>
        </w:rPr>
        <w:t xml:space="preserve"> on the way to Derik from his home village.  </w:t>
      </w:r>
      <w:r w:rsidR="00871A0E">
        <w:rPr>
          <w:rFonts w:ascii="Book Antiqua" w:hAnsi="Book Antiqua" w:cs="Arial"/>
        </w:rPr>
        <w:t>A reading of the interview show that h</w:t>
      </w:r>
      <w:r w:rsidR="00E4340F">
        <w:rPr>
          <w:rFonts w:ascii="Book Antiqua" w:hAnsi="Book Antiqua" w:cs="Arial"/>
        </w:rPr>
        <w:t>e</w:t>
      </w:r>
      <w:r w:rsidR="00184E8D">
        <w:rPr>
          <w:rFonts w:ascii="Book Antiqua" w:hAnsi="Book Antiqua" w:cs="Arial"/>
        </w:rPr>
        <w:t xml:space="preserve"> did not know why Bashar Assad was President rather than his older brother and </w:t>
      </w:r>
      <w:r w:rsidR="009D4B7E">
        <w:rPr>
          <w:rFonts w:ascii="Book Antiqua" w:hAnsi="Book Antiqua" w:cs="Arial"/>
        </w:rPr>
        <w:t>he</w:t>
      </w:r>
      <w:r w:rsidR="00184E8D">
        <w:rPr>
          <w:rFonts w:ascii="Book Antiqua" w:hAnsi="Book Antiqua" w:cs="Arial"/>
        </w:rPr>
        <w:t xml:space="preserve"> described the President’s </w:t>
      </w:r>
      <w:r w:rsidR="00DB792E">
        <w:rPr>
          <w:rFonts w:ascii="Book Antiqua" w:hAnsi="Book Antiqua" w:cs="Arial"/>
        </w:rPr>
        <w:t>religion</w:t>
      </w:r>
      <w:r w:rsidR="00184E8D">
        <w:rPr>
          <w:rFonts w:ascii="Book Antiqua" w:hAnsi="Book Antiqua" w:cs="Arial"/>
        </w:rPr>
        <w:t xml:space="preserve"> </w:t>
      </w:r>
      <w:r w:rsidR="009D4B7E">
        <w:rPr>
          <w:rFonts w:ascii="Book Antiqua" w:hAnsi="Book Antiqua" w:cs="Arial"/>
        </w:rPr>
        <w:t xml:space="preserve">simply </w:t>
      </w:r>
      <w:r w:rsidR="00184E8D">
        <w:rPr>
          <w:rFonts w:ascii="Book Antiqua" w:hAnsi="Book Antiqua" w:cs="Arial"/>
        </w:rPr>
        <w:t>as Muslim</w:t>
      </w:r>
      <w:r w:rsidR="00E4340F">
        <w:rPr>
          <w:rFonts w:ascii="Book Antiqua" w:hAnsi="Book Antiqua" w:cs="Arial"/>
        </w:rPr>
        <w:t>.</w:t>
      </w:r>
      <w:r w:rsidR="00184E8D">
        <w:rPr>
          <w:rFonts w:ascii="Book Antiqua" w:hAnsi="Book Antiqua" w:cs="Arial"/>
        </w:rPr>
        <w:t xml:space="preserve"> </w:t>
      </w:r>
      <w:r w:rsidR="00E4340F">
        <w:rPr>
          <w:rFonts w:ascii="Book Antiqua" w:hAnsi="Book Antiqua" w:cs="Arial"/>
        </w:rPr>
        <w:t>T</w:t>
      </w:r>
      <w:r w:rsidR="00184E8D">
        <w:rPr>
          <w:rFonts w:ascii="Book Antiqua" w:hAnsi="Book Antiqua" w:cs="Arial"/>
        </w:rPr>
        <w:t xml:space="preserve">he appellant did not know which party Bashar Assad belonged to.  The Secretary of State </w:t>
      </w:r>
      <w:r w:rsidR="00367706">
        <w:rPr>
          <w:rFonts w:ascii="Book Antiqua" w:hAnsi="Book Antiqua" w:cs="Arial"/>
        </w:rPr>
        <w:t>gave</w:t>
      </w:r>
      <w:r w:rsidR="00184E8D">
        <w:rPr>
          <w:rFonts w:ascii="Book Antiqua" w:hAnsi="Book Antiqua" w:cs="Arial"/>
        </w:rPr>
        <w:t xml:space="preserve"> reasons in the refusal letter for questioning aspects of the appellant’s knowledge of Syria </w:t>
      </w:r>
      <w:r w:rsidR="00EE1F3F">
        <w:rPr>
          <w:rFonts w:ascii="Book Antiqua" w:hAnsi="Book Antiqua" w:cs="Arial"/>
        </w:rPr>
        <w:t xml:space="preserve">included an acknowledgment that the answer as to the provinces was correct but noted the failure to know why Assad had come to power and not knowing that he is an Alawite.  The positive matters appear to be balanced by a noteworthy lack of knowledge. The judge refers as discussed below to some of the “knowledge” matters raised in the refusal letter and there is no reason to believe that he was not aware of </w:t>
      </w:r>
      <w:r w:rsidR="00514D8E">
        <w:rPr>
          <w:rFonts w:ascii="Book Antiqua" w:hAnsi="Book Antiqua" w:cs="Arial"/>
        </w:rPr>
        <w:t>and took into account</w:t>
      </w:r>
      <w:r w:rsidR="00EE1F3F">
        <w:rPr>
          <w:rFonts w:ascii="Book Antiqua" w:hAnsi="Book Antiqua" w:cs="Arial"/>
        </w:rPr>
        <w:t xml:space="preserve"> </w:t>
      </w:r>
      <w:r w:rsidR="001A7BEA">
        <w:rPr>
          <w:rFonts w:ascii="Book Antiqua" w:hAnsi="Book Antiqua" w:cs="Arial"/>
        </w:rPr>
        <w:t xml:space="preserve">all </w:t>
      </w:r>
      <w:r w:rsidR="00EE1F3F">
        <w:rPr>
          <w:rFonts w:ascii="Book Antiqua" w:hAnsi="Book Antiqua" w:cs="Arial"/>
        </w:rPr>
        <w:t xml:space="preserve">the correct answers given as well as those that were </w:t>
      </w:r>
      <w:r w:rsidR="001A7BEA">
        <w:rPr>
          <w:rFonts w:ascii="Book Antiqua" w:hAnsi="Book Antiqua" w:cs="Arial"/>
        </w:rPr>
        <w:t>open to question</w:t>
      </w:r>
      <w:r w:rsidR="00EE1F3F">
        <w:rPr>
          <w:rFonts w:ascii="Book Antiqua" w:hAnsi="Book Antiqua" w:cs="Arial"/>
        </w:rPr>
        <w:t>. There is no requirement for a judge to refer to all the evidence in giving his reasons and it was open to this judge to focus on the</w:t>
      </w:r>
      <w:r w:rsidR="00525BDA">
        <w:rPr>
          <w:rFonts w:ascii="Book Antiqua" w:hAnsi="Book Antiqua" w:cs="Arial"/>
        </w:rPr>
        <w:t xml:space="preserve"> matters</w:t>
      </w:r>
      <w:r w:rsidR="00EE1F3F">
        <w:rPr>
          <w:rFonts w:ascii="Book Antiqua" w:hAnsi="Book Antiqua" w:cs="Arial"/>
        </w:rPr>
        <w:t xml:space="preserve"> that he clearly considered material. </w:t>
      </w:r>
      <w:r w:rsidR="00184E8D">
        <w:rPr>
          <w:rFonts w:ascii="Book Antiqua" w:hAnsi="Book Antiqua" w:cs="Arial"/>
        </w:rPr>
        <w:t xml:space="preserve">This </w:t>
      </w:r>
      <w:r w:rsidR="008946D2">
        <w:rPr>
          <w:rFonts w:ascii="Book Antiqua" w:hAnsi="Book Antiqua" w:cs="Arial"/>
        </w:rPr>
        <w:t>does</w:t>
      </w:r>
      <w:r w:rsidR="00184E8D">
        <w:rPr>
          <w:rFonts w:ascii="Book Antiqua" w:hAnsi="Book Antiqua" w:cs="Arial"/>
        </w:rPr>
        <w:t xml:space="preserve"> not</w:t>
      </w:r>
      <w:r w:rsidR="0078210E">
        <w:rPr>
          <w:rFonts w:ascii="Book Antiqua" w:hAnsi="Book Antiqua" w:cs="Arial"/>
        </w:rPr>
        <w:t>,</w:t>
      </w:r>
      <w:r w:rsidR="00184E8D">
        <w:rPr>
          <w:rFonts w:ascii="Book Antiqua" w:hAnsi="Book Antiqua" w:cs="Arial"/>
        </w:rPr>
        <w:t xml:space="preserve"> as asserted by </w:t>
      </w:r>
      <w:r w:rsidR="00184E8D" w:rsidRPr="00BB245A">
        <w:rPr>
          <w:rFonts w:ascii="Book Antiqua" w:hAnsi="Book Antiqua" w:cs="Arial"/>
        </w:rPr>
        <w:t xml:space="preserve">Ms </w:t>
      </w:r>
      <w:proofErr w:type="spellStart"/>
      <w:r w:rsidR="00184E8D" w:rsidRPr="00BB245A">
        <w:rPr>
          <w:rFonts w:ascii="Book Antiqua" w:hAnsi="Book Antiqua"/>
          <w:lang w:val="en-US"/>
        </w:rPr>
        <w:t>Vengoechea</w:t>
      </w:r>
      <w:proofErr w:type="spellEnd"/>
      <w:r w:rsidR="00184E8D">
        <w:rPr>
          <w:rFonts w:ascii="Book Antiqua" w:hAnsi="Book Antiqua"/>
          <w:lang w:val="en-US"/>
        </w:rPr>
        <w:t xml:space="preserve"> a</w:t>
      </w:r>
      <w:r w:rsidR="008946D2">
        <w:rPr>
          <w:rFonts w:ascii="Book Antiqua" w:hAnsi="Book Antiqua"/>
          <w:lang w:val="en-US"/>
        </w:rPr>
        <w:t>mount to</w:t>
      </w:r>
      <w:r w:rsidR="00184E8D">
        <w:rPr>
          <w:rFonts w:ascii="Book Antiqua" w:hAnsi="Book Antiqua"/>
          <w:lang w:val="en-US"/>
        </w:rPr>
        <w:t xml:space="preserve"> an unfair approach but one properly </w:t>
      </w:r>
      <w:r w:rsidR="00DB792E">
        <w:rPr>
          <w:rFonts w:ascii="Book Antiqua" w:hAnsi="Book Antiqua"/>
          <w:lang w:val="en-US"/>
        </w:rPr>
        <w:t>open</w:t>
      </w:r>
      <w:r w:rsidR="00184E8D">
        <w:rPr>
          <w:rFonts w:ascii="Book Antiqua" w:hAnsi="Book Antiqua"/>
          <w:lang w:val="en-US"/>
        </w:rPr>
        <w:t xml:space="preserve"> to the judge when assessing whether the appellant was from Syria at all.</w:t>
      </w:r>
    </w:p>
    <w:p w14:paraId="138BF913" w14:textId="77777777" w:rsidR="00F831DE" w:rsidRDefault="008A3C94" w:rsidP="00297C36">
      <w:pPr>
        <w:numPr>
          <w:ilvl w:val="0"/>
          <w:numId w:val="1"/>
        </w:numPr>
        <w:spacing w:before="160"/>
        <w:jc w:val="both"/>
        <w:rPr>
          <w:rFonts w:ascii="Book Antiqua" w:hAnsi="Book Antiqua" w:cs="Arial"/>
        </w:rPr>
      </w:pPr>
      <w:r>
        <w:rPr>
          <w:rFonts w:ascii="Book Antiqua" w:hAnsi="Book Antiqua" w:cs="Arial"/>
        </w:rPr>
        <w:t xml:space="preserve">I have already dealt with the second limb to </w:t>
      </w:r>
      <w:r w:rsidR="0078210E">
        <w:rPr>
          <w:rFonts w:ascii="Book Antiqua" w:hAnsi="Book Antiqua" w:cs="Arial"/>
        </w:rPr>
        <w:t xml:space="preserve">the second </w:t>
      </w:r>
      <w:r>
        <w:rPr>
          <w:rFonts w:ascii="Book Antiqua" w:hAnsi="Book Antiqua" w:cs="Arial"/>
        </w:rPr>
        <w:t xml:space="preserve">ground and my focus is therefore on the first </w:t>
      </w:r>
      <w:r w:rsidR="0078210E">
        <w:rPr>
          <w:rFonts w:ascii="Book Antiqua" w:hAnsi="Book Antiqua" w:cs="Arial"/>
        </w:rPr>
        <w:t xml:space="preserve">limb </w:t>
      </w:r>
      <w:r>
        <w:rPr>
          <w:rFonts w:ascii="Book Antiqua" w:hAnsi="Book Antiqua" w:cs="Arial"/>
        </w:rPr>
        <w:t xml:space="preserve">in relation to the asserted failure by the judge to consider the appellant’s witness statement explaining the </w:t>
      </w:r>
      <w:r w:rsidR="008946D2">
        <w:rPr>
          <w:rFonts w:ascii="Book Antiqua" w:hAnsi="Book Antiqua" w:cs="Arial"/>
        </w:rPr>
        <w:t xml:space="preserve">various </w:t>
      </w:r>
      <w:r>
        <w:rPr>
          <w:rFonts w:ascii="Book Antiqua" w:hAnsi="Book Antiqua" w:cs="Arial"/>
        </w:rPr>
        <w:t xml:space="preserve">references he had made to his passport.  Mr Mathews accepted the judge had erred on this </w:t>
      </w:r>
      <w:r w:rsidR="00DB792E">
        <w:rPr>
          <w:rFonts w:ascii="Book Antiqua" w:hAnsi="Book Antiqua" w:cs="Arial"/>
        </w:rPr>
        <w:t>ground</w:t>
      </w:r>
      <w:r>
        <w:rPr>
          <w:rFonts w:ascii="Book Antiqua" w:hAnsi="Book Antiqua" w:cs="Arial"/>
        </w:rPr>
        <w:t>.  At paragraph 18 the judge stated:</w:t>
      </w:r>
    </w:p>
    <w:p w14:paraId="7BDF0412" w14:textId="77777777" w:rsidR="008A3C94" w:rsidRPr="00297C36" w:rsidRDefault="008A3C94" w:rsidP="00297C36">
      <w:pPr>
        <w:spacing w:before="120"/>
        <w:ind w:left="1134" w:right="567"/>
        <w:jc w:val="both"/>
        <w:rPr>
          <w:rFonts w:ascii="Book Antiqua" w:hAnsi="Book Antiqua" w:cs="Arial"/>
          <w:sz w:val="22"/>
          <w:szCs w:val="22"/>
        </w:rPr>
      </w:pPr>
      <w:r w:rsidRPr="00297C36">
        <w:rPr>
          <w:rFonts w:ascii="Book Antiqua" w:hAnsi="Book Antiqua" w:cs="Arial"/>
          <w:sz w:val="22"/>
          <w:szCs w:val="22"/>
        </w:rPr>
        <w:t>“The Appellant was asked at the screening interview whether he had a passport.  He indicated that his passport was in Syria.  (A2 Q1.8).  He was asked at interview whether he had a passport which was still in Syria.  He indicated that this was the case (C8, Q17).  He was unable to advise the interviewer when he obtained his passport and suggested that it was a long time ago (C8, Q18).  He then went on to deny that he was a Syrian citizen (C8, Q27).  This is clearly inconsistent with his claim to have been issued with a Syrian passport.”</w:t>
      </w:r>
    </w:p>
    <w:p w14:paraId="35AC3341" w14:textId="77777777" w:rsidR="008A3C94" w:rsidRDefault="008A3C94" w:rsidP="00297C36">
      <w:pPr>
        <w:numPr>
          <w:ilvl w:val="0"/>
          <w:numId w:val="1"/>
        </w:numPr>
        <w:spacing w:before="160"/>
        <w:jc w:val="both"/>
        <w:rPr>
          <w:rFonts w:ascii="Book Antiqua" w:hAnsi="Book Antiqua" w:cs="Arial"/>
        </w:rPr>
      </w:pPr>
      <w:r>
        <w:rPr>
          <w:rFonts w:ascii="Book Antiqua" w:hAnsi="Book Antiqua" w:cs="Arial"/>
        </w:rPr>
        <w:t xml:space="preserve">In his initial interview, the appellant </w:t>
      </w:r>
      <w:r w:rsidR="00DB792E">
        <w:rPr>
          <w:rFonts w:ascii="Book Antiqua" w:hAnsi="Book Antiqua" w:cs="Arial"/>
        </w:rPr>
        <w:t>responded</w:t>
      </w:r>
      <w:r>
        <w:rPr>
          <w:rFonts w:ascii="Book Antiqua" w:hAnsi="Book Antiqua" w:cs="Arial"/>
        </w:rPr>
        <w:t xml:space="preserve"> that his passport was in Syria when asked as to its whereabouts.  He had in the previous question </w:t>
      </w:r>
      <w:r w:rsidR="00681904">
        <w:rPr>
          <w:rFonts w:ascii="Book Antiqua" w:hAnsi="Book Antiqua" w:cs="Arial"/>
        </w:rPr>
        <w:t xml:space="preserve">answered in the negative that he did not have any evidence to confirm his identity.  In the substantive interview the appellant confirmed the correctness of his answer that his passport was in Syria.  He was unable to explain when he had acquired this as it was a long time ago, nor was he aware of the information given to the authorities for its issue, explaining that he was young.  Questioning returned in that interview </w:t>
      </w:r>
      <w:r w:rsidR="008946D2">
        <w:rPr>
          <w:rFonts w:ascii="Book Antiqua" w:hAnsi="Book Antiqua" w:cs="Arial"/>
        </w:rPr>
        <w:t>to his</w:t>
      </w:r>
      <w:r w:rsidR="00681904">
        <w:rPr>
          <w:rFonts w:ascii="Book Antiqua" w:hAnsi="Book Antiqua" w:cs="Arial"/>
        </w:rPr>
        <w:t xml:space="preserve"> identity documents.  When the appellant was </w:t>
      </w:r>
      <w:r w:rsidR="00DB792E">
        <w:rPr>
          <w:rFonts w:ascii="Book Antiqua" w:hAnsi="Book Antiqua" w:cs="Arial"/>
        </w:rPr>
        <w:t>asked</w:t>
      </w:r>
      <w:r w:rsidR="00681904">
        <w:rPr>
          <w:rFonts w:ascii="Book Antiqua" w:hAnsi="Book Antiqua" w:cs="Arial"/>
        </w:rPr>
        <w:t xml:space="preserve"> whether there were other identity documents that he had</w:t>
      </w:r>
      <w:r w:rsidR="008946D2">
        <w:rPr>
          <w:rFonts w:ascii="Book Antiqua" w:hAnsi="Book Antiqua" w:cs="Arial"/>
        </w:rPr>
        <w:t xml:space="preserve"> h</w:t>
      </w:r>
      <w:r w:rsidR="00681904">
        <w:rPr>
          <w:rFonts w:ascii="Book Antiqua" w:hAnsi="Book Antiqua" w:cs="Arial"/>
        </w:rPr>
        <w:t>e gave this description:</w:t>
      </w:r>
    </w:p>
    <w:p w14:paraId="2A372340" w14:textId="77777777" w:rsidR="00681904" w:rsidRPr="00297C36" w:rsidRDefault="00681904" w:rsidP="00297C36">
      <w:pPr>
        <w:spacing w:before="120"/>
        <w:ind w:left="1134"/>
        <w:jc w:val="both"/>
        <w:rPr>
          <w:rFonts w:ascii="Book Antiqua" w:hAnsi="Book Antiqua" w:cs="Arial"/>
        </w:rPr>
      </w:pPr>
      <w:r w:rsidRPr="00297C36">
        <w:rPr>
          <w:rFonts w:ascii="Book Antiqua" w:hAnsi="Book Antiqua" w:cs="Arial"/>
        </w:rPr>
        <w:t>“It was a piece of paper and it was white and it was given to the Kurds, that was all I had.”</w:t>
      </w:r>
    </w:p>
    <w:p w14:paraId="2050118A" w14:textId="77777777" w:rsidR="00681904" w:rsidRDefault="00681904" w:rsidP="00297C36">
      <w:pPr>
        <w:spacing w:before="160"/>
        <w:ind w:left="567"/>
        <w:jc w:val="both"/>
        <w:rPr>
          <w:rFonts w:ascii="Book Antiqua" w:hAnsi="Book Antiqua" w:cs="Arial"/>
        </w:rPr>
      </w:pPr>
      <w:r>
        <w:rPr>
          <w:rFonts w:ascii="Book Antiqua" w:hAnsi="Book Antiqua" w:cs="Arial"/>
        </w:rPr>
        <w:lastRenderedPageBreak/>
        <w:t xml:space="preserve">The appellant answered </w:t>
      </w:r>
      <w:r w:rsidR="008946D2">
        <w:rPr>
          <w:rFonts w:ascii="Book Antiqua" w:hAnsi="Book Antiqua" w:cs="Arial"/>
        </w:rPr>
        <w:t>“</w:t>
      </w:r>
      <w:r>
        <w:rPr>
          <w:rFonts w:ascii="Book Antiqua" w:hAnsi="Book Antiqua" w:cs="Arial"/>
        </w:rPr>
        <w:t>no</w:t>
      </w:r>
      <w:r w:rsidR="008946D2">
        <w:rPr>
          <w:rFonts w:ascii="Book Antiqua" w:hAnsi="Book Antiqua" w:cs="Arial"/>
        </w:rPr>
        <w:t>”</w:t>
      </w:r>
      <w:r>
        <w:rPr>
          <w:rFonts w:ascii="Book Antiqua" w:hAnsi="Book Antiqua" w:cs="Arial"/>
        </w:rPr>
        <w:t xml:space="preserve"> when asked whether he had an ID card or a military book.  Questioning continued as to whether the appellant was a citizen of Syria and the appellant responded:</w:t>
      </w:r>
    </w:p>
    <w:p w14:paraId="3ABD92F4" w14:textId="0B331A25" w:rsidR="00681904" w:rsidRPr="00297C36" w:rsidRDefault="00681904" w:rsidP="00297C36">
      <w:pPr>
        <w:spacing w:before="120"/>
        <w:ind w:left="1134"/>
        <w:jc w:val="both"/>
        <w:rPr>
          <w:rFonts w:ascii="Book Antiqua" w:hAnsi="Book Antiqua" w:cs="Arial"/>
        </w:rPr>
      </w:pPr>
      <w:r w:rsidRPr="00297C36">
        <w:rPr>
          <w:rFonts w:ascii="Book Antiqua" w:hAnsi="Book Antiqua" w:cs="Arial"/>
        </w:rPr>
        <w:t>“</w:t>
      </w:r>
      <w:proofErr w:type="gramStart"/>
      <w:r w:rsidRPr="00297C36">
        <w:rPr>
          <w:rFonts w:ascii="Book Antiqua" w:hAnsi="Book Antiqua" w:cs="Arial"/>
        </w:rPr>
        <w:t>No</w:t>
      </w:r>
      <w:proofErr w:type="gramEnd"/>
      <w:r w:rsidRPr="00297C36">
        <w:rPr>
          <w:rFonts w:ascii="Book Antiqua" w:hAnsi="Book Antiqua" w:cs="Arial"/>
        </w:rPr>
        <w:t xml:space="preserve"> I did not have citizenship; the Kurds cannot give citizenship.” </w:t>
      </w:r>
    </w:p>
    <w:p w14:paraId="15BB80D9" w14:textId="77777777" w:rsidR="00681904" w:rsidRDefault="00681904" w:rsidP="00297C36">
      <w:pPr>
        <w:spacing w:before="160"/>
        <w:ind w:left="567"/>
        <w:jc w:val="both"/>
        <w:rPr>
          <w:rFonts w:ascii="Book Antiqua" w:hAnsi="Book Antiqua" w:cs="Arial"/>
        </w:rPr>
      </w:pPr>
      <w:r>
        <w:rPr>
          <w:rFonts w:ascii="Book Antiqua" w:hAnsi="Book Antiqua" w:cs="Arial"/>
        </w:rPr>
        <w:t>Whether or not a Kurd could be a citizen of Syria</w:t>
      </w:r>
      <w:r w:rsidR="008946D2">
        <w:rPr>
          <w:rFonts w:ascii="Book Antiqua" w:hAnsi="Book Antiqua" w:cs="Arial"/>
        </w:rPr>
        <w:t>,</w:t>
      </w:r>
      <w:r>
        <w:rPr>
          <w:rFonts w:ascii="Book Antiqua" w:hAnsi="Book Antiqua" w:cs="Arial"/>
        </w:rPr>
        <w:t xml:space="preserve"> the appellant explained that it depended upon the Government.  </w:t>
      </w:r>
      <w:r w:rsidR="00DB792E">
        <w:rPr>
          <w:rFonts w:ascii="Book Antiqua" w:hAnsi="Book Antiqua" w:cs="Arial"/>
        </w:rPr>
        <w:t>Sometimes</w:t>
      </w:r>
      <w:r>
        <w:rPr>
          <w:rFonts w:ascii="Book Antiqua" w:hAnsi="Book Antiqua" w:cs="Arial"/>
        </w:rPr>
        <w:t xml:space="preserve"> they were give citizenship.  They take from others.  The final question on this aspect </w:t>
      </w:r>
      <w:r w:rsidR="00DB792E">
        <w:rPr>
          <w:rFonts w:ascii="Book Antiqua" w:hAnsi="Book Antiqua" w:cs="Arial"/>
        </w:rPr>
        <w:t>related</w:t>
      </w:r>
      <w:r>
        <w:rPr>
          <w:rFonts w:ascii="Book Antiqua" w:hAnsi="Book Antiqua" w:cs="Arial"/>
        </w:rPr>
        <w:t xml:space="preserve"> to how it was the appellant had a passport if he was not a citizen, to which he responded:</w:t>
      </w:r>
    </w:p>
    <w:p w14:paraId="554AAF04" w14:textId="650A8C7F" w:rsidR="00681904" w:rsidRPr="00297C36" w:rsidRDefault="00681904" w:rsidP="00297C36">
      <w:pPr>
        <w:spacing w:before="120"/>
        <w:ind w:left="1134"/>
        <w:jc w:val="both"/>
        <w:rPr>
          <w:rFonts w:ascii="Book Antiqua" w:hAnsi="Book Antiqua" w:cs="Arial"/>
        </w:rPr>
      </w:pPr>
      <w:r w:rsidRPr="00297C36">
        <w:rPr>
          <w:rFonts w:ascii="Book Antiqua" w:hAnsi="Book Antiqua" w:cs="Arial"/>
        </w:rPr>
        <w:t>“For me it is a piece of paper is that passport that is why I have said I have it.”</w:t>
      </w:r>
    </w:p>
    <w:p w14:paraId="2D291069" w14:textId="77777777" w:rsidR="00681904" w:rsidRDefault="00681904" w:rsidP="00297C36">
      <w:pPr>
        <w:numPr>
          <w:ilvl w:val="0"/>
          <w:numId w:val="1"/>
        </w:numPr>
        <w:spacing w:before="160"/>
        <w:jc w:val="both"/>
        <w:rPr>
          <w:rFonts w:ascii="Book Antiqua" w:hAnsi="Book Antiqua" w:cs="Arial"/>
        </w:rPr>
      </w:pPr>
      <w:r>
        <w:rPr>
          <w:rFonts w:ascii="Book Antiqua" w:hAnsi="Book Antiqua" w:cs="Arial"/>
        </w:rPr>
        <w:t xml:space="preserve">The refusal letter considered this aspect between [24] and [33].  This included a reference to proposed amendments to </w:t>
      </w:r>
      <w:r w:rsidR="00DB792E">
        <w:rPr>
          <w:rFonts w:ascii="Book Antiqua" w:hAnsi="Book Antiqua" w:cs="Arial"/>
        </w:rPr>
        <w:t>answers</w:t>
      </w:r>
      <w:r>
        <w:rPr>
          <w:rFonts w:ascii="Book Antiqua" w:hAnsi="Book Antiqua" w:cs="Arial"/>
        </w:rPr>
        <w:t xml:space="preserve"> given at interview in which the appellant explained that he had not understood the question when asked whether he had a passport.  The passport he had referred to was the piece of paper (he had described) being the document issued by the Syrian Government.  The Secretary of State observed that there had been no </w:t>
      </w:r>
      <w:r w:rsidR="00DB792E">
        <w:rPr>
          <w:rFonts w:ascii="Book Antiqua" w:hAnsi="Book Antiqua" w:cs="Arial"/>
        </w:rPr>
        <w:t>proposed</w:t>
      </w:r>
      <w:r>
        <w:rPr>
          <w:rFonts w:ascii="Book Antiqua" w:hAnsi="Book Antiqua" w:cs="Arial"/>
        </w:rPr>
        <w:t xml:space="preserve"> amendments to the answers given at the initial interview some months earlier when he is recorded to have confirmed that he had understood the questions put to him.  I note that on 20 July 2016 the appellant’s solicitors wrote to the Glasgow Asylum Team enclosing a witness statement which provides further detail in </w:t>
      </w:r>
      <w:r w:rsidR="00DB792E">
        <w:rPr>
          <w:rFonts w:ascii="Book Antiqua" w:hAnsi="Book Antiqua" w:cs="Arial"/>
        </w:rPr>
        <w:t>relation</w:t>
      </w:r>
      <w:r>
        <w:rPr>
          <w:rFonts w:ascii="Book Antiqua" w:hAnsi="Book Antiqua" w:cs="Arial"/>
        </w:rPr>
        <w:t xml:space="preserve"> to the claim and the issue as to the appellant’s age, but it does not refer to any error over the matter of the passport.</w:t>
      </w:r>
    </w:p>
    <w:p w14:paraId="1B674B76" w14:textId="77777777" w:rsidR="00681904" w:rsidRDefault="00681904" w:rsidP="00297C36">
      <w:pPr>
        <w:numPr>
          <w:ilvl w:val="0"/>
          <w:numId w:val="1"/>
        </w:numPr>
        <w:spacing w:before="160"/>
        <w:jc w:val="both"/>
        <w:rPr>
          <w:rFonts w:ascii="Book Antiqua" w:hAnsi="Book Antiqua" w:cs="Arial"/>
        </w:rPr>
      </w:pPr>
      <w:r>
        <w:rPr>
          <w:rFonts w:ascii="Book Antiqua" w:hAnsi="Book Antiqua" w:cs="Arial"/>
        </w:rPr>
        <w:t xml:space="preserve">A further correction by the appellant in his witness statement that was before the judge clarifies that the appellant intended to refer to his </w:t>
      </w:r>
      <w:proofErr w:type="spellStart"/>
      <w:r>
        <w:rPr>
          <w:rFonts w:ascii="Book Antiqua" w:hAnsi="Book Antiqua" w:cs="Arial"/>
        </w:rPr>
        <w:t>Mu</w:t>
      </w:r>
      <w:r w:rsidR="00AE10B3">
        <w:rPr>
          <w:rFonts w:ascii="Book Antiqua" w:hAnsi="Book Antiqua" w:cs="Arial"/>
        </w:rPr>
        <w:t>k</w:t>
      </w:r>
      <w:r>
        <w:rPr>
          <w:rFonts w:ascii="Book Antiqua" w:hAnsi="Book Antiqua" w:cs="Arial"/>
        </w:rPr>
        <w:t>tu</w:t>
      </w:r>
      <w:r w:rsidR="00DE1900">
        <w:rPr>
          <w:rFonts w:ascii="Book Antiqua" w:hAnsi="Book Antiqua" w:cs="Arial"/>
        </w:rPr>
        <w:t>m</w:t>
      </w:r>
      <w:proofErr w:type="spellEnd"/>
      <w:r w:rsidR="00DE1900">
        <w:rPr>
          <w:rFonts w:ascii="Book Antiqua" w:hAnsi="Book Antiqua" w:cs="Arial"/>
        </w:rPr>
        <w:t xml:space="preserve"> </w:t>
      </w:r>
      <w:r w:rsidR="00AE10B3">
        <w:rPr>
          <w:rFonts w:ascii="Book Antiqua" w:hAnsi="Book Antiqua" w:cs="Arial"/>
        </w:rPr>
        <w:t xml:space="preserve">paper </w:t>
      </w:r>
      <w:r>
        <w:rPr>
          <w:rFonts w:ascii="Book Antiqua" w:hAnsi="Book Antiqua" w:cs="Arial"/>
        </w:rPr>
        <w:t xml:space="preserve">which gave rise to no rights.  </w:t>
      </w:r>
    </w:p>
    <w:p w14:paraId="64C6B400" w14:textId="77777777" w:rsidR="00681904" w:rsidRDefault="00681904" w:rsidP="00297C36">
      <w:pPr>
        <w:numPr>
          <w:ilvl w:val="0"/>
          <w:numId w:val="1"/>
        </w:numPr>
        <w:spacing w:before="160"/>
        <w:jc w:val="both"/>
        <w:rPr>
          <w:rFonts w:ascii="Book Antiqua" w:hAnsi="Book Antiqua" w:cs="Arial"/>
        </w:rPr>
      </w:pPr>
      <w:r>
        <w:rPr>
          <w:rFonts w:ascii="Book Antiqua" w:hAnsi="Book Antiqua" w:cs="Arial"/>
        </w:rPr>
        <w:t>Mr Mathews explained that he had to accept</w:t>
      </w:r>
      <w:r w:rsidR="00AE10B3">
        <w:rPr>
          <w:rFonts w:ascii="Book Antiqua" w:hAnsi="Book Antiqua" w:cs="Arial"/>
        </w:rPr>
        <w:t xml:space="preserve">, </w:t>
      </w:r>
      <w:r>
        <w:rPr>
          <w:rFonts w:ascii="Book Antiqua" w:hAnsi="Book Antiqua" w:cs="Arial"/>
        </w:rPr>
        <w:t xml:space="preserve">having regard to the judge’s reasons, that on the face of matters a conclusion had been reached without regard to all the evidence.  I address the materiality of this conceded error below, but with these initial observations.  The first is that it is significant </w:t>
      </w:r>
      <w:r w:rsidR="006C2E06">
        <w:rPr>
          <w:rFonts w:ascii="Book Antiqua" w:hAnsi="Book Antiqua" w:cs="Arial"/>
        </w:rPr>
        <w:t xml:space="preserve">the appellant did not seek to correct </w:t>
      </w:r>
      <w:r w:rsidR="00584A04">
        <w:rPr>
          <w:rFonts w:ascii="Book Antiqua" w:hAnsi="Book Antiqua" w:cs="Arial"/>
        </w:rPr>
        <w:t>his</w:t>
      </w:r>
      <w:r w:rsidR="006C2E06">
        <w:rPr>
          <w:rFonts w:ascii="Book Antiqua" w:hAnsi="Book Antiqua" w:cs="Arial"/>
        </w:rPr>
        <w:t xml:space="preserve"> unambiguous initial statement that he had a passport which was left </w:t>
      </w:r>
      <w:r w:rsidR="00DB792E">
        <w:rPr>
          <w:rFonts w:ascii="Book Antiqua" w:hAnsi="Book Antiqua" w:cs="Arial"/>
        </w:rPr>
        <w:t>behind</w:t>
      </w:r>
      <w:r w:rsidR="006C2E06">
        <w:rPr>
          <w:rFonts w:ascii="Book Antiqua" w:hAnsi="Book Antiqua" w:cs="Arial"/>
        </w:rPr>
        <w:t xml:space="preserve"> in Syria.  </w:t>
      </w:r>
      <w:r w:rsidR="00584A04">
        <w:rPr>
          <w:rFonts w:ascii="Book Antiqua" w:hAnsi="Book Antiqua" w:cs="Arial"/>
        </w:rPr>
        <w:t xml:space="preserve">In assessing </w:t>
      </w:r>
      <w:r w:rsidR="006C2E06">
        <w:rPr>
          <w:rFonts w:ascii="Book Antiqua" w:hAnsi="Book Antiqua" w:cs="Arial"/>
        </w:rPr>
        <w:t>the materiality of the judge’s error</w:t>
      </w:r>
      <w:r w:rsidR="007D4203">
        <w:rPr>
          <w:rFonts w:ascii="Book Antiqua" w:hAnsi="Book Antiqua" w:cs="Arial"/>
        </w:rPr>
        <w:t>, it is necessary to ask</w:t>
      </w:r>
      <w:r w:rsidR="006C2E06">
        <w:rPr>
          <w:rFonts w:ascii="Book Antiqua" w:hAnsi="Book Antiqua" w:cs="Arial"/>
        </w:rPr>
        <w:t xml:space="preserve"> whether had the judge accepted the explanation by the appellan</w:t>
      </w:r>
      <w:r w:rsidR="007D4203">
        <w:rPr>
          <w:rFonts w:ascii="Book Antiqua" w:hAnsi="Book Antiqua" w:cs="Arial"/>
        </w:rPr>
        <w:t>t</w:t>
      </w:r>
      <w:r w:rsidR="006C2E06">
        <w:rPr>
          <w:rFonts w:ascii="Book Antiqua" w:hAnsi="Book Antiqua" w:cs="Arial"/>
        </w:rPr>
        <w:t xml:space="preserve"> the outcome </w:t>
      </w:r>
      <w:r w:rsidR="00010F41">
        <w:rPr>
          <w:rFonts w:ascii="Book Antiqua" w:hAnsi="Book Antiqua" w:cs="Arial"/>
        </w:rPr>
        <w:t xml:space="preserve">would </w:t>
      </w:r>
      <w:r w:rsidR="006C2E06">
        <w:rPr>
          <w:rFonts w:ascii="Book Antiqua" w:hAnsi="Book Antiqua" w:cs="Arial"/>
        </w:rPr>
        <w:t xml:space="preserve">have been any different?  The answer to this question lies in </w:t>
      </w:r>
      <w:r w:rsidR="008946D2">
        <w:rPr>
          <w:rFonts w:ascii="Book Antiqua" w:hAnsi="Book Antiqua" w:cs="Arial"/>
        </w:rPr>
        <w:t xml:space="preserve">the </w:t>
      </w:r>
      <w:r w:rsidR="00DB792E">
        <w:rPr>
          <w:rFonts w:ascii="Book Antiqua" w:hAnsi="Book Antiqua" w:cs="Arial"/>
        </w:rPr>
        <w:t>analysis</w:t>
      </w:r>
      <w:r w:rsidR="006C2E06">
        <w:rPr>
          <w:rFonts w:ascii="Book Antiqua" w:hAnsi="Book Antiqua" w:cs="Arial"/>
        </w:rPr>
        <w:t xml:space="preserve"> of the other grounds of challenge</w:t>
      </w:r>
      <w:r w:rsidR="00010F41">
        <w:rPr>
          <w:rFonts w:ascii="Book Antiqua" w:hAnsi="Book Antiqua" w:cs="Arial"/>
        </w:rPr>
        <w:t xml:space="preserve"> and a consideration of the decision as a whole.</w:t>
      </w:r>
    </w:p>
    <w:p w14:paraId="35F43E70" w14:textId="77777777" w:rsidR="006C2E06" w:rsidRDefault="006C2E06" w:rsidP="00297C36">
      <w:pPr>
        <w:numPr>
          <w:ilvl w:val="0"/>
          <w:numId w:val="1"/>
        </w:numPr>
        <w:spacing w:before="160"/>
        <w:jc w:val="both"/>
        <w:rPr>
          <w:rFonts w:ascii="Book Antiqua" w:hAnsi="Book Antiqua" w:cs="Arial"/>
        </w:rPr>
      </w:pPr>
      <w:r>
        <w:rPr>
          <w:rFonts w:ascii="Book Antiqua" w:hAnsi="Book Antiqua" w:cs="Arial"/>
        </w:rPr>
        <w:t>The complaint in ground</w:t>
      </w:r>
      <w:r w:rsidR="00747A14">
        <w:rPr>
          <w:rFonts w:ascii="Book Antiqua" w:hAnsi="Book Antiqua" w:cs="Arial"/>
        </w:rPr>
        <w:t xml:space="preserve"> three </w:t>
      </w:r>
      <w:r w:rsidR="00DB792E">
        <w:rPr>
          <w:rFonts w:ascii="Book Antiqua" w:hAnsi="Book Antiqua" w:cs="Arial"/>
        </w:rPr>
        <w:t>relates</w:t>
      </w:r>
      <w:r>
        <w:rPr>
          <w:rFonts w:ascii="Book Antiqua" w:hAnsi="Book Antiqua" w:cs="Arial"/>
        </w:rPr>
        <w:t xml:space="preserve"> to the fingerprinting in Dunkirk.  The ground is short and lacks particularity.  At [19] and [20] the judge explained his reasoning.  The skeleton argument relied on by </w:t>
      </w:r>
      <w:r w:rsidRPr="00BB245A">
        <w:rPr>
          <w:rFonts w:ascii="Book Antiqua" w:hAnsi="Book Antiqua" w:cs="Arial"/>
        </w:rPr>
        <w:t xml:space="preserve">Ms </w:t>
      </w:r>
      <w:r w:rsidRPr="00BB245A">
        <w:rPr>
          <w:rFonts w:ascii="Book Antiqua" w:hAnsi="Book Antiqua"/>
          <w:lang w:val="en-US"/>
        </w:rPr>
        <w:t>Vengoechea</w:t>
      </w:r>
      <w:r>
        <w:rPr>
          <w:rFonts w:ascii="Book Antiqua" w:hAnsi="Book Antiqua"/>
          <w:lang w:val="en-US"/>
        </w:rPr>
        <w:t xml:space="preserve"> questioned the independence of Mr Pearson and</w:t>
      </w:r>
      <w:r w:rsidR="00747A14">
        <w:rPr>
          <w:rFonts w:ascii="Book Antiqua" w:hAnsi="Book Antiqua"/>
          <w:lang w:val="en-US"/>
        </w:rPr>
        <w:t xml:space="preserve"> this affected</w:t>
      </w:r>
      <w:r>
        <w:rPr>
          <w:rFonts w:ascii="Book Antiqua" w:hAnsi="Book Antiqua"/>
          <w:lang w:val="en-US"/>
        </w:rPr>
        <w:t xml:space="preserve"> the weight that could be given to what he had said.  She also went on to </w:t>
      </w:r>
      <w:r w:rsidR="00667F83">
        <w:rPr>
          <w:rFonts w:ascii="Book Antiqua" w:hAnsi="Book Antiqua"/>
          <w:lang w:val="en-US"/>
        </w:rPr>
        <w:t>point to</w:t>
      </w:r>
      <w:r>
        <w:rPr>
          <w:rFonts w:ascii="Book Antiqua" w:hAnsi="Book Antiqua"/>
          <w:lang w:val="en-US"/>
        </w:rPr>
        <w:t xml:space="preserve"> a difference in the spelling of the appellant’s name</w:t>
      </w:r>
      <w:r w:rsidR="00667F83">
        <w:rPr>
          <w:rFonts w:ascii="Book Antiqua" w:hAnsi="Book Antiqua"/>
          <w:lang w:val="en-US"/>
        </w:rPr>
        <w:t xml:space="preserve"> in Mr Pearson’s report and that given now.</w:t>
      </w:r>
      <w:r>
        <w:rPr>
          <w:rFonts w:ascii="Book Antiqua" w:hAnsi="Book Antiqua"/>
          <w:lang w:val="en-US"/>
        </w:rPr>
        <w:t xml:space="preserve">  She confirmed however that no rebuttal </w:t>
      </w:r>
      <w:r w:rsidR="00AD0E9D">
        <w:rPr>
          <w:rFonts w:ascii="Book Antiqua" w:hAnsi="Book Antiqua"/>
          <w:lang w:val="en-US"/>
        </w:rPr>
        <w:t xml:space="preserve">fingerprint </w:t>
      </w:r>
      <w:r>
        <w:rPr>
          <w:rFonts w:ascii="Book Antiqua" w:hAnsi="Book Antiqua"/>
          <w:lang w:val="en-US"/>
        </w:rPr>
        <w:t xml:space="preserve">evidence had been adduced and accepted that it was not the case that the appellant had not been given the opportunity to call his own expert.  She was correct to do so.  A letter from the appellant’s previous agents dated 27 October 2016 </w:t>
      </w:r>
      <w:r w:rsidR="00DB792E">
        <w:rPr>
          <w:rFonts w:ascii="Book Antiqua" w:hAnsi="Book Antiqua"/>
          <w:lang w:val="en-US"/>
        </w:rPr>
        <w:t>explained</w:t>
      </w:r>
      <w:r>
        <w:rPr>
          <w:rFonts w:ascii="Book Antiqua" w:hAnsi="Book Antiqua"/>
          <w:lang w:val="en-US"/>
        </w:rPr>
        <w:t xml:space="preserve"> that they had taken instructions from their client to obtain a copy of the fingerprint records to enable an analysis.  The material before me does not indicate whether </w:t>
      </w:r>
      <w:r w:rsidR="00DB792E">
        <w:rPr>
          <w:rFonts w:ascii="Book Antiqua" w:hAnsi="Book Antiqua"/>
          <w:lang w:val="en-US"/>
        </w:rPr>
        <w:t>this</w:t>
      </w:r>
      <w:r>
        <w:rPr>
          <w:rFonts w:ascii="Book Antiqua" w:hAnsi="Book Antiqua"/>
          <w:lang w:val="en-US"/>
        </w:rPr>
        <w:t xml:space="preserve"> request </w:t>
      </w:r>
      <w:r>
        <w:rPr>
          <w:rFonts w:ascii="Book Antiqua" w:hAnsi="Book Antiqua"/>
          <w:lang w:val="en-US"/>
        </w:rPr>
        <w:lastRenderedPageBreak/>
        <w:t xml:space="preserve">was responded to by the Secretary of State or whether it was pursued by the appellant’s agents.  </w:t>
      </w:r>
      <w:r w:rsidRPr="00BB245A">
        <w:rPr>
          <w:rFonts w:ascii="Book Antiqua" w:hAnsi="Book Antiqua" w:cs="Arial"/>
        </w:rPr>
        <w:t xml:space="preserve">Ms </w:t>
      </w:r>
      <w:r w:rsidRPr="00BB245A">
        <w:rPr>
          <w:rFonts w:ascii="Book Antiqua" w:hAnsi="Book Antiqua"/>
          <w:lang w:val="en-US"/>
        </w:rPr>
        <w:t>Vengoechea</w:t>
      </w:r>
      <w:r>
        <w:rPr>
          <w:rFonts w:ascii="Book Antiqua" w:hAnsi="Book Antiqua"/>
          <w:lang w:val="en-US"/>
        </w:rPr>
        <w:t xml:space="preserve"> confirmed that the current agents were instructed </w:t>
      </w:r>
      <w:r>
        <w:rPr>
          <w:rFonts w:ascii="Book Antiqua" w:hAnsi="Book Antiqua" w:cs="Arial"/>
        </w:rPr>
        <w:t xml:space="preserve">in February 2018 and she further confirmed that they had not </w:t>
      </w:r>
      <w:r w:rsidR="00DB792E">
        <w:rPr>
          <w:rFonts w:ascii="Book Antiqua" w:hAnsi="Book Antiqua" w:cs="Arial"/>
        </w:rPr>
        <w:t>requested</w:t>
      </w:r>
      <w:r>
        <w:rPr>
          <w:rFonts w:ascii="Book Antiqua" w:hAnsi="Book Antiqua" w:cs="Arial"/>
        </w:rPr>
        <w:t xml:space="preserve"> a copy of the </w:t>
      </w:r>
      <w:r w:rsidR="00AD0E9D">
        <w:rPr>
          <w:rFonts w:ascii="Book Antiqua" w:hAnsi="Book Antiqua" w:cs="Arial"/>
        </w:rPr>
        <w:t xml:space="preserve">fingerprint </w:t>
      </w:r>
      <w:r>
        <w:rPr>
          <w:rFonts w:ascii="Book Antiqua" w:hAnsi="Book Antiqua" w:cs="Arial"/>
        </w:rPr>
        <w:t xml:space="preserve">data.  The point does not appear to have been canvassed before the </w:t>
      </w:r>
      <w:r w:rsidR="00D76DB7">
        <w:rPr>
          <w:rFonts w:ascii="Book Antiqua" w:hAnsi="Book Antiqua" w:cs="Arial"/>
        </w:rPr>
        <w:t>t</w:t>
      </w:r>
      <w:r>
        <w:rPr>
          <w:rFonts w:ascii="Book Antiqua" w:hAnsi="Book Antiqua" w:cs="Arial"/>
        </w:rPr>
        <w:t xml:space="preserve">ribunal and there is no </w:t>
      </w:r>
      <w:r w:rsidR="00DB792E">
        <w:rPr>
          <w:rFonts w:ascii="Book Antiqua" w:hAnsi="Book Antiqua" w:cs="Arial"/>
        </w:rPr>
        <w:t>indication</w:t>
      </w:r>
      <w:r>
        <w:rPr>
          <w:rFonts w:ascii="Book Antiqua" w:hAnsi="Book Antiqua" w:cs="Arial"/>
        </w:rPr>
        <w:t xml:space="preserve"> that an adjournment was sought for an expert’s report to be prepared.  The witness statement by Derek Pearson given under the Criminal </w:t>
      </w:r>
      <w:r w:rsidR="00DB792E">
        <w:rPr>
          <w:rFonts w:ascii="Book Antiqua" w:hAnsi="Book Antiqua" w:cs="Arial"/>
        </w:rPr>
        <w:t>Justice</w:t>
      </w:r>
      <w:r>
        <w:rPr>
          <w:rFonts w:ascii="Book Antiqua" w:hAnsi="Book Antiqua" w:cs="Arial"/>
        </w:rPr>
        <w:t xml:space="preserve"> Act 1967 contains a statement of truth.  It is dated 28 October 2016.  Mr Pearson explains his expertise having been engaged in comparison and identification for more than 32 years and his registration on the National Register of Fingerprint Experts in friction ridge identification.  He refers to the </w:t>
      </w:r>
      <w:r w:rsidR="00DB792E">
        <w:rPr>
          <w:rFonts w:ascii="Book Antiqua" w:hAnsi="Book Antiqua" w:cs="Arial"/>
        </w:rPr>
        <w:t>material</w:t>
      </w:r>
      <w:r>
        <w:rPr>
          <w:rFonts w:ascii="Book Antiqua" w:hAnsi="Book Antiqua" w:cs="Arial"/>
        </w:rPr>
        <w:t xml:space="preserve"> provided by the Secretary of State and explains that he compared sets of fingerprints taken on 24 October 2016 and 12 May 2016 (in Glasgow) with a set taken on 11 November 2015 and he </w:t>
      </w:r>
      <w:r w:rsidR="00DB792E">
        <w:rPr>
          <w:rFonts w:ascii="Book Antiqua" w:hAnsi="Book Antiqua" w:cs="Arial"/>
        </w:rPr>
        <w:t>concluded</w:t>
      </w:r>
      <w:r>
        <w:rPr>
          <w:rFonts w:ascii="Book Antiqua" w:hAnsi="Book Antiqua" w:cs="Arial"/>
        </w:rPr>
        <w:t>:</w:t>
      </w:r>
    </w:p>
    <w:p w14:paraId="760C31BD" w14:textId="77777777" w:rsidR="006C2E06" w:rsidRPr="00297C36" w:rsidRDefault="006C2E06" w:rsidP="00297C36">
      <w:pPr>
        <w:spacing w:before="120"/>
        <w:ind w:left="1134"/>
        <w:jc w:val="both"/>
        <w:rPr>
          <w:rFonts w:ascii="Book Antiqua" w:hAnsi="Book Antiqua" w:cs="Arial"/>
        </w:rPr>
      </w:pPr>
      <w:r w:rsidRPr="00297C36">
        <w:rPr>
          <w:rFonts w:ascii="Book Antiqua" w:hAnsi="Book Antiqua" w:cs="Arial"/>
        </w:rPr>
        <w:t>“I have found such number of ridge characteristics in agreement leave me in no doubt they were made by the same person”.</w:t>
      </w:r>
    </w:p>
    <w:p w14:paraId="4CDD24CF" w14:textId="55C9DF50" w:rsidR="006C2E06" w:rsidRDefault="006C2E06" w:rsidP="00297C36">
      <w:pPr>
        <w:numPr>
          <w:ilvl w:val="0"/>
          <w:numId w:val="1"/>
        </w:numPr>
        <w:spacing w:before="160"/>
        <w:jc w:val="both"/>
        <w:rPr>
          <w:rFonts w:ascii="Book Antiqua" w:hAnsi="Book Antiqua" w:cs="Arial"/>
        </w:rPr>
      </w:pPr>
      <w:r>
        <w:rPr>
          <w:rFonts w:ascii="Book Antiqua" w:hAnsi="Book Antiqua" w:cs="Arial"/>
        </w:rPr>
        <w:t xml:space="preserve">The appellant spells his name in these proceedings </w:t>
      </w:r>
      <w:r w:rsidR="003A3892">
        <w:rPr>
          <w:rFonts w:ascii="Book Antiqua" w:hAnsi="Book Antiqua" w:cs="Arial"/>
        </w:rPr>
        <w:t xml:space="preserve">as </w:t>
      </w:r>
      <w:r w:rsidR="00781D31">
        <w:rPr>
          <w:rFonts w:ascii="Book Antiqua" w:hAnsi="Book Antiqua" w:cs="Arial"/>
        </w:rPr>
        <w:t>[</w:t>
      </w:r>
      <w:r>
        <w:rPr>
          <w:rFonts w:ascii="Book Antiqua" w:hAnsi="Book Antiqua" w:cs="Arial"/>
        </w:rPr>
        <w:t>YKS</w:t>
      </w:r>
      <w:r w:rsidR="00781D31">
        <w:rPr>
          <w:rFonts w:ascii="Book Antiqua" w:hAnsi="Book Antiqua" w:cs="Arial"/>
        </w:rPr>
        <w:t xml:space="preserve">] </w:t>
      </w:r>
      <w:r w:rsidR="00781D31">
        <w:rPr>
          <w:rFonts w:ascii="Book Antiqua" w:hAnsi="Book Antiqua" w:cs="Arial"/>
          <w:i/>
        </w:rPr>
        <w:t>{a}</w:t>
      </w:r>
      <w:r>
        <w:rPr>
          <w:rFonts w:ascii="Book Antiqua" w:hAnsi="Book Antiqua" w:cs="Arial"/>
        </w:rPr>
        <w:t xml:space="preserve">.  </w:t>
      </w:r>
      <w:r w:rsidR="00AF7D7C">
        <w:rPr>
          <w:rFonts w:ascii="Book Antiqua" w:hAnsi="Book Antiqua" w:cs="Arial"/>
        </w:rPr>
        <w:t>H</w:t>
      </w:r>
      <w:r>
        <w:rPr>
          <w:rFonts w:ascii="Book Antiqua" w:hAnsi="Book Antiqua" w:cs="Arial"/>
        </w:rPr>
        <w:t xml:space="preserve">is name is recorded on a search result from Dunkirk </w:t>
      </w:r>
      <w:r w:rsidR="003A3892">
        <w:rPr>
          <w:rFonts w:ascii="Book Antiqua" w:hAnsi="Book Antiqua" w:cs="Arial"/>
        </w:rPr>
        <w:t>i</w:t>
      </w:r>
      <w:r>
        <w:rPr>
          <w:rFonts w:ascii="Book Antiqua" w:hAnsi="Book Antiqua" w:cs="Arial"/>
        </w:rPr>
        <w:t xml:space="preserve">s </w:t>
      </w:r>
      <w:r w:rsidR="00781D31">
        <w:rPr>
          <w:rFonts w:ascii="Book Antiqua" w:hAnsi="Book Antiqua" w:cs="Arial"/>
        </w:rPr>
        <w:t>[</w:t>
      </w:r>
      <w:r w:rsidR="00AF7D7C">
        <w:rPr>
          <w:rFonts w:ascii="Book Antiqua" w:hAnsi="Book Antiqua" w:cs="Arial"/>
        </w:rPr>
        <w:t>YKS</w:t>
      </w:r>
      <w:r w:rsidR="00781D31">
        <w:rPr>
          <w:rFonts w:ascii="Book Antiqua" w:hAnsi="Book Antiqua" w:cs="Arial"/>
        </w:rPr>
        <w:t xml:space="preserve">] </w:t>
      </w:r>
      <w:r w:rsidR="00781D31">
        <w:rPr>
          <w:rFonts w:ascii="Book Antiqua" w:hAnsi="Book Antiqua" w:cs="Arial"/>
          <w:i/>
        </w:rPr>
        <w:t>{u}</w:t>
      </w:r>
      <w:r w:rsidR="00AF7D7C">
        <w:rPr>
          <w:rFonts w:ascii="Book Antiqua" w:hAnsi="Book Antiqua" w:cs="Arial"/>
        </w:rPr>
        <w:t xml:space="preserve">.  Given the phonetic similarity in the names and the lack of any doubt by Mr Pearson, I am satisfied that the judge </w:t>
      </w:r>
      <w:r w:rsidR="00A6673B">
        <w:rPr>
          <w:rFonts w:ascii="Book Antiqua" w:hAnsi="Book Antiqua" w:cs="Arial"/>
        </w:rPr>
        <w:t>gave adequate and legally correct reasons for rejecting as not credible</w:t>
      </w:r>
      <w:r w:rsidR="00AF7D7C">
        <w:rPr>
          <w:rFonts w:ascii="Book Antiqua" w:hAnsi="Book Antiqua" w:cs="Arial"/>
        </w:rPr>
        <w:t xml:space="preserve"> </w:t>
      </w:r>
      <w:r w:rsidR="00A6673B">
        <w:rPr>
          <w:rFonts w:ascii="Book Antiqua" w:hAnsi="Book Antiqua" w:cs="Arial"/>
        </w:rPr>
        <w:t>th</w:t>
      </w:r>
      <w:r w:rsidR="00A367F4">
        <w:rPr>
          <w:rFonts w:ascii="Book Antiqua" w:hAnsi="Book Antiqua" w:cs="Arial"/>
        </w:rPr>
        <w:t xml:space="preserve">e explanation by </w:t>
      </w:r>
      <w:r w:rsidR="00A6673B">
        <w:rPr>
          <w:rFonts w:ascii="Book Antiqua" w:hAnsi="Book Antiqua" w:cs="Arial"/>
        </w:rPr>
        <w:t xml:space="preserve">the appellant </w:t>
      </w:r>
      <w:r w:rsidR="000444CB">
        <w:rPr>
          <w:rFonts w:ascii="Book Antiqua" w:hAnsi="Book Antiqua" w:cs="Arial"/>
        </w:rPr>
        <w:t xml:space="preserve">at the hearing </w:t>
      </w:r>
      <w:r w:rsidR="00A367F4">
        <w:rPr>
          <w:rFonts w:ascii="Book Antiqua" w:hAnsi="Book Antiqua" w:cs="Arial"/>
        </w:rPr>
        <w:t xml:space="preserve">that he had </w:t>
      </w:r>
      <w:r w:rsidR="00AF7D7C">
        <w:rPr>
          <w:rFonts w:ascii="Book Antiqua" w:hAnsi="Book Antiqua" w:cs="Arial"/>
        </w:rPr>
        <w:t>understood questions regarding that fingerprinting as relating to his arrival in the United Kingdom.  There is no merit in this ground.</w:t>
      </w:r>
    </w:p>
    <w:p w14:paraId="5AD9EA7F" w14:textId="77777777" w:rsidR="007C05C2" w:rsidRPr="007C05C2" w:rsidRDefault="00AF7D7C" w:rsidP="00297C36">
      <w:pPr>
        <w:numPr>
          <w:ilvl w:val="0"/>
          <w:numId w:val="1"/>
        </w:numPr>
        <w:spacing w:before="160"/>
        <w:jc w:val="both"/>
        <w:rPr>
          <w:rFonts w:ascii="Book Antiqua" w:hAnsi="Book Antiqua" w:cs="Arial"/>
        </w:rPr>
      </w:pPr>
      <w:r>
        <w:rPr>
          <w:rFonts w:ascii="Book Antiqua" w:hAnsi="Book Antiqua" w:cs="Arial"/>
        </w:rPr>
        <w:t xml:space="preserve">Ground </w:t>
      </w:r>
      <w:r w:rsidR="00C7217F">
        <w:rPr>
          <w:rFonts w:ascii="Book Antiqua" w:hAnsi="Book Antiqua" w:cs="Arial"/>
        </w:rPr>
        <w:t>four</w:t>
      </w:r>
      <w:r>
        <w:rPr>
          <w:rFonts w:ascii="Book Antiqua" w:hAnsi="Book Antiqua" w:cs="Arial"/>
        </w:rPr>
        <w:t xml:space="preserve"> returns to a matter already covered above which is an asserted failure by the </w:t>
      </w:r>
      <w:r w:rsidR="00791483">
        <w:rPr>
          <w:rFonts w:ascii="Book Antiqua" w:hAnsi="Book Antiqua" w:cs="Arial"/>
        </w:rPr>
        <w:t>t</w:t>
      </w:r>
      <w:r>
        <w:rPr>
          <w:rFonts w:ascii="Book Antiqua" w:hAnsi="Book Antiqua" w:cs="Arial"/>
        </w:rPr>
        <w:t xml:space="preserve">ribunal to consider the appellant’s answers at the substantive interview as to Syria with specific reference to his home town.  In the course of discussion in this ground </w:t>
      </w:r>
      <w:r w:rsidRPr="00BB245A">
        <w:rPr>
          <w:rFonts w:ascii="Book Antiqua" w:hAnsi="Book Antiqua" w:cs="Arial"/>
        </w:rPr>
        <w:t xml:space="preserve">Ms </w:t>
      </w:r>
      <w:r w:rsidRPr="00BB245A">
        <w:rPr>
          <w:rFonts w:ascii="Book Antiqua" w:hAnsi="Book Antiqua"/>
          <w:lang w:val="en-US"/>
        </w:rPr>
        <w:t>Vengoechea</w:t>
      </w:r>
      <w:r>
        <w:rPr>
          <w:rFonts w:ascii="Book Antiqua" w:hAnsi="Book Antiqua"/>
          <w:lang w:val="en-US"/>
        </w:rPr>
        <w:t xml:space="preserve"> referred me to a Wikipedia entry containing a map that indicated one of the three places passed on a journey between his home village and</w:t>
      </w:r>
      <w:r w:rsidR="007C05C2">
        <w:rPr>
          <w:rFonts w:ascii="Book Antiqua" w:hAnsi="Book Antiqua"/>
          <w:lang w:val="en-US"/>
        </w:rPr>
        <w:t xml:space="preserve"> Dayrik.  In his submissions Mr Mathews acknowledged that this positive evidence had not been referred to by the judge, but he argued that it was not always necessary to refer to every aspect of the evidence.  Discussion turned to the judge’s analysis of the appellant’s </w:t>
      </w:r>
      <w:r w:rsidR="00DB792E">
        <w:rPr>
          <w:rFonts w:ascii="Book Antiqua" w:hAnsi="Book Antiqua"/>
          <w:lang w:val="en-US"/>
        </w:rPr>
        <w:t>knowledge</w:t>
      </w:r>
      <w:r w:rsidR="007C05C2">
        <w:rPr>
          <w:rFonts w:ascii="Book Antiqua" w:hAnsi="Book Antiqua"/>
          <w:lang w:val="en-US"/>
        </w:rPr>
        <w:t xml:space="preserve"> of </w:t>
      </w:r>
      <w:r w:rsidR="00DB792E">
        <w:rPr>
          <w:rFonts w:ascii="Book Antiqua" w:hAnsi="Book Antiqua"/>
          <w:lang w:val="en-US"/>
        </w:rPr>
        <w:t>Syrian</w:t>
      </w:r>
      <w:r w:rsidR="007C05C2">
        <w:rPr>
          <w:rFonts w:ascii="Book Antiqua" w:hAnsi="Book Antiqua"/>
          <w:lang w:val="en-US"/>
        </w:rPr>
        <w:t xml:space="preserve"> currency.  At [22] and [23] the judge noted:</w:t>
      </w:r>
    </w:p>
    <w:p w14:paraId="7505E70B" w14:textId="77777777" w:rsidR="007C05C2" w:rsidRPr="00297C36" w:rsidRDefault="007C05C2" w:rsidP="00297C36">
      <w:pPr>
        <w:spacing w:before="120"/>
        <w:ind w:left="1701" w:right="567" w:hanging="567"/>
        <w:jc w:val="both"/>
        <w:rPr>
          <w:rFonts w:ascii="Book Antiqua" w:hAnsi="Book Antiqua"/>
          <w:sz w:val="22"/>
          <w:szCs w:val="22"/>
          <w:lang w:val="en-US"/>
        </w:rPr>
      </w:pPr>
      <w:r w:rsidRPr="00297C36">
        <w:rPr>
          <w:rFonts w:ascii="Book Antiqua" w:hAnsi="Book Antiqua"/>
          <w:sz w:val="22"/>
          <w:szCs w:val="22"/>
          <w:lang w:val="en-US"/>
        </w:rPr>
        <w:t>“22.</w:t>
      </w:r>
      <w:r w:rsidRPr="00297C36">
        <w:rPr>
          <w:rFonts w:ascii="Book Antiqua" w:hAnsi="Book Antiqua"/>
          <w:sz w:val="22"/>
          <w:szCs w:val="22"/>
          <w:lang w:val="en-US"/>
        </w:rPr>
        <w:tab/>
        <w:t>The Appellant was asked questions at interview regarding aspects of life in Syria.  He was asked which denomination of notes were in use in Syria.  He stated that were 5, 10, 20, 25, 50 100 and 1,000 Lira notes (C10, Q49).  He also suggested Hafez Assad’s face appeared on the 1,000 Lira note.  Research undertaken by the Respondent indicated the notes recently issued were 50, 100, 200, 500 and 1,000 Lira notes and that Hafez Assad’s face did not appear on the 1,000 Lira note.</w:t>
      </w:r>
    </w:p>
    <w:p w14:paraId="7E7D9A30" w14:textId="77777777" w:rsidR="007C05C2" w:rsidRPr="00297C36" w:rsidRDefault="007C05C2" w:rsidP="00297C36">
      <w:pPr>
        <w:spacing w:before="120"/>
        <w:ind w:left="1701" w:right="567" w:hanging="567"/>
        <w:jc w:val="both"/>
        <w:rPr>
          <w:rFonts w:ascii="Book Antiqua" w:hAnsi="Book Antiqua" w:cs="Arial"/>
          <w:sz w:val="22"/>
          <w:szCs w:val="22"/>
        </w:rPr>
      </w:pPr>
      <w:r w:rsidRPr="00297C36">
        <w:rPr>
          <w:rFonts w:ascii="Book Antiqua" w:hAnsi="Book Antiqua"/>
          <w:sz w:val="22"/>
          <w:szCs w:val="22"/>
          <w:lang w:val="en-US"/>
        </w:rPr>
        <w:t>23.</w:t>
      </w:r>
      <w:r w:rsidRPr="00297C36">
        <w:rPr>
          <w:rFonts w:ascii="Book Antiqua" w:hAnsi="Book Antiqua"/>
          <w:sz w:val="22"/>
          <w:szCs w:val="22"/>
          <w:lang w:val="en-US"/>
        </w:rPr>
        <w:tab/>
        <w:t xml:space="preserve">The Appellant was asked what coins were in use in Syria.  He indicated there were 5 and 10 Lira coins.  (C10, Q51).  Research undertaken by the </w:t>
      </w:r>
      <w:r w:rsidR="00DB792E" w:rsidRPr="00297C36">
        <w:rPr>
          <w:rFonts w:ascii="Book Antiqua" w:hAnsi="Book Antiqua"/>
          <w:sz w:val="22"/>
          <w:szCs w:val="22"/>
          <w:lang w:val="en-US"/>
        </w:rPr>
        <w:t>Respondent</w:t>
      </w:r>
      <w:r w:rsidRPr="00297C36">
        <w:rPr>
          <w:rFonts w:ascii="Book Antiqua" w:hAnsi="Book Antiqua"/>
          <w:sz w:val="22"/>
          <w:szCs w:val="22"/>
          <w:lang w:val="en-US"/>
        </w:rPr>
        <w:t xml:space="preserve"> indicated there was a 1996 issue of 1 and 2 Lira coins and a 2003 issue of 5, 10 and 25 Lira coins.”</w:t>
      </w:r>
    </w:p>
    <w:p w14:paraId="339113C2" w14:textId="77777777" w:rsidR="007C05C2" w:rsidRDefault="007C05C2" w:rsidP="00297C36">
      <w:pPr>
        <w:spacing w:before="160"/>
        <w:ind w:left="567"/>
        <w:jc w:val="both"/>
        <w:rPr>
          <w:rFonts w:ascii="Book Antiqua" w:hAnsi="Book Antiqua" w:cs="Arial"/>
        </w:rPr>
      </w:pPr>
      <w:r>
        <w:rPr>
          <w:rFonts w:ascii="Book Antiqua" w:hAnsi="Book Antiqua" w:cs="Arial"/>
        </w:rPr>
        <w:t>The refusal letter recorded at [39] and [40]:</w:t>
      </w:r>
    </w:p>
    <w:p w14:paraId="5FAFB7BE" w14:textId="77777777" w:rsidR="007C05C2" w:rsidRPr="00297C36" w:rsidRDefault="007C05C2" w:rsidP="00297C36">
      <w:pPr>
        <w:spacing w:before="120"/>
        <w:ind w:left="1701" w:hanging="567"/>
        <w:jc w:val="both"/>
        <w:rPr>
          <w:rFonts w:ascii="Book Antiqua" w:hAnsi="Book Antiqua" w:cs="Arial"/>
        </w:rPr>
      </w:pPr>
      <w:r w:rsidRPr="00297C36">
        <w:rPr>
          <w:rFonts w:ascii="Book Antiqua" w:hAnsi="Book Antiqua" w:cs="Arial"/>
        </w:rPr>
        <w:lastRenderedPageBreak/>
        <w:t>“39.</w:t>
      </w:r>
      <w:r w:rsidRPr="00297C36">
        <w:rPr>
          <w:rFonts w:ascii="Book Antiqua" w:hAnsi="Book Antiqua" w:cs="Arial"/>
        </w:rPr>
        <w:tab/>
        <w:t>The website Banknote.com, only records the 50, 100, 2000, 500 and 1000 lira being recently issued, though it is noted that the 1997 issue of the 1000 lira note does have the face of Hafez Assad on it.</w:t>
      </w:r>
    </w:p>
    <w:p w14:paraId="7328CBB0" w14:textId="77777777" w:rsidR="007C05C2" w:rsidRPr="00297C36" w:rsidRDefault="007C05C2" w:rsidP="00297C36">
      <w:pPr>
        <w:spacing w:before="120"/>
        <w:ind w:left="1701" w:hanging="567"/>
        <w:jc w:val="both"/>
        <w:rPr>
          <w:rFonts w:ascii="Book Antiqua" w:hAnsi="Book Antiqua" w:cs="Arial"/>
        </w:rPr>
      </w:pPr>
      <w:r w:rsidRPr="00297C36">
        <w:rPr>
          <w:rFonts w:ascii="Book Antiqua" w:hAnsi="Book Antiqua" w:cs="Arial"/>
        </w:rPr>
        <w:t>40.</w:t>
      </w:r>
      <w:r w:rsidRPr="00297C36">
        <w:rPr>
          <w:rFonts w:ascii="Book Antiqua" w:hAnsi="Book Antiqua" w:cs="Arial"/>
        </w:rPr>
        <w:tab/>
        <w:t xml:space="preserve">You also claimed that the coins </w:t>
      </w:r>
      <w:proofErr w:type="gramStart"/>
      <w:r w:rsidR="00D32DFC" w:rsidRPr="00297C36">
        <w:rPr>
          <w:rFonts w:ascii="Book Antiqua" w:hAnsi="Book Antiqua" w:cs="Arial"/>
        </w:rPr>
        <w:t>is</w:t>
      </w:r>
      <w:proofErr w:type="gramEnd"/>
      <w:r w:rsidR="00D32DFC" w:rsidRPr="00297C36">
        <w:rPr>
          <w:rFonts w:ascii="Book Antiqua" w:hAnsi="Book Antiqua" w:cs="Arial"/>
        </w:rPr>
        <w:t xml:space="preserve"> use (sic) in Syria were the 5 &amp; 10 lira, however the website numista.com show that there were 1996 issues of the 1 &amp; 2 lira coins, a 2003 </w:t>
      </w:r>
      <w:r w:rsidR="00DB792E" w:rsidRPr="00297C36">
        <w:rPr>
          <w:rFonts w:ascii="Book Antiqua" w:hAnsi="Book Antiqua" w:cs="Arial"/>
        </w:rPr>
        <w:t>issues</w:t>
      </w:r>
      <w:r w:rsidR="00D32DFC" w:rsidRPr="00297C36">
        <w:rPr>
          <w:rFonts w:ascii="Book Antiqua" w:hAnsi="Book Antiqua" w:cs="Arial"/>
        </w:rPr>
        <w:t xml:space="preserve"> of the 5, 10 &amp; 25 lira coins.</w:t>
      </w:r>
      <w:r w:rsidRPr="00297C36">
        <w:rPr>
          <w:rFonts w:ascii="Book Antiqua" w:hAnsi="Book Antiqua" w:cs="Arial"/>
        </w:rPr>
        <w:t>”</w:t>
      </w:r>
    </w:p>
    <w:p w14:paraId="7F1B0CB4" w14:textId="77777777" w:rsidR="007C05C2" w:rsidRDefault="004977AC" w:rsidP="00297C36">
      <w:pPr>
        <w:spacing w:before="160"/>
        <w:ind w:left="567"/>
        <w:jc w:val="both"/>
        <w:rPr>
          <w:rFonts w:ascii="Book Antiqua" w:hAnsi="Book Antiqua" w:cs="Arial"/>
        </w:rPr>
      </w:pPr>
      <w:r>
        <w:rPr>
          <w:rFonts w:ascii="Book Antiqua" w:hAnsi="Book Antiqua" w:cs="Arial"/>
        </w:rPr>
        <w:t>This</w:t>
      </w:r>
      <w:r w:rsidR="00D32DFC">
        <w:rPr>
          <w:rFonts w:ascii="Book Antiqua" w:hAnsi="Book Antiqua" w:cs="Arial"/>
        </w:rPr>
        <w:t xml:space="preserve"> led to the respondent observing the appellant had demonstrated “a superficial familiarity” with the currency and it was not considered consistent with what could be </w:t>
      </w:r>
      <w:r w:rsidR="00DB792E">
        <w:rPr>
          <w:rFonts w:ascii="Book Antiqua" w:hAnsi="Book Antiqua" w:cs="Arial"/>
        </w:rPr>
        <w:t>reasonably</w:t>
      </w:r>
      <w:r w:rsidR="00D32DFC">
        <w:rPr>
          <w:rFonts w:ascii="Book Antiqua" w:hAnsi="Book Antiqua" w:cs="Arial"/>
        </w:rPr>
        <w:t xml:space="preserve"> expected from a person who had spent their entire life in Syria.  </w:t>
      </w:r>
    </w:p>
    <w:p w14:paraId="4BC359A3" w14:textId="77777777" w:rsidR="00D32DFC" w:rsidRDefault="00D32DFC" w:rsidP="00297C36">
      <w:pPr>
        <w:numPr>
          <w:ilvl w:val="0"/>
          <w:numId w:val="1"/>
        </w:numPr>
        <w:spacing w:before="160"/>
        <w:jc w:val="both"/>
        <w:rPr>
          <w:rFonts w:ascii="Book Antiqua" w:hAnsi="Book Antiqua" w:cs="Arial"/>
        </w:rPr>
      </w:pPr>
      <w:r>
        <w:rPr>
          <w:rFonts w:ascii="Book Antiqua" w:hAnsi="Book Antiqua" w:cs="Arial"/>
        </w:rPr>
        <w:t xml:space="preserve">This aspect was explored </w:t>
      </w:r>
      <w:r w:rsidR="003D187D">
        <w:rPr>
          <w:rFonts w:ascii="Book Antiqua" w:hAnsi="Book Antiqua" w:cs="Arial"/>
        </w:rPr>
        <w:t xml:space="preserve">in the context of </w:t>
      </w:r>
      <w:r w:rsidR="003D187D" w:rsidRPr="003D187D">
        <w:rPr>
          <w:rFonts w:ascii="Book Antiqua" w:hAnsi="Book Antiqua" w:cs="Arial"/>
        </w:rPr>
        <w:t xml:space="preserve">Ms </w:t>
      </w:r>
      <w:r w:rsidR="003D187D" w:rsidRPr="003D187D">
        <w:rPr>
          <w:rFonts w:ascii="Book Antiqua" w:hAnsi="Book Antiqua" w:cs="Arial"/>
          <w:lang w:val="en-US"/>
        </w:rPr>
        <w:t>Vengoechea</w:t>
      </w:r>
      <w:r w:rsidR="003D187D">
        <w:rPr>
          <w:rFonts w:ascii="Book Antiqua" w:hAnsi="Book Antiqua" w:cs="Arial"/>
        </w:rPr>
        <w:t xml:space="preserve">’s insistence that the judge had not considered all the positive factors that favoured the appellant in the credibility analysis.  She accepted that the grounds of challenge did not </w:t>
      </w:r>
      <w:r w:rsidR="00DB792E">
        <w:rPr>
          <w:rFonts w:ascii="Book Antiqua" w:hAnsi="Book Antiqua" w:cs="Arial"/>
        </w:rPr>
        <w:t>challenge</w:t>
      </w:r>
      <w:r w:rsidR="003D187D">
        <w:rPr>
          <w:rFonts w:ascii="Book Antiqua" w:hAnsi="Book Antiqua" w:cs="Arial"/>
        </w:rPr>
        <w:t xml:space="preserve"> this specific position arguing that the ground was intended to cover a more general point.  In essence</w:t>
      </w:r>
      <w:r w:rsidR="008946D2">
        <w:rPr>
          <w:rFonts w:ascii="Book Antiqua" w:hAnsi="Book Antiqua" w:cs="Arial"/>
        </w:rPr>
        <w:t>,</w:t>
      </w:r>
      <w:r w:rsidR="003D187D">
        <w:rPr>
          <w:rFonts w:ascii="Book Antiqua" w:hAnsi="Book Antiqua" w:cs="Arial"/>
        </w:rPr>
        <w:t xml:space="preserve"> I consider </w:t>
      </w:r>
      <w:r w:rsidR="00DB792E">
        <w:rPr>
          <w:rFonts w:ascii="Book Antiqua" w:hAnsi="Book Antiqua" w:cs="Arial"/>
        </w:rPr>
        <w:t>ground</w:t>
      </w:r>
      <w:r w:rsidR="003D187D">
        <w:rPr>
          <w:rFonts w:ascii="Book Antiqua" w:hAnsi="Book Antiqua" w:cs="Arial"/>
        </w:rPr>
        <w:t xml:space="preserve"> </w:t>
      </w:r>
      <w:r w:rsidR="00B34BA6">
        <w:rPr>
          <w:rFonts w:ascii="Book Antiqua" w:hAnsi="Book Antiqua" w:cs="Arial"/>
        </w:rPr>
        <w:t>four</w:t>
      </w:r>
      <w:r w:rsidR="003D187D">
        <w:rPr>
          <w:rFonts w:ascii="Book Antiqua" w:hAnsi="Book Antiqua" w:cs="Arial"/>
        </w:rPr>
        <w:t xml:space="preserve"> to be a reiteration of the earlier </w:t>
      </w:r>
      <w:r w:rsidR="00DB792E">
        <w:rPr>
          <w:rFonts w:ascii="Book Antiqua" w:hAnsi="Book Antiqua" w:cs="Arial"/>
        </w:rPr>
        <w:t>grounds</w:t>
      </w:r>
      <w:r w:rsidR="003D187D">
        <w:rPr>
          <w:rFonts w:ascii="Book Antiqua" w:hAnsi="Book Antiqua" w:cs="Arial"/>
        </w:rPr>
        <w:t xml:space="preserve"> and I do not consider when taking them together there is any merit</w:t>
      </w:r>
      <w:r w:rsidR="002B5A79">
        <w:rPr>
          <w:rFonts w:ascii="Book Antiqua" w:hAnsi="Book Antiqua" w:cs="Arial"/>
        </w:rPr>
        <w:t xml:space="preserve"> for the reasons I have already given in my analysis of the first ground.</w:t>
      </w:r>
    </w:p>
    <w:p w14:paraId="2052B2FC" w14:textId="77777777" w:rsidR="003D187D" w:rsidRDefault="003D187D" w:rsidP="00297C36">
      <w:pPr>
        <w:numPr>
          <w:ilvl w:val="0"/>
          <w:numId w:val="1"/>
        </w:numPr>
        <w:spacing w:before="160"/>
        <w:jc w:val="both"/>
        <w:rPr>
          <w:rFonts w:ascii="Book Antiqua" w:hAnsi="Book Antiqua" w:cs="Arial"/>
        </w:rPr>
      </w:pPr>
      <w:r>
        <w:rPr>
          <w:rFonts w:ascii="Book Antiqua" w:hAnsi="Book Antiqua" w:cs="Arial"/>
        </w:rPr>
        <w:t xml:space="preserve">The final </w:t>
      </w:r>
      <w:r w:rsidR="002B5A79">
        <w:rPr>
          <w:rFonts w:ascii="Book Antiqua" w:hAnsi="Book Antiqua" w:cs="Arial"/>
        </w:rPr>
        <w:t xml:space="preserve">surviving </w:t>
      </w:r>
      <w:r>
        <w:rPr>
          <w:rFonts w:ascii="Book Antiqua" w:hAnsi="Book Antiqua" w:cs="Arial"/>
        </w:rPr>
        <w:t xml:space="preserve">ground relates to the linguistic analysis.  The challenge asserts error by a failure to consider the case law with </w:t>
      </w:r>
      <w:r w:rsidR="00DB792E">
        <w:rPr>
          <w:rFonts w:ascii="Book Antiqua" w:hAnsi="Book Antiqua" w:cs="Arial"/>
        </w:rPr>
        <w:t>reference</w:t>
      </w:r>
      <w:r>
        <w:rPr>
          <w:rFonts w:ascii="Book Antiqua" w:hAnsi="Book Antiqua" w:cs="Arial"/>
        </w:rPr>
        <w:t xml:space="preserve"> to </w:t>
      </w:r>
      <w:r w:rsidRPr="003D187D">
        <w:rPr>
          <w:rFonts w:ascii="Book Antiqua" w:hAnsi="Book Antiqua" w:cs="Arial"/>
          <w:i/>
        </w:rPr>
        <w:t>SSHD v MN and KY</w:t>
      </w:r>
      <w:r>
        <w:rPr>
          <w:rFonts w:ascii="Book Antiqua" w:hAnsi="Book Antiqua" w:cs="Arial"/>
        </w:rPr>
        <w:t xml:space="preserve"> [2014] UKSC 30 with reference to [46] of the judgment:</w:t>
      </w:r>
    </w:p>
    <w:p w14:paraId="1FA92F30" w14:textId="77777777" w:rsidR="003D187D" w:rsidRPr="00297C36" w:rsidRDefault="003D187D" w:rsidP="00297C36">
      <w:pPr>
        <w:spacing w:before="120"/>
        <w:ind w:left="1134" w:right="567"/>
        <w:jc w:val="both"/>
        <w:rPr>
          <w:rFonts w:ascii="Book Antiqua" w:hAnsi="Book Antiqua" w:cs="Arial"/>
          <w:sz w:val="22"/>
          <w:szCs w:val="22"/>
        </w:rPr>
      </w:pPr>
      <w:r w:rsidRPr="00297C36">
        <w:rPr>
          <w:rFonts w:ascii="Book Antiqua" w:hAnsi="Book Antiqua" w:cs="Arial"/>
          <w:sz w:val="22"/>
          <w:szCs w:val="22"/>
        </w:rPr>
        <w:t>“</w:t>
      </w:r>
      <w:r w:rsidR="003D401D" w:rsidRPr="00297C36">
        <w:rPr>
          <w:rFonts w:ascii="Book Antiqua" w:hAnsi="Book Antiqua" w:cs="Arial"/>
          <w:sz w:val="22"/>
          <w:szCs w:val="22"/>
        </w:rPr>
        <w:t>The first is as to the weight to be given to such evidence in future cases. Tribunals are advised that, where there is a ‘clear, detailed and reasoned linguistic analysis’ leading to ‘an opinion expressed in terms of certainty or near certainty’, then ‘little more’ is required to support a conclusion. This seems to me to underplay the importance in any case of the tribunal itself examining such a report critically in the light of all the evidence, and of the reasoning supporting its conclusion (not necessarily limited by the scope of any criticisms or evidence that may be presented by the appellant). The language of the guidance gives rise to a real risk of being interpreted as prejudging issues which are for the individual tribunal to determine. As will be seen, the present appeals are illustrative of that risk.</w:t>
      </w:r>
      <w:r w:rsidRPr="00297C36">
        <w:rPr>
          <w:rFonts w:ascii="Book Antiqua" w:hAnsi="Book Antiqua" w:cs="Arial"/>
          <w:sz w:val="22"/>
          <w:szCs w:val="22"/>
        </w:rPr>
        <w:t>”</w:t>
      </w:r>
    </w:p>
    <w:p w14:paraId="3883FC69" w14:textId="77777777" w:rsidR="003D187D" w:rsidRDefault="00260B9D" w:rsidP="00297C36">
      <w:pPr>
        <w:numPr>
          <w:ilvl w:val="0"/>
          <w:numId w:val="1"/>
        </w:numPr>
        <w:spacing w:before="160"/>
        <w:jc w:val="both"/>
        <w:rPr>
          <w:rFonts w:ascii="Book Antiqua" w:hAnsi="Book Antiqua" w:cs="Arial"/>
        </w:rPr>
      </w:pPr>
      <w:r>
        <w:rPr>
          <w:rFonts w:ascii="Book Antiqua" w:hAnsi="Book Antiqua" w:cs="Arial"/>
        </w:rPr>
        <w:t xml:space="preserve">The complaint is developed with reference to extracts from the report on the basis that it does not express an opinion of certainty or near certainty, and furthermore, having regard to the appellant’s claimed origins close to the border with Turkey and Iraq, the Tribunal had erred by failing to consider the proximity of the home town to the Iraqi Kurdish region may account for the linguistic analysis results.  </w:t>
      </w:r>
    </w:p>
    <w:p w14:paraId="3A7715EC" w14:textId="77777777" w:rsidR="00260B9D" w:rsidRPr="00260B9D" w:rsidRDefault="00260B9D" w:rsidP="00297C36">
      <w:pPr>
        <w:numPr>
          <w:ilvl w:val="0"/>
          <w:numId w:val="1"/>
        </w:numPr>
        <w:spacing w:before="160"/>
        <w:jc w:val="both"/>
        <w:rPr>
          <w:rFonts w:ascii="Book Antiqua" w:hAnsi="Book Antiqua" w:cs="Arial"/>
        </w:rPr>
      </w:pPr>
      <w:r>
        <w:rPr>
          <w:rFonts w:ascii="Book Antiqua" w:hAnsi="Book Antiqua" w:cs="Arial"/>
        </w:rPr>
        <w:t xml:space="preserve">Mr Mathews argued that the report was clear and detailed and formed only part of the judge’s findings.  This ground was developed in more detail with </w:t>
      </w:r>
      <w:r w:rsidRPr="00BB245A">
        <w:rPr>
          <w:rFonts w:ascii="Book Antiqua" w:hAnsi="Book Antiqua" w:cs="Arial"/>
        </w:rPr>
        <w:t xml:space="preserve">Ms </w:t>
      </w:r>
      <w:r w:rsidRPr="00BB245A">
        <w:rPr>
          <w:rFonts w:ascii="Book Antiqua" w:hAnsi="Book Antiqua"/>
          <w:lang w:val="en-US"/>
        </w:rPr>
        <w:t>Vengoechea</w:t>
      </w:r>
      <w:r>
        <w:rPr>
          <w:rFonts w:ascii="Book Antiqua" w:hAnsi="Book Antiqua"/>
          <w:lang w:val="en-US"/>
        </w:rPr>
        <w:t xml:space="preserve"> analysing the </w:t>
      </w:r>
      <w:r w:rsidR="00DB792E">
        <w:rPr>
          <w:rFonts w:ascii="Book Antiqua" w:hAnsi="Book Antiqua"/>
          <w:lang w:val="en-US"/>
        </w:rPr>
        <w:t>approach</w:t>
      </w:r>
      <w:r>
        <w:rPr>
          <w:rFonts w:ascii="Book Antiqua" w:hAnsi="Book Antiqua"/>
          <w:lang w:val="en-US"/>
        </w:rPr>
        <w:t xml:space="preserve"> taken by the linguistic expert.</w:t>
      </w:r>
    </w:p>
    <w:p w14:paraId="0590C70B" w14:textId="77777777" w:rsidR="00260B9D" w:rsidRPr="003E1874" w:rsidRDefault="00260B9D" w:rsidP="00297C36">
      <w:pPr>
        <w:numPr>
          <w:ilvl w:val="0"/>
          <w:numId w:val="1"/>
        </w:numPr>
        <w:spacing w:before="160"/>
        <w:jc w:val="both"/>
        <w:rPr>
          <w:rFonts w:ascii="Book Antiqua" w:hAnsi="Book Antiqua" w:cs="Arial"/>
        </w:rPr>
      </w:pPr>
      <w:r>
        <w:rPr>
          <w:rFonts w:ascii="Book Antiqua" w:hAnsi="Book Antiqua"/>
          <w:lang w:val="en-US"/>
        </w:rPr>
        <w:t>The author of the report notes the hypothesis (by the appellant) “that the linguistic behavior displayed is consistent with the Kurdish (Kurmanji) linguistic community eastern Al-</w:t>
      </w:r>
      <w:proofErr w:type="spellStart"/>
      <w:r>
        <w:rPr>
          <w:rFonts w:ascii="Book Antiqua" w:hAnsi="Book Antiqua"/>
          <w:lang w:val="en-US"/>
        </w:rPr>
        <w:t>Hasakah</w:t>
      </w:r>
      <w:proofErr w:type="spellEnd"/>
      <w:r>
        <w:rPr>
          <w:rFonts w:ascii="Book Antiqua" w:hAnsi="Book Antiqua"/>
          <w:lang w:val="en-US"/>
        </w:rPr>
        <w:t xml:space="preserve"> variety”.</w:t>
      </w:r>
      <w:r w:rsidR="002A0816">
        <w:rPr>
          <w:rFonts w:ascii="Book Antiqua" w:hAnsi="Book Antiqua"/>
          <w:lang w:val="en-US"/>
        </w:rPr>
        <w:t xml:space="preserve"> </w:t>
      </w:r>
      <w:r>
        <w:rPr>
          <w:rFonts w:ascii="Book Antiqua" w:hAnsi="Book Antiqua"/>
          <w:lang w:val="en-US"/>
        </w:rPr>
        <w:t>After a detailed analysis of the phonology and morphology as well as the simt</w:t>
      </w:r>
      <w:r w:rsidR="003E1874">
        <w:rPr>
          <w:rFonts w:ascii="Book Antiqua" w:hAnsi="Book Antiqua"/>
          <w:lang w:val="en-US"/>
        </w:rPr>
        <w:t xml:space="preserve">ics </w:t>
      </w:r>
      <w:r>
        <w:rPr>
          <w:rFonts w:ascii="Book Antiqua" w:hAnsi="Book Antiqua"/>
          <w:lang w:val="en-US"/>
        </w:rPr>
        <w:t xml:space="preserve">and lexicology of Kurdish which the author notes the appellant speaks at native speaker level, </w:t>
      </w:r>
      <w:r w:rsidR="003E1874">
        <w:rPr>
          <w:rFonts w:ascii="Book Antiqua" w:hAnsi="Book Antiqua"/>
          <w:lang w:val="en-US"/>
        </w:rPr>
        <w:t xml:space="preserve">he turns to the alternative hypothesis “that the linguistic behaviour displayed is consistent with a Kurdish (Kurmanji) linguistic </w:t>
      </w:r>
      <w:r w:rsidR="003E1874">
        <w:rPr>
          <w:rFonts w:ascii="Book Antiqua" w:hAnsi="Book Antiqua"/>
          <w:lang w:val="en-US"/>
        </w:rPr>
        <w:lastRenderedPageBreak/>
        <w:t xml:space="preserve">community which is represented in Iraqi Kurdistan”.  This is followed by an analysis of the linguistic community and as with the initial hypothesis notes in realtion to phonology, simtics and lexicology as well as morphology.  </w:t>
      </w:r>
    </w:p>
    <w:p w14:paraId="1E30AF57" w14:textId="77777777" w:rsidR="003E6AEF" w:rsidRPr="003E6AEF" w:rsidRDefault="003E1874" w:rsidP="00297C36">
      <w:pPr>
        <w:numPr>
          <w:ilvl w:val="0"/>
          <w:numId w:val="1"/>
        </w:numPr>
        <w:spacing w:before="160"/>
        <w:jc w:val="both"/>
        <w:rPr>
          <w:rFonts w:ascii="Book Antiqua" w:hAnsi="Book Antiqua" w:cs="Arial"/>
        </w:rPr>
      </w:pPr>
      <w:r>
        <w:rPr>
          <w:rFonts w:ascii="Book Antiqua" w:hAnsi="Book Antiqua"/>
          <w:lang w:val="en-US"/>
        </w:rPr>
        <w:t xml:space="preserve">As to result </w:t>
      </w:r>
      <w:r w:rsidR="001A0A92">
        <w:rPr>
          <w:rFonts w:ascii="Book Antiqua" w:hAnsi="Book Antiqua"/>
          <w:lang w:val="en-US"/>
        </w:rPr>
        <w:t>on</w:t>
      </w:r>
      <w:r>
        <w:rPr>
          <w:rFonts w:ascii="Book Antiqua" w:hAnsi="Book Antiqua"/>
          <w:lang w:val="en-US"/>
        </w:rPr>
        <w:t xml:space="preserve"> the initial hypothesis</w:t>
      </w:r>
      <w:r w:rsidR="001A0A92">
        <w:rPr>
          <w:rFonts w:ascii="Book Antiqua" w:hAnsi="Book Antiqua"/>
          <w:lang w:val="en-US"/>
        </w:rPr>
        <w:t>,</w:t>
      </w:r>
      <w:r>
        <w:rPr>
          <w:rFonts w:ascii="Book Antiqua" w:hAnsi="Book Antiqua"/>
          <w:lang w:val="en-US"/>
        </w:rPr>
        <w:t xml:space="preserve"> the author </w:t>
      </w:r>
      <w:r w:rsidR="00AC3075">
        <w:rPr>
          <w:rFonts w:ascii="Book Antiqua" w:hAnsi="Book Antiqua"/>
          <w:lang w:val="en-US"/>
        </w:rPr>
        <w:t>scores</w:t>
      </w:r>
      <w:r>
        <w:rPr>
          <w:rFonts w:ascii="Book Antiqua" w:hAnsi="Book Antiqua"/>
          <w:lang w:val="en-US"/>
        </w:rPr>
        <w:t xml:space="preserve"> in a scale ranging between +3 and -3 as to </w:t>
      </w:r>
      <w:r w:rsidR="003E6AEF">
        <w:rPr>
          <w:rFonts w:ascii="Book Antiqua" w:hAnsi="Book Antiqua"/>
          <w:lang w:val="en-US"/>
        </w:rPr>
        <w:t xml:space="preserve">the </w:t>
      </w:r>
      <w:r>
        <w:rPr>
          <w:rFonts w:ascii="Book Antiqua" w:hAnsi="Book Antiqua"/>
          <w:lang w:val="en-US"/>
        </w:rPr>
        <w:t>various possibilities</w:t>
      </w:r>
      <w:r w:rsidR="003E6AEF">
        <w:rPr>
          <w:rFonts w:ascii="Book Antiqua" w:hAnsi="Book Antiqua"/>
          <w:lang w:val="en-US"/>
        </w:rPr>
        <w:t>:</w:t>
      </w:r>
    </w:p>
    <w:p w14:paraId="4CC354E0" w14:textId="6229E003" w:rsidR="003E6AEF" w:rsidRPr="00297C36" w:rsidRDefault="00AC3075" w:rsidP="00297C36">
      <w:pPr>
        <w:tabs>
          <w:tab w:val="left" w:pos="1701"/>
        </w:tabs>
        <w:spacing w:before="120"/>
        <w:ind w:left="1134"/>
        <w:jc w:val="both"/>
        <w:rPr>
          <w:rFonts w:ascii="Book Antiqua" w:hAnsi="Book Antiqua"/>
          <w:lang w:val="en-US"/>
        </w:rPr>
      </w:pPr>
      <w:r w:rsidRPr="00297C36">
        <w:rPr>
          <w:rFonts w:ascii="Book Antiqua" w:hAnsi="Book Antiqua"/>
          <w:lang w:val="en-US"/>
        </w:rPr>
        <w:t>”</w:t>
      </w:r>
      <w:r w:rsidR="003E1874" w:rsidRPr="00297C36">
        <w:rPr>
          <w:rFonts w:ascii="Book Antiqua" w:hAnsi="Book Antiqua"/>
          <w:lang w:val="en-US"/>
        </w:rPr>
        <w:t>-1</w:t>
      </w:r>
      <w:r w:rsidR="00297C36">
        <w:rPr>
          <w:rFonts w:ascii="Book Antiqua" w:hAnsi="Book Antiqua"/>
          <w:lang w:val="en-US"/>
        </w:rPr>
        <w:tab/>
      </w:r>
      <w:r w:rsidR="000C69E5" w:rsidRPr="00297C36">
        <w:rPr>
          <w:rFonts w:ascii="Book Antiqua" w:hAnsi="Book Antiqua"/>
          <w:lang w:val="en-US"/>
        </w:rPr>
        <w:t>-</w:t>
      </w:r>
      <w:r w:rsidR="00297C36">
        <w:rPr>
          <w:rFonts w:ascii="Book Antiqua" w:hAnsi="Book Antiqua"/>
          <w:lang w:val="en-US"/>
        </w:rPr>
        <w:t xml:space="preserve"> </w:t>
      </w:r>
      <w:r w:rsidR="00137F4C" w:rsidRPr="00297C36">
        <w:rPr>
          <w:rFonts w:ascii="Book Antiqua" w:hAnsi="Book Antiqua"/>
          <w:lang w:val="en-US"/>
        </w:rPr>
        <w:t>T</w:t>
      </w:r>
      <w:r w:rsidR="003E1874" w:rsidRPr="00297C36">
        <w:rPr>
          <w:rFonts w:ascii="Book Antiqua" w:hAnsi="Book Antiqua"/>
          <w:lang w:val="en-US"/>
        </w:rPr>
        <w:t xml:space="preserve">he language analysis somewhat suggests that the results obtained will likely than not inconsistent with the linguistic community as stated in the hypothesis”.  </w:t>
      </w:r>
    </w:p>
    <w:p w14:paraId="7C9BFF05" w14:textId="77777777" w:rsidR="003E1874" w:rsidRPr="00A8111A" w:rsidRDefault="00875EF6" w:rsidP="00297C36">
      <w:pPr>
        <w:spacing w:before="160"/>
        <w:ind w:firstLine="567"/>
        <w:jc w:val="both"/>
        <w:rPr>
          <w:rFonts w:ascii="Book Antiqua" w:hAnsi="Book Antiqua" w:cs="Arial"/>
        </w:rPr>
      </w:pPr>
      <w:r>
        <w:rPr>
          <w:rFonts w:ascii="Book Antiqua" w:hAnsi="Book Antiqua"/>
          <w:lang w:val="en-US"/>
        </w:rPr>
        <w:t xml:space="preserve">As to the alternative hypothesis </w:t>
      </w:r>
      <w:r w:rsidR="002A09F2">
        <w:rPr>
          <w:rFonts w:ascii="Book Antiqua" w:hAnsi="Book Antiqua"/>
          <w:lang w:val="en-US"/>
        </w:rPr>
        <w:t>(</w:t>
      </w:r>
      <w:r>
        <w:rPr>
          <w:rFonts w:ascii="Book Antiqua" w:hAnsi="Book Antiqua"/>
          <w:lang w:val="en-US"/>
        </w:rPr>
        <w:t>being Iraqi Kurdistan</w:t>
      </w:r>
      <w:r w:rsidR="002A09F2">
        <w:rPr>
          <w:rFonts w:ascii="Book Antiqua" w:hAnsi="Book Antiqua"/>
          <w:lang w:val="en-US"/>
        </w:rPr>
        <w:t>),</w:t>
      </w:r>
      <w:r>
        <w:rPr>
          <w:rFonts w:ascii="Book Antiqua" w:hAnsi="Book Antiqua"/>
          <w:lang w:val="en-US"/>
        </w:rPr>
        <w:t xml:space="preserve"> the author scores</w:t>
      </w:r>
      <w:r w:rsidR="00A8111A">
        <w:rPr>
          <w:rFonts w:ascii="Book Antiqua" w:hAnsi="Book Antiqua"/>
          <w:lang w:val="en-US"/>
        </w:rPr>
        <w:t>:</w:t>
      </w:r>
    </w:p>
    <w:p w14:paraId="0793675E" w14:textId="43EED894" w:rsidR="00A8111A" w:rsidRPr="00297C36" w:rsidRDefault="00A8111A" w:rsidP="00297C36">
      <w:pPr>
        <w:tabs>
          <w:tab w:val="left" w:pos="1701"/>
        </w:tabs>
        <w:spacing w:before="120"/>
        <w:ind w:left="1134"/>
        <w:jc w:val="both"/>
        <w:rPr>
          <w:rFonts w:ascii="Book Antiqua" w:hAnsi="Book Antiqua" w:cs="Arial"/>
        </w:rPr>
      </w:pPr>
      <w:r w:rsidRPr="00297C36">
        <w:rPr>
          <w:rFonts w:ascii="Book Antiqua" w:hAnsi="Book Antiqua"/>
          <w:lang w:val="en-US"/>
        </w:rPr>
        <w:t>“</w:t>
      </w:r>
      <w:r w:rsidR="00137F4C" w:rsidRPr="00297C36">
        <w:rPr>
          <w:rFonts w:ascii="Book Antiqua" w:hAnsi="Book Antiqua"/>
          <w:lang w:val="en-US"/>
        </w:rPr>
        <w:t>+1</w:t>
      </w:r>
      <w:r w:rsidR="00297C36">
        <w:rPr>
          <w:rFonts w:ascii="Book Antiqua" w:hAnsi="Book Antiqua"/>
          <w:lang w:val="en-US"/>
        </w:rPr>
        <w:tab/>
      </w:r>
      <w:r w:rsidR="00137F4C" w:rsidRPr="00297C36">
        <w:rPr>
          <w:rFonts w:ascii="Book Antiqua" w:hAnsi="Book Antiqua"/>
          <w:lang w:val="en-US"/>
        </w:rPr>
        <w:t>-</w:t>
      </w:r>
      <w:r w:rsidR="00297C36">
        <w:rPr>
          <w:rFonts w:ascii="Book Antiqua" w:hAnsi="Book Antiqua"/>
          <w:lang w:val="en-US"/>
        </w:rPr>
        <w:t xml:space="preserve"> </w:t>
      </w:r>
      <w:r w:rsidRPr="00297C36">
        <w:rPr>
          <w:rFonts w:ascii="Book Antiqua" w:hAnsi="Book Antiqua"/>
          <w:lang w:val="en-US"/>
        </w:rPr>
        <w:t>The language analysis somewhat suggests that the results obtained more likely than not are consistent with the linguistic community as stated in the hypothesis”.</w:t>
      </w:r>
    </w:p>
    <w:p w14:paraId="3CF14110" w14:textId="77777777" w:rsidR="00A8111A" w:rsidRDefault="00FD2E1E" w:rsidP="00297C36">
      <w:pPr>
        <w:numPr>
          <w:ilvl w:val="0"/>
          <w:numId w:val="1"/>
        </w:numPr>
        <w:spacing w:before="160"/>
        <w:jc w:val="both"/>
        <w:rPr>
          <w:rFonts w:ascii="Book Antiqua" w:hAnsi="Book Antiqua" w:cs="Arial"/>
        </w:rPr>
      </w:pPr>
      <w:r>
        <w:rPr>
          <w:rFonts w:ascii="Book Antiqua" w:hAnsi="Book Antiqua" w:cs="Arial"/>
        </w:rPr>
        <w:t>I note that i</w:t>
      </w:r>
      <w:r w:rsidR="00A8111A">
        <w:rPr>
          <w:rFonts w:ascii="Book Antiqua" w:hAnsi="Book Antiqua" w:cs="Arial"/>
        </w:rPr>
        <w:t>f the sc</w:t>
      </w:r>
      <w:r w:rsidR="003368D5">
        <w:rPr>
          <w:rFonts w:ascii="Book Antiqua" w:hAnsi="Book Antiqua" w:cs="Arial"/>
        </w:rPr>
        <w:t>o</w:t>
      </w:r>
      <w:r w:rsidR="00A8111A">
        <w:rPr>
          <w:rFonts w:ascii="Book Antiqua" w:hAnsi="Book Antiqua" w:cs="Arial"/>
        </w:rPr>
        <w:t>ring had been +3</w:t>
      </w:r>
      <w:r>
        <w:rPr>
          <w:rFonts w:ascii="Book Antiqua" w:hAnsi="Book Antiqua" w:cs="Arial"/>
        </w:rPr>
        <w:t>,</w:t>
      </w:r>
      <w:r w:rsidR="00A8111A">
        <w:rPr>
          <w:rFonts w:ascii="Book Antiqua" w:hAnsi="Book Antiqua" w:cs="Arial"/>
        </w:rPr>
        <w:t xml:space="preserve"> that would have shown </w:t>
      </w:r>
      <w:r w:rsidR="00DE0348">
        <w:rPr>
          <w:rFonts w:ascii="Book Antiqua" w:hAnsi="Book Antiqua" w:cs="Arial"/>
        </w:rPr>
        <w:t xml:space="preserve">certainty that the results were clearly consistent with the linguistic community claimed.  </w:t>
      </w:r>
      <w:r w:rsidR="000557AE">
        <w:rPr>
          <w:rFonts w:ascii="Book Antiqua" w:hAnsi="Book Antiqua" w:cs="Arial"/>
        </w:rPr>
        <w:t xml:space="preserve">If -3, it </w:t>
      </w:r>
      <w:r w:rsidR="00DE0348">
        <w:rPr>
          <w:rFonts w:ascii="Book Antiqua" w:hAnsi="Book Antiqua" w:cs="Arial"/>
        </w:rPr>
        <w:t xml:space="preserve">is that </w:t>
      </w:r>
      <w:r w:rsidR="00574F0A">
        <w:rPr>
          <w:rFonts w:ascii="Book Antiqua" w:hAnsi="Book Antiqua" w:cs="Arial"/>
        </w:rPr>
        <w:t xml:space="preserve">with like </w:t>
      </w:r>
      <w:r w:rsidR="00DB792E">
        <w:rPr>
          <w:rFonts w:ascii="Book Antiqua" w:hAnsi="Book Antiqua" w:cs="Arial"/>
        </w:rPr>
        <w:t>certainty</w:t>
      </w:r>
      <w:r w:rsidR="00574F0A">
        <w:rPr>
          <w:rFonts w:ascii="Book Antiqua" w:hAnsi="Book Antiqua" w:cs="Arial"/>
        </w:rPr>
        <w:t xml:space="preserve"> the results are clearly inconsistent.  The appellant was found therefore to be </w:t>
      </w:r>
      <w:r w:rsidR="000557AE">
        <w:rPr>
          <w:rFonts w:ascii="Book Antiqua" w:hAnsi="Book Antiqua" w:cs="Arial"/>
        </w:rPr>
        <w:t xml:space="preserve">just one degree </w:t>
      </w:r>
      <w:r w:rsidR="00574F0A">
        <w:rPr>
          <w:rFonts w:ascii="Book Antiqua" w:hAnsi="Book Antiqua" w:cs="Arial"/>
        </w:rPr>
        <w:t xml:space="preserve">above the bar and it is correct therefore that the opinion is not expressed in </w:t>
      </w:r>
      <w:r w:rsidR="00DB792E">
        <w:rPr>
          <w:rFonts w:ascii="Book Antiqua" w:hAnsi="Book Antiqua" w:cs="Arial"/>
        </w:rPr>
        <w:t>terms</w:t>
      </w:r>
      <w:r w:rsidR="00574F0A">
        <w:rPr>
          <w:rFonts w:ascii="Book Antiqua" w:hAnsi="Book Antiqua" w:cs="Arial"/>
        </w:rPr>
        <w:t xml:space="preserve"> of </w:t>
      </w:r>
      <w:r w:rsidR="00DB792E">
        <w:rPr>
          <w:rFonts w:ascii="Book Antiqua" w:hAnsi="Book Antiqua" w:cs="Arial"/>
        </w:rPr>
        <w:t>certainty</w:t>
      </w:r>
      <w:r w:rsidR="00574F0A">
        <w:rPr>
          <w:rFonts w:ascii="Book Antiqua" w:hAnsi="Book Antiqua" w:cs="Arial"/>
        </w:rPr>
        <w:t xml:space="preserve"> or near certainty.  </w:t>
      </w:r>
    </w:p>
    <w:p w14:paraId="0E59DA55" w14:textId="77777777" w:rsidR="00394FF8" w:rsidRDefault="00574F0A" w:rsidP="00297C36">
      <w:pPr>
        <w:numPr>
          <w:ilvl w:val="0"/>
          <w:numId w:val="1"/>
        </w:numPr>
        <w:spacing w:before="160"/>
        <w:jc w:val="both"/>
        <w:rPr>
          <w:rFonts w:ascii="Book Antiqua" w:hAnsi="Book Antiqua" w:cs="Arial"/>
        </w:rPr>
      </w:pPr>
      <w:r>
        <w:rPr>
          <w:rFonts w:ascii="Book Antiqua" w:hAnsi="Book Antiqua" w:cs="Arial"/>
        </w:rPr>
        <w:t xml:space="preserve">The approach </w:t>
      </w:r>
      <w:r w:rsidR="00DB792E">
        <w:rPr>
          <w:rFonts w:ascii="Book Antiqua" w:hAnsi="Book Antiqua" w:cs="Arial"/>
        </w:rPr>
        <w:t>taken</w:t>
      </w:r>
      <w:r>
        <w:rPr>
          <w:rFonts w:ascii="Book Antiqua" w:hAnsi="Book Antiqua" w:cs="Arial"/>
        </w:rPr>
        <w:t xml:space="preserve"> by the judge was not to base his conclusion on this one aspect of the evidence</w:t>
      </w:r>
      <w:r w:rsidR="009E04A4">
        <w:rPr>
          <w:rFonts w:ascii="Book Antiqua" w:hAnsi="Book Antiqua" w:cs="Arial"/>
        </w:rPr>
        <w:t xml:space="preserve"> however.</w:t>
      </w:r>
      <w:r>
        <w:rPr>
          <w:rFonts w:ascii="Book Antiqua" w:hAnsi="Book Antiqua" w:cs="Arial"/>
        </w:rPr>
        <w:t xml:space="preserve">  Had he done so I consider he</w:t>
      </w:r>
      <w:r w:rsidR="000557AE">
        <w:rPr>
          <w:rFonts w:ascii="Book Antiqua" w:hAnsi="Book Antiqua" w:cs="Arial"/>
        </w:rPr>
        <w:t xml:space="preserve"> might well</w:t>
      </w:r>
      <w:r>
        <w:rPr>
          <w:rFonts w:ascii="Book Antiqua" w:hAnsi="Book Antiqua" w:cs="Arial"/>
        </w:rPr>
        <w:t xml:space="preserve"> have erred.  Instead</w:t>
      </w:r>
      <w:r w:rsidR="000557AE">
        <w:rPr>
          <w:rFonts w:ascii="Book Antiqua" w:hAnsi="Book Antiqua" w:cs="Arial"/>
        </w:rPr>
        <w:t>,</w:t>
      </w:r>
      <w:r>
        <w:rPr>
          <w:rFonts w:ascii="Book Antiqua" w:hAnsi="Book Antiqua" w:cs="Arial"/>
        </w:rPr>
        <w:t xml:space="preserve"> he took a number</w:t>
      </w:r>
      <w:r w:rsidR="009E04A4">
        <w:rPr>
          <w:rFonts w:ascii="Book Antiqua" w:hAnsi="Book Antiqua" w:cs="Arial"/>
        </w:rPr>
        <w:t xml:space="preserve"> </w:t>
      </w:r>
      <w:r>
        <w:rPr>
          <w:rFonts w:ascii="Book Antiqua" w:hAnsi="Book Antiqua" w:cs="Arial"/>
        </w:rPr>
        <w:t>of factors into account in finding that the appellant was not a national of Syria.  In my judgment</w:t>
      </w:r>
      <w:r w:rsidR="009E04A4">
        <w:rPr>
          <w:rFonts w:ascii="Book Antiqua" w:hAnsi="Book Antiqua" w:cs="Arial"/>
        </w:rPr>
        <w:t>,</w:t>
      </w:r>
      <w:r>
        <w:rPr>
          <w:rFonts w:ascii="Book Antiqua" w:hAnsi="Book Antiqua" w:cs="Arial"/>
        </w:rPr>
        <w:t xml:space="preserve"> the evidence over the fingerprinting of the appellant in </w:t>
      </w:r>
      <w:r w:rsidR="003368D5">
        <w:rPr>
          <w:rFonts w:ascii="Book Antiqua" w:hAnsi="Book Antiqua" w:cs="Arial"/>
        </w:rPr>
        <w:t>Dunkirk</w:t>
      </w:r>
      <w:r>
        <w:rPr>
          <w:rFonts w:ascii="Book Antiqua" w:hAnsi="Book Antiqua" w:cs="Arial"/>
        </w:rPr>
        <w:t xml:space="preserve"> before he claims to have left </w:t>
      </w:r>
      <w:r w:rsidR="003368D5">
        <w:rPr>
          <w:rFonts w:ascii="Book Antiqua" w:hAnsi="Book Antiqua" w:cs="Arial"/>
        </w:rPr>
        <w:t>Syria</w:t>
      </w:r>
      <w:r>
        <w:rPr>
          <w:rFonts w:ascii="Book Antiqua" w:hAnsi="Book Antiqua" w:cs="Arial"/>
        </w:rPr>
        <w:t xml:space="preserve"> when he stated that he was an Iraqi national </w:t>
      </w:r>
      <w:r w:rsidR="000557AE">
        <w:rPr>
          <w:rFonts w:ascii="Book Antiqua" w:hAnsi="Book Antiqua" w:cs="Arial"/>
        </w:rPr>
        <w:t>has particular force</w:t>
      </w:r>
      <w:r>
        <w:rPr>
          <w:rFonts w:ascii="Book Antiqua" w:hAnsi="Book Antiqua" w:cs="Arial"/>
        </w:rPr>
        <w:t xml:space="preserve">.  The linguistic report adds to the picture as well as the other negative aspects referred to by the judge in his decision.  I am in no </w:t>
      </w:r>
      <w:r w:rsidR="003368D5">
        <w:rPr>
          <w:rFonts w:ascii="Book Antiqua" w:hAnsi="Book Antiqua" w:cs="Arial"/>
        </w:rPr>
        <w:t>doubt</w:t>
      </w:r>
      <w:r>
        <w:rPr>
          <w:rFonts w:ascii="Book Antiqua" w:hAnsi="Book Antiqua" w:cs="Arial"/>
        </w:rPr>
        <w:t xml:space="preserve"> that had the judge accepted the account over the reference to the passport his conclusion would have been the same.  </w:t>
      </w:r>
    </w:p>
    <w:p w14:paraId="2819A85A" w14:textId="77777777" w:rsidR="000557AE" w:rsidRDefault="00394FF8" w:rsidP="00297C36">
      <w:pPr>
        <w:numPr>
          <w:ilvl w:val="0"/>
          <w:numId w:val="1"/>
        </w:numPr>
        <w:spacing w:before="160"/>
        <w:jc w:val="both"/>
        <w:rPr>
          <w:rFonts w:ascii="Book Antiqua" w:hAnsi="Book Antiqua" w:cs="Arial"/>
        </w:rPr>
      </w:pPr>
      <w:r>
        <w:rPr>
          <w:rFonts w:ascii="Book Antiqua" w:hAnsi="Book Antiqua" w:cs="Arial"/>
        </w:rPr>
        <w:t>F</w:t>
      </w:r>
      <w:r w:rsidR="0095150E">
        <w:rPr>
          <w:rFonts w:ascii="Book Antiqua" w:hAnsi="Book Antiqua" w:cs="Arial"/>
        </w:rPr>
        <w:t xml:space="preserve">rom </w:t>
      </w:r>
      <w:r w:rsidR="00AA3C5A">
        <w:rPr>
          <w:rFonts w:ascii="Book Antiqua" w:hAnsi="Book Antiqua" w:cs="Arial"/>
        </w:rPr>
        <w:t xml:space="preserve">my </w:t>
      </w:r>
      <w:r w:rsidR="0095150E">
        <w:rPr>
          <w:rFonts w:ascii="Book Antiqua" w:hAnsi="Book Antiqua" w:cs="Arial"/>
        </w:rPr>
        <w:t>consideration of the de</w:t>
      </w:r>
      <w:r w:rsidR="005920AF">
        <w:rPr>
          <w:rFonts w:ascii="Book Antiqua" w:hAnsi="Book Antiqua" w:cs="Arial"/>
        </w:rPr>
        <w:t xml:space="preserve">termination </w:t>
      </w:r>
      <w:r w:rsidR="0095150E">
        <w:rPr>
          <w:rFonts w:ascii="Book Antiqua" w:hAnsi="Book Antiqua" w:cs="Arial"/>
        </w:rPr>
        <w:t>as a whole</w:t>
      </w:r>
      <w:r w:rsidR="005920AF">
        <w:rPr>
          <w:rFonts w:ascii="Book Antiqua" w:hAnsi="Book Antiqua" w:cs="Arial"/>
        </w:rPr>
        <w:t>,</w:t>
      </w:r>
      <w:r w:rsidR="00574F0A">
        <w:rPr>
          <w:rFonts w:ascii="Book Antiqua" w:hAnsi="Book Antiqua" w:cs="Arial"/>
        </w:rPr>
        <w:t xml:space="preserve"> </w:t>
      </w:r>
      <w:r>
        <w:rPr>
          <w:rFonts w:ascii="Book Antiqua" w:hAnsi="Book Antiqua" w:cs="Arial"/>
        </w:rPr>
        <w:t xml:space="preserve">I </w:t>
      </w:r>
      <w:r w:rsidR="00483238">
        <w:rPr>
          <w:rFonts w:ascii="Book Antiqua" w:hAnsi="Book Antiqua" w:cs="Arial"/>
        </w:rPr>
        <w:t xml:space="preserve">am satisfied that </w:t>
      </w:r>
      <w:r w:rsidR="00574F0A">
        <w:rPr>
          <w:rFonts w:ascii="Book Antiqua" w:hAnsi="Book Antiqua" w:cs="Arial"/>
        </w:rPr>
        <w:t>the judge</w:t>
      </w:r>
      <w:r w:rsidR="005920AF">
        <w:rPr>
          <w:rFonts w:ascii="Book Antiqua" w:hAnsi="Book Antiqua" w:cs="Arial"/>
        </w:rPr>
        <w:t xml:space="preserve"> </w:t>
      </w:r>
      <w:r w:rsidR="00AA3C5A">
        <w:rPr>
          <w:rFonts w:ascii="Book Antiqua" w:hAnsi="Book Antiqua" w:cs="Arial"/>
        </w:rPr>
        <w:t>reached</w:t>
      </w:r>
      <w:r w:rsidR="009C3D64">
        <w:rPr>
          <w:rFonts w:ascii="Book Antiqua" w:hAnsi="Book Antiqua" w:cs="Arial"/>
        </w:rPr>
        <w:t xml:space="preserve"> </w:t>
      </w:r>
      <w:r w:rsidR="005920AF">
        <w:rPr>
          <w:rFonts w:ascii="Book Antiqua" w:hAnsi="Book Antiqua" w:cs="Arial"/>
        </w:rPr>
        <w:t>an</w:t>
      </w:r>
      <w:r w:rsidR="00574F0A">
        <w:rPr>
          <w:rFonts w:ascii="Book Antiqua" w:hAnsi="Book Antiqua" w:cs="Arial"/>
        </w:rPr>
        <w:t xml:space="preserve"> adequately reasoned decision why he </w:t>
      </w:r>
      <w:r w:rsidR="003368D5">
        <w:rPr>
          <w:rFonts w:ascii="Book Antiqua" w:hAnsi="Book Antiqua" w:cs="Arial"/>
        </w:rPr>
        <w:t>did</w:t>
      </w:r>
      <w:r w:rsidR="00574F0A">
        <w:rPr>
          <w:rFonts w:ascii="Book Antiqua" w:hAnsi="Book Antiqua" w:cs="Arial"/>
        </w:rPr>
        <w:t xml:space="preserve"> not believe the appellant and </w:t>
      </w:r>
      <w:r w:rsidR="00613844">
        <w:rPr>
          <w:rFonts w:ascii="Book Antiqua" w:hAnsi="Book Antiqua" w:cs="Arial"/>
        </w:rPr>
        <w:t xml:space="preserve">I am </w:t>
      </w:r>
      <w:r w:rsidR="00483238">
        <w:rPr>
          <w:rFonts w:ascii="Book Antiqua" w:hAnsi="Book Antiqua" w:cs="Arial"/>
        </w:rPr>
        <w:t>not persuaded</w:t>
      </w:r>
      <w:r w:rsidR="00613844">
        <w:rPr>
          <w:rFonts w:ascii="Book Antiqua" w:hAnsi="Book Antiqua" w:cs="Arial"/>
        </w:rPr>
        <w:t xml:space="preserve"> that the</w:t>
      </w:r>
      <w:r w:rsidR="00574F0A">
        <w:rPr>
          <w:rFonts w:ascii="Book Antiqua" w:hAnsi="Book Antiqua" w:cs="Arial"/>
        </w:rPr>
        <w:t xml:space="preserve"> conceded error was material.  </w:t>
      </w:r>
      <w:r w:rsidR="007021FC">
        <w:rPr>
          <w:rFonts w:ascii="Book Antiqua" w:hAnsi="Book Antiqua" w:cs="Arial"/>
        </w:rPr>
        <w:t xml:space="preserve">The judge </w:t>
      </w:r>
      <w:r w:rsidR="00574F0A">
        <w:rPr>
          <w:rFonts w:ascii="Book Antiqua" w:hAnsi="Book Antiqua" w:cs="Arial"/>
        </w:rPr>
        <w:t xml:space="preserve">reached a conclusion </w:t>
      </w:r>
      <w:r w:rsidR="007021FC">
        <w:rPr>
          <w:rFonts w:ascii="Book Antiqua" w:hAnsi="Book Antiqua" w:cs="Arial"/>
        </w:rPr>
        <w:t xml:space="preserve">legally </w:t>
      </w:r>
      <w:r w:rsidR="00574F0A">
        <w:rPr>
          <w:rFonts w:ascii="Book Antiqua" w:hAnsi="Book Antiqua" w:cs="Arial"/>
        </w:rPr>
        <w:t xml:space="preserve">open to him on the evidence.  </w:t>
      </w:r>
    </w:p>
    <w:p w14:paraId="7B5C4462" w14:textId="77777777" w:rsidR="00574F0A" w:rsidRPr="001C5703" w:rsidRDefault="00574F0A" w:rsidP="00297C36">
      <w:pPr>
        <w:numPr>
          <w:ilvl w:val="0"/>
          <w:numId w:val="1"/>
        </w:numPr>
        <w:spacing w:before="160"/>
        <w:jc w:val="both"/>
        <w:rPr>
          <w:rFonts w:ascii="Book Antiqua" w:hAnsi="Book Antiqua" w:cs="Arial"/>
        </w:rPr>
      </w:pPr>
      <w:r>
        <w:rPr>
          <w:rFonts w:ascii="Book Antiqua" w:hAnsi="Book Antiqua" w:cs="Arial"/>
        </w:rPr>
        <w:t>This appeal is dismissed.</w:t>
      </w:r>
    </w:p>
    <w:p w14:paraId="536769A8" w14:textId="77777777" w:rsidR="00661228" w:rsidRDefault="00661228" w:rsidP="00207D73">
      <w:pPr>
        <w:jc w:val="both"/>
        <w:rPr>
          <w:rFonts w:ascii="Book Antiqua" w:hAnsi="Book Antiqua" w:cs="Arial"/>
          <w:b/>
        </w:rPr>
      </w:pPr>
    </w:p>
    <w:p w14:paraId="414D2FB1" w14:textId="77777777" w:rsidR="00661228" w:rsidRDefault="00661228" w:rsidP="00207D73">
      <w:pPr>
        <w:jc w:val="both"/>
        <w:rPr>
          <w:rFonts w:ascii="Book Antiqua" w:hAnsi="Book Antiqua" w:cs="Arial"/>
          <w:b/>
        </w:rPr>
      </w:pPr>
    </w:p>
    <w:p w14:paraId="492B7516" w14:textId="77777777"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C2325C">
        <w:rPr>
          <w:rFonts w:ascii="Book Antiqua" w:hAnsi="Book Antiqua" w:cs="Arial"/>
        </w:rPr>
        <w:t xml:space="preserve"> 20 August 2018</w:t>
      </w:r>
    </w:p>
    <w:p w14:paraId="69E3A225" w14:textId="77777777" w:rsidR="00297C36" w:rsidRDefault="00297C36" w:rsidP="00402B9E">
      <w:pPr>
        <w:tabs>
          <w:tab w:val="left" w:pos="2520"/>
        </w:tabs>
        <w:ind w:left="540" w:hanging="540"/>
        <w:jc w:val="both"/>
        <w:rPr>
          <w:rFonts w:ascii="Lucida Handwriting" w:hAnsi="Lucida Handwriting" w:cs="Arial"/>
        </w:rPr>
      </w:pPr>
    </w:p>
    <w:p w14:paraId="2337BA64" w14:textId="15794F4B" w:rsidR="001F2716" w:rsidRPr="00C2325C" w:rsidRDefault="00C2325C" w:rsidP="00402B9E">
      <w:pPr>
        <w:tabs>
          <w:tab w:val="left" w:pos="2520"/>
        </w:tabs>
        <w:ind w:left="540" w:hanging="540"/>
        <w:jc w:val="both"/>
        <w:rPr>
          <w:rFonts w:ascii="Lucida Handwriting" w:hAnsi="Lucida Handwriting" w:cs="Arial"/>
        </w:rPr>
      </w:pPr>
      <w:r>
        <w:rPr>
          <w:rFonts w:ascii="Lucida Handwriting" w:hAnsi="Lucida Handwriting" w:cs="Arial"/>
        </w:rPr>
        <w:t>UTJ Dawson</w:t>
      </w:r>
    </w:p>
    <w:p w14:paraId="2266C094" w14:textId="77777777" w:rsidR="00B95326" w:rsidRDefault="003543A1" w:rsidP="009A0C11">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273559">
        <w:rPr>
          <w:rFonts w:ascii="Book Antiqua" w:hAnsi="Book Antiqua" w:cs="Arial"/>
          <w:color w:val="000000"/>
        </w:rPr>
        <w:t xml:space="preserve"> Dawson</w:t>
      </w:r>
    </w:p>
    <w:p w14:paraId="5AF6AAAE" w14:textId="77777777" w:rsidR="00207D73" w:rsidRDefault="00207D73" w:rsidP="009A0C11">
      <w:pPr>
        <w:tabs>
          <w:tab w:val="left" w:pos="2520"/>
        </w:tabs>
        <w:ind w:left="540" w:hanging="540"/>
        <w:jc w:val="both"/>
        <w:rPr>
          <w:rFonts w:ascii="Book Antiqua" w:hAnsi="Book Antiqua" w:cs="Arial"/>
          <w:color w:val="000000"/>
        </w:rPr>
      </w:pPr>
    </w:p>
    <w:sectPr w:rsidR="00207D73" w:rsidSect="00781D31">
      <w:headerReference w:type="default" r:id="rId8"/>
      <w:footerReference w:type="default" r:id="rId9"/>
      <w:footerReference w:type="first" r:id="rId10"/>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A9F40" w14:textId="77777777" w:rsidR="00990AA3" w:rsidRDefault="00990AA3">
      <w:r>
        <w:separator/>
      </w:r>
    </w:p>
  </w:endnote>
  <w:endnote w:type="continuationSeparator" w:id="0">
    <w:p w14:paraId="7969BB47" w14:textId="77777777" w:rsidR="00990AA3" w:rsidRDefault="00990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797140221"/>
      <w:docPartObj>
        <w:docPartGallery w:val="Page Numbers (Bottom of Page)"/>
        <w:docPartUnique/>
      </w:docPartObj>
    </w:sdtPr>
    <w:sdtEndPr>
      <w:rPr>
        <w:noProof/>
      </w:rPr>
    </w:sdtEndPr>
    <w:sdtContent>
      <w:p w14:paraId="09FA231C" w14:textId="7200ED3B" w:rsidR="00781D31" w:rsidRPr="00781D31" w:rsidRDefault="00781D31">
        <w:pPr>
          <w:pStyle w:val="Footer"/>
          <w:jc w:val="center"/>
          <w:rPr>
            <w:rFonts w:ascii="Book Antiqua" w:hAnsi="Book Antiqua"/>
            <w:sz w:val="20"/>
            <w:szCs w:val="20"/>
          </w:rPr>
        </w:pPr>
        <w:r w:rsidRPr="00781D31">
          <w:rPr>
            <w:rFonts w:ascii="Book Antiqua" w:hAnsi="Book Antiqua"/>
            <w:sz w:val="20"/>
            <w:szCs w:val="20"/>
          </w:rPr>
          <w:fldChar w:fldCharType="begin"/>
        </w:r>
        <w:r w:rsidRPr="00781D31">
          <w:rPr>
            <w:rFonts w:ascii="Book Antiqua" w:hAnsi="Book Antiqua"/>
            <w:sz w:val="20"/>
            <w:szCs w:val="20"/>
          </w:rPr>
          <w:instrText xml:space="preserve"> PAGE   \* MERGEFORMAT </w:instrText>
        </w:r>
        <w:r w:rsidRPr="00781D31">
          <w:rPr>
            <w:rFonts w:ascii="Book Antiqua" w:hAnsi="Book Antiqua"/>
            <w:sz w:val="20"/>
            <w:szCs w:val="20"/>
          </w:rPr>
          <w:fldChar w:fldCharType="separate"/>
        </w:r>
        <w:r w:rsidR="00CC66D8">
          <w:rPr>
            <w:rFonts w:ascii="Book Antiqua" w:hAnsi="Book Antiqua"/>
            <w:noProof/>
            <w:sz w:val="20"/>
            <w:szCs w:val="20"/>
          </w:rPr>
          <w:t>7</w:t>
        </w:r>
        <w:r w:rsidRPr="00781D31">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4EC0" w14:textId="5E34B938" w:rsidR="00781D31" w:rsidRPr="00781D31" w:rsidRDefault="00781D31" w:rsidP="00781D31">
    <w:pPr>
      <w:pStyle w:val="Footer"/>
      <w:jc w:val="center"/>
      <w:rPr>
        <w:rFonts w:ascii="Book Antiqua" w:hAnsi="Book Antiqua"/>
        <w:b/>
      </w:rPr>
    </w:pPr>
    <w:r w:rsidRPr="00781D31">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5F8B2" w14:textId="77777777" w:rsidR="00990AA3" w:rsidRDefault="00990AA3">
      <w:r>
        <w:separator/>
      </w:r>
    </w:p>
  </w:footnote>
  <w:footnote w:type="continuationSeparator" w:id="0">
    <w:p w14:paraId="19E307C5" w14:textId="77777777" w:rsidR="00990AA3" w:rsidRDefault="00990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27C8" w14:textId="48E3FA29" w:rsidR="00781D31" w:rsidRPr="00781D31" w:rsidRDefault="00781D31" w:rsidP="00781D31">
    <w:pPr>
      <w:pStyle w:val="Header"/>
      <w:jc w:val="right"/>
      <w:rPr>
        <w:sz w:val="20"/>
        <w:szCs w:val="20"/>
      </w:rPr>
    </w:pPr>
    <w:r w:rsidRPr="00781D31">
      <w:rPr>
        <w:rFonts w:ascii="Book Antiqua" w:hAnsi="Book Antiqua" w:cs="Arial"/>
        <w:color w:val="000000"/>
        <w:sz w:val="20"/>
        <w:szCs w:val="20"/>
      </w:rPr>
      <w:t xml:space="preserve">Appeal Number: </w:t>
    </w:r>
    <w:r w:rsidRPr="00781D31">
      <w:rPr>
        <w:rFonts w:ascii="Book Antiqua" w:hAnsi="Book Antiqua" w:cs="Arial"/>
        <w:caps/>
        <w:color w:val="000000"/>
        <w:sz w:val="20"/>
        <w:szCs w:val="20"/>
      </w:rPr>
      <w:t>PA/12966/2016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ABE"/>
    <w:multiLevelType w:val="hybridMultilevel"/>
    <w:tmpl w:val="D2E40B1A"/>
    <w:numStyleLink w:val="ImportedStyle1"/>
  </w:abstractNum>
  <w:abstractNum w:abstractNumId="1"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D9D795B"/>
    <w:multiLevelType w:val="hybridMultilevel"/>
    <w:tmpl w:val="D2E40B1A"/>
    <w:styleLink w:val="ImportedStyle1"/>
    <w:lvl w:ilvl="0" w:tplc="65BC59E8">
      <w:start w:val="1"/>
      <w:numFmt w:val="decimal"/>
      <w:lvlText w:val="%1."/>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FED44E">
      <w:start w:val="1"/>
      <w:numFmt w:val="lowerLetter"/>
      <w:lvlText w:val="(%2)"/>
      <w:lvlJc w:val="left"/>
      <w:pPr>
        <w:ind w:left="1134"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48E68C2">
      <w:start w:val="1"/>
      <w:numFmt w:val="lowerRoman"/>
      <w:lvlText w:val="(%3)"/>
      <w:lvlJc w:val="left"/>
      <w:pPr>
        <w:ind w:left="1134"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842499A">
      <w:start w:val="1"/>
      <w:numFmt w:val="decimal"/>
      <w:lvlText w:val="(%4)"/>
      <w:lvlJc w:val="left"/>
      <w:pPr>
        <w:ind w:left="1701"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1A4C30">
      <w:start w:val="1"/>
      <w:numFmt w:val="lowerLetter"/>
      <w:lvlText w:val="(%5)"/>
      <w:lvlJc w:val="left"/>
      <w:pPr>
        <w:ind w:left="2268"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CFC3A3E">
      <w:start w:val="1"/>
      <w:numFmt w:val="lowerRoman"/>
      <w:lvlText w:val="(%6)"/>
      <w:lvlJc w:val="left"/>
      <w:pPr>
        <w:ind w:left="1593"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2826122">
      <w:start w:val="1"/>
      <w:numFmt w:val="decimal"/>
      <w:lvlText w:val="%7."/>
      <w:lvlJc w:val="left"/>
      <w:pPr>
        <w:ind w:left="1953"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58439C">
      <w:start w:val="1"/>
      <w:numFmt w:val="lowerLetter"/>
      <w:lvlText w:val="%8."/>
      <w:lvlJc w:val="left"/>
      <w:pPr>
        <w:ind w:left="2313"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ED6E732">
      <w:start w:val="1"/>
      <w:numFmt w:val="lowerRoman"/>
      <w:lvlText w:val="%9."/>
      <w:lvlJc w:val="left"/>
      <w:pPr>
        <w:ind w:left="2673"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DE"/>
    <w:rsid w:val="00000621"/>
    <w:rsid w:val="000036C2"/>
    <w:rsid w:val="00010F41"/>
    <w:rsid w:val="000259DC"/>
    <w:rsid w:val="00033D3D"/>
    <w:rsid w:val="000444CB"/>
    <w:rsid w:val="000557AE"/>
    <w:rsid w:val="00062F02"/>
    <w:rsid w:val="000678FB"/>
    <w:rsid w:val="00071A7E"/>
    <w:rsid w:val="000746C0"/>
    <w:rsid w:val="00074D1D"/>
    <w:rsid w:val="00092580"/>
    <w:rsid w:val="00093D4D"/>
    <w:rsid w:val="000C69E5"/>
    <w:rsid w:val="000D5D94"/>
    <w:rsid w:val="000F1A0E"/>
    <w:rsid w:val="000F2591"/>
    <w:rsid w:val="000F30BD"/>
    <w:rsid w:val="0010335F"/>
    <w:rsid w:val="00107731"/>
    <w:rsid w:val="001165A7"/>
    <w:rsid w:val="00137F4C"/>
    <w:rsid w:val="00141554"/>
    <w:rsid w:val="0014744A"/>
    <w:rsid w:val="00167D3A"/>
    <w:rsid w:val="00174A01"/>
    <w:rsid w:val="001779DE"/>
    <w:rsid w:val="00184E8D"/>
    <w:rsid w:val="00197BF7"/>
    <w:rsid w:val="001A0A92"/>
    <w:rsid w:val="001A3082"/>
    <w:rsid w:val="001A7BEA"/>
    <w:rsid w:val="001B09B5"/>
    <w:rsid w:val="001B186A"/>
    <w:rsid w:val="001B2F75"/>
    <w:rsid w:val="001C5703"/>
    <w:rsid w:val="001F2716"/>
    <w:rsid w:val="00207617"/>
    <w:rsid w:val="00207D73"/>
    <w:rsid w:val="0023134B"/>
    <w:rsid w:val="0025681E"/>
    <w:rsid w:val="00260B9D"/>
    <w:rsid w:val="00273559"/>
    <w:rsid w:val="00283659"/>
    <w:rsid w:val="00284A9E"/>
    <w:rsid w:val="00297C36"/>
    <w:rsid w:val="002A0816"/>
    <w:rsid w:val="002A09F2"/>
    <w:rsid w:val="002B5A79"/>
    <w:rsid w:val="002B61BB"/>
    <w:rsid w:val="002C6BD4"/>
    <w:rsid w:val="002D68BF"/>
    <w:rsid w:val="002F6B98"/>
    <w:rsid w:val="0030263B"/>
    <w:rsid w:val="00307DE2"/>
    <w:rsid w:val="003368D5"/>
    <w:rsid w:val="00336CBF"/>
    <w:rsid w:val="00337209"/>
    <w:rsid w:val="00343FE3"/>
    <w:rsid w:val="003543A1"/>
    <w:rsid w:val="003546C8"/>
    <w:rsid w:val="0036763A"/>
    <w:rsid w:val="00367706"/>
    <w:rsid w:val="003916AA"/>
    <w:rsid w:val="00394FF8"/>
    <w:rsid w:val="003A3892"/>
    <w:rsid w:val="003A7CF2"/>
    <w:rsid w:val="003C5CE5"/>
    <w:rsid w:val="003D187D"/>
    <w:rsid w:val="003D401D"/>
    <w:rsid w:val="003E1874"/>
    <w:rsid w:val="003E267B"/>
    <w:rsid w:val="003E6AEF"/>
    <w:rsid w:val="003E7CD1"/>
    <w:rsid w:val="00402B9E"/>
    <w:rsid w:val="004249CB"/>
    <w:rsid w:val="00426816"/>
    <w:rsid w:val="0044127D"/>
    <w:rsid w:val="004448DB"/>
    <w:rsid w:val="00446C9A"/>
    <w:rsid w:val="00452F2B"/>
    <w:rsid w:val="00477193"/>
    <w:rsid w:val="00483238"/>
    <w:rsid w:val="00497161"/>
    <w:rsid w:val="004977AC"/>
    <w:rsid w:val="004A1848"/>
    <w:rsid w:val="004A6F4A"/>
    <w:rsid w:val="004E4717"/>
    <w:rsid w:val="004F3F71"/>
    <w:rsid w:val="00507FEC"/>
    <w:rsid w:val="00510F0E"/>
    <w:rsid w:val="00514D8E"/>
    <w:rsid w:val="00520345"/>
    <w:rsid w:val="0052070D"/>
    <w:rsid w:val="00525BDA"/>
    <w:rsid w:val="00535603"/>
    <w:rsid w:val="005479E1"/>
    <w:rsid w:val="00553E0A"/>
    <w:rsid w:val="005570FD"/>
    <w:rsid w:val="005575EA"/>
    <w:rsid w:val="00574F0A"/>
    <w:rsid w:val="0057790C"/>
    <w:rsid w:val="00584A04"/>
    <w:rsid w:val="005920AF"/>
    <w:rsid w:val="00593795"/>
    <w:rsid w:val="00595976"/>
    <w:rsid w:val="005A75FF"/>
    <w:rsid w:val="005B1C60"/>
    <w:rsid w:val="005C67F2"/>
    <w:rsid w:val="005C75A2"/>
    <w:rsid w:val="005D10AB"/>
    <w:rsid w:val="005D6C3D"/>
    <w:rsid w:val="00601D8F"/>
    <w:rsid w:val="00613844"/>
    <w:rsid w:val="00653E97"/>
    <w:rsid w:val="00661228"/>
    <w:rsid w:val="00664B4E"/>
    <w:rsid w:val="00667F83"/>
    <w:rsid w:val="00681904"/>
    <w:rsid w:val="0068393D"/>
    <w:rsid w:val="00684A74"/>
    <w:rsid w:val="00690B8A"/>
    <w:rsid w:val="00693A5E"/>
    <w:rsid w:val="006C2E06"/>
    <w:rsid w:val="006F2CF1"/>
    <w:rsid w:val="007021FC"/>
    <w:rsid w:val="007038ED"/>
    <w:rsid w:val="00703BC3"/>
    <w:rsid w:val="00704B61"/>
    <w:rsid w:val="00747A14"/>
    <w:rsid w:val="00753A31"/>
    <w:rsid w:val="007540A9"/>
    <w:rsid w:val="007552A9"/>
    <w:rsid w:val="00761858"/>
    <w:rsid w:val="00767D59"/>
    <w:rsid w:val="00776E97"/>
    <w:rsid w:val="00780F86"/>
    <w:rsid w:val="00781D31"/>
    <w:rsid w:val="0078210E"/>
    <w:rsid w:val="007912AD"/>
    <w:rsid w:val="00791483"/>
    <w:rsid w:val="007B0824"/>
    <w:rsid w:val="007B2876"/>
    <w:rsid w:val="007B5D3C"/>
    <w:rsid w:val="007C05C2"/>
    <w:rsid w:val="007D4203"/>
    <w:rsid w:val="007E3B27"/>
    <w:rsid w:val="00821B72"/>
    <w:rsid w:val="00823EF2"/>
    <w:rsid w:val="00825DDF"/>
    <w:rsid w:val="008303B8"/>
    <w:rsid w:val="00833DCE"/>
    <w:rsid w:val="008365BF"/>
    <w:rsid w:val="00871A0E"/>
    <w:rsid w:val="00871D34"/>
    <w:rsid w:val="00875EF6"/>
    <w:rsid w:val="00882B0E"/>
    <w:rsid w:val="008946D2"/>
    <w:rsid w:val="008A2D0E"/>
    <w:rsid w:val="008A3C94"/>
    <w:rsid w:val="008B270C"/>
    <w:rsid w:val="008B5078"/>
    <w:rsid w:val="008C3D3D"/>
    <w:rsid w:val="008D4131"/>
    <w:rsid w:val="008F1932"/>
    <w:rsid w:val="0090060C"/>
    <w:rsid w:val="00904924"/>
    <w:rsid w:val="00921062"/>
    <w:rsid w:val="00921B94"/>
    <w:rsid w:val="009405A9"/>
    <w:rsid w:val="0095150E"/>
    <w:rsid w:val="009722BC"/>
    <w:rsid w:val="009727A3"/>
    <w:rsid w:val="00987774"/>
    <w:rsid w:val="00990AA3"/>
    <w:rsid w:val="009A0C11"/>
    <w:rsid w:val="009A11E8"/>
    <w:rsid w:val="009B2FD1"/>
    <w:rsid w:val="009C3D64"/>
    <w:rsid w:val="009C55E9"/>
    <w:rsid w:val="009D4B7E"/>
    <w:rsid w:val="009E04A4"/>
    <w:rsid w:val="009E607D"/>
    <w:rsid w:val="009F5220"/>
    <w:rsid w:val="00A054A0"/>
    <w:rsid w:val="00A15234"/>
    <w:rsid w:val="00A201AB"/>
    <w:rsid w:val="00A31C8B"/>
    <w:rsid w:val="00A367F4"/>
    <w:rsid w:val="00A509FA"/>
    <w:rsid w:val="00A57B3D"/>
    <w:rsid w:val="00A6673B"/>
    <w:rsid w:val="00A8111A"/>
    <w:rsid w:val="00A845DC"/>
    <w:rsid w:val="00AA3C5A"/>
    <w:rsid w:val="00AB0192"/>
    <w:rsid w:val="00AC3075"/>
    <w:rsid w:val="00AD0E9D"/>
    <w:rsid w:val="00AE10B3"/>
    <w:rsid w:val="00AE7219"/>
    <w:rsid w:val="00AF7D7C"/>
    <w:rsid w:val="00B26AA2"/>
    <w:rsid w:val="00B34BA6"/>
    <w:rsid w:val="00B3524D"/>
    <w:rsid w:val="00B372AF"/>
    <w:rsid w:val="00B40F69"/>
    <w:rsid w:val="00B46616"/>
    <w:rsid w:val="00B56B2E"/>
    <w:rsid w:val="00B7040A"/>
    <w:rsid w:val="00B7567A"/>
    <w:rsid w:val="00B83391"/>
    <w:rsid w:val="00B95326"/>
    <w:rsid w:val="00BA1EB6"/>
    <w:rsid w:val="00BA3A97"/>
    <w:rsid w:val="00BB245A"/>
    <w:rsid w:val="00BD4196"/>
    <w:rsid w:val="00BF22CA"/>
    <w:rsid w:val="00BF23BB"/>
    <w:rsid w:val="00BF4A96"/>
    <w:rsid w:val="00BF5F1C"/>
    <w:rsid w:val="00C22C3F"/>
    <w:rsid w:val="00C2325C"/>
    <w:rsid w:val="00C26032"/>
    <w:rsid w:val="00C345E1"/>
    <w:rsid w:val="00C43BFD"/>
    <w:rsid w:val="00C5682F"/>
    <w:rsid w:val="00C7217F"/>
    <w:rsid w:val="00C75A8B"/>
    <w:rsid w:val="00CB6E35"/>
    <w:rsid w:val="00CC66D8"/>
    <w:rsid w:val="00CE1A46"/>
    <w:rsid w:val="00CF0B42"/>
    <w:rsid w:val="00D12F11"/>
    <w:rsid w:val="00D20757"/>
    <w:rsid w:val="00D22636"/>
    <w:rsid w:val="00D269C8"/>
    <w:rsid w:val="00D32DFC"/>
    <w:rsid w:val="00D40FD9"/>
    <w:rsid w:val="00D53769"/>
    <w:rsid w:val="00D57905"/>
    <w:rsid w:val="00D62758"/>
    <w:rsid w:val="00D64505"/>
    <w:rsid w:val="00D658F7"/>
    <w:rsid w:val="00D73A2A"/>
    <w:rsid w:val="00D76DB7"/>
    <w:rsid w:val="00D833B6"/>
    <w:rsid w:val="00D858D9"/>
    <w:rsid w:val="00D85C13"/>
    <w:rsid w:val="00D9111A"/>
    <w:rsid w:val="00D91BE3"/>
    <w:rsid w:val="00D94AFC"/>
    <w:rsid w:val="00DA7D91"/>
    <w:rsid w:val="00DB70AE"/>
    <w:rsid w:val="00DB792E"/>
    <w:rsid w:val="00DD5071"/>
    <w:rsid w:val="00DD5C39"/>
    <w:rsid w:val="00DE0348"/>
    <w:rsid w:val="00DE1900"/>
    <w:rsid w:val="00DE7DB7"/>
    <w:rsid w:val="00E00A0A"/>
    <w:rsid w:val="00E066DE"/>
    <w:rsid w:val="00E07F57"/>
    <w:rsid w:val="00E30683"/>
    <w:rsid w:val="00E310CB"/>
    <w:rsid w:val="00E41668"/>
    <w:rsid w:val="00E4340F"/>
    <w:rsid w:val="00E453D8"/>
    <w:rsid w:val="00E50BCE"/>
    <w:rsid w:val="00E559AA"/>
    <w:rsid w:val="00E574BF"/>
    <w:rsid w:val="00E61292"/>
    <w:rsid w:val="00E70660"/>
    <w:rsid w:val="00E72E14"/>
    <w:rsid w:val="00E77C4D"/>
    <w:rsid w:val="00E81D01"/>
    <w:rsid w:val="00E92CCD"/>
    <w:rsid w:val="00ED5CBA"/>
    <w:rsid w:val="00EE1F3F"/>
    <w:rsid w:val="00EE45D8"/>
    <w:rsid w:val="00F1419C"/>
    <w:rsid w:val="00F22EDA"/>
    <w:rsid w:val="00F578A8"/>
    <w:rsid w:val="00F831DE"/>
    <w:rsid w:val="00FD2E1E"/>
    <w:rsid w:val="00FE1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D599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Body">
    <w:name w:val="Body"/>
    <w:rsid w:val="00F831DE"/>
    <w:pPr>
      <w:pBdr>
        <w:top w:val="nil"/>
        <w:left w:val="nil"/>
        <w:bottom w:val="nil"/>
        <w:right w:val="nil"/>
        <w:between w:val="nil"/>
        <w:bar w:val="nil"/>
      </w:pBdr>
    </w:pPr>
    <w:rPr>
      <w:color w:val="000000"/>
      <w:sz w:val="24"/>
      <w:szCs w:val="24"/>
      <w:u w:color="000000"/>
      <w:bdr w:val="nil"/>
      <w:lang w:val="en-US"/>
    </w:rPr>
  </w:style>
  <w:style w:type="numbering" w:customStyle="1" w:styleId="ImportedStyle1">
    <w:name w:val="Imported Style 1"/>
    <w:rsid w:val="00F831DE"/>
    <w:pPr>
      <w:numPr>
        <w:numId w:val="3"/>
      </w:numPr>
    </w:pPr>
  </w:style>
  <w:style w:type="paragraph" w:styleId="ListParagraph">
    <w:name w:val="List Paragraph"/>
    <w:rsid w:val="00F831DE"/>
    <w:pPr>
      <w:pBdr>
        <w:top w:val="nil"/>
        <w:left w:val="nil"/>
        <w:bottom w:val="nil"/>
        <w:right w:val="nil"/>
        <w:between w:val="nil"/>
        <w:bar w:val="nil"/>
      </w:pBdr>
      <w:ind w:left="720"/>
    </w:pPr>
    <w:rPr>
      <w:color w:val="000000"/>
      <w:sz w:val="24"/>
      <w:szCs w:val="24"/>
      <w:u w:color="000000"/>
      <w:bdr w:val="nil"/>
      <w:lang w:val="en-US"/>
    </w:rPr>
  </w:style>
  <w:style w:type="character" w:customStyle="1" w:styleId="FooterChar">
    <w:name w:val="Footer Char"/>
    <w:basedOn w:val="DefaultParagraphFont"/>
    <w:link w:val="Footer"/>
    <w:uiPriority w:val="99"/>
    <w:rsid w:val="00781D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3392</Words>
  <Characters>16203</Characters>
  <Application>Microsoft Office Word</Application>
  <DocSecurity>0</DocSecurity>
  <Lines>135</Lines>
  <Paragraphs>39</Paragraphs>
  <ScaleCrop>false</ScaleCrop>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2018-09-18T11:28:00Z</dcterms:created>
  <dcterms:modified xsi:type="dcterms:W3CDTF">2018-09-18T11:28:00Z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