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AE29D" w14:textId="77777777" w:rsidR="00EA2D70" w:rsidRDefault="00EA2D70" w:rsidP="006615D9">
      <w:pPr>
        <w:jc w:val="center"/>
        <w:rPr>
          <w:rFonts w:cs="Arial"/>
          <w:b/>
        </w:rPr>
      </w:pPr>
    </w:p>
    <w:p w14:paraId="7BA8E650" w14:textId="18FDB950" w:rsidR="00672CFE" w:rsidRPr="00EA2D70" w:rsidRDefault="00C2256B" w:rsidP="006615D9">
      <w:pPr>
        <w:jc w:val="center"/>
        <w:rPr>
          <w:rFonts w:cs="Arial"/>
          <w:b/>
        </w:rPr>
      </w:pPr>
      <w:r w:rsidRPr="00EA2D70">
        <w:rPr>
          <w:rFonts w:cs="Arial"/>
          <w:b/>
        </w:rPr>
        <w:t xml:space="preserve"> </w:t>
      </w:r>
      <w:r w:rsidR="0018306C" w:rsidRPr="00EA2D70">
        <w:rPr>
          <w:rFonts w:cs="Arial"/>
          <w:b/>
          <w:noProof/>
        </w:rPr>
        <w:drawing>
          <wp:inline distT="0" distB="0" distL="0" distR="0" wp14:anchorId="6B7D1F5A" wp14:editId="073084FF">
            <wp:extent cx="14328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32800" cy="1080000"/>
                    </a:xfrm>
                    <a:prstGeom prst="rect">
                      <a:avLst/>
                    </a:prstGeom>
                    <a:noFill/>
                    <a:ln>
                      <a:noFill/>
                    </a:ln>
                  </pic:spPr>
                </pic:pic>
              </a:graphicData>
            </a:graphic>
          </wp:inline>
        </w:drawing>
      </w:r>
    </w:p>
    <w:p w14:paraId="19987DB5" w14:textId="77777777" w:rsidR="009E598F" w:rsidRPr="00EA2D70" w:rsidRDefault="009E598F" w:rsidP="009E598F">
      <w:pPr>
        <w:rPr>
          <w:rFonts w:ascii="Book Antiqua" w:hAnsi="Book Antiqua"/>
          <w:b/>
        </w:rPr>
      </w:pPr>
      <w:r w:rsidRPr="00EA2D70">
        <w:rPr>
          <w:rFonts w:ascii="Book Antiqua" w:hAnsi="Book Antiqua"/>
          <w:b/>
        </w:rPr>
        <w:t xml:space="preserve">Upper Tribunal </w:t>
      </w:r>
    </w:p>
    <w:p w14:paraId="0A1B38F0" w14:textId="25AF1C60" w:rsidR="009E598F" w:rsidRPr="00EA2D70" w:rsidRDefault="009E598F" w:rsidP="009E598F">
      <w:pPr>
        <w:rPr>
          <w:rFonts w:ascii="Book Antiqua" w:hAnsi="Book Antiqua"/>
          <w:b/>
        </w:rPr>
      </w:pPr>
      <w:r w:rsidRPr="00EA2D70">
        <w:rPr>
          <w:rFonts w:ascii="Book Antiqua" w:hAnsi="Book Antiqua"/>
          <w:b/>
        </w:rPr>
        <w:t xml:space="preserve">(Immigration and Asylum </w:t>
      </w:r>
      <w:proofErr w:type="gramStart"/>
      <w:r w:rsidRPr="00EA2D70">
        <w:rPr>
          <w:rFonts w:ascii="Book Antiqua" w:hAnsi="Book Antiqua"/>
          <w:b/>
        </w:rPr>
        <w:t>Chamber)</w:t>
      </w:r>
      <w:r w:rsidR="00873F23" w:rsidRPr="00EA2D70">
        <w:rPr>
          <w:rFonts w:ascii="Book Antiqua" w:hAnsi="Book Antiqua"/>
          <w:b/>
        </w:rPr>
        <w:t xml:space="preserve">   </w:t>
      </w:r>
      <w:proofErr w:type="gramEnd"/>
      <w:r w:rsidR="00873F23" w:rsidRPr="00EA2D70">
        <w:rPr>
          <w:rFonts w:ascii="Book Antiqua" w:hAnsi="Book Antiqua"/>
          <w:b/>
        </w:rPr>
        <w:t xml:space="preserve">                    Appeal Number: PA/13251/2017</w:t>
      </w:r>
    </w:p>
    <w:p w14:paraId="5163FACC" w14:textId="76DF6B67" w:rsidR="009E598F" w:rsidRPr="00933B67" w:rsidRDefault="009E598F" w:rsidP="00544C1C">
      <w:pPr>
        <w:jc w:val="center"/>
        <w:rPr>
          <w:rFonts w:ascii="Book Antiqua" w:hAnsi="Book Antiqua"/>
        </w:rPr>
      </w:pPr>
    </w:p>
    <w:p w14:paraId="5F0733A1" w14:textId="398689D6" w:rsidR="009E598F" w:rsidRPr="00544C1C" w:rsidRDefault="009E598F" w:rsidP="00544C1C">
      <w:pPr>
        <w:jc w:val="center"/>
        <w:rPr>
          <w:rFonts w:ascii="Book Antiqua" w:hAnsi="Book Antiqua"/>
          <w:b/>
          <w:u w:val="single"/>
        </w:rPr>
      </w:pPr>
      <w:r w:rsidRPr="00544C1C">
        <w:rPr>
          <w:rFonts w:ascii="Book Antiqua" w:hAnsi="Book Antiqua"/>
          <w:b/>
          <w:u w:val="single"/>
        </w:rPr>
        <w:t>THE IMMIGRATION ACTS</w:t>
      </w:r>
    </w:p>
    <w:p w14:paraId="7962B12D" w14:textId="77777777" w:rsidR="00544C1C" w:rsidRDefault="00544C1C" w:rsidP="00544C1C">
      <w:pPr>
        <w:jc w:val="center"/>
        <w:rPr>
          <w:rFonts w:ascii="Book Antiqua" w:hAnsi="Book Antiqua"/>
          <w:u w:val="single"/>
        </w:rPr>
      </w:pPr>
    </w:p>
    <w:p w14:paraId="32548BBE" w14:textId="48520A2C" w:rsidR="00933B67" w:rsidRPr="00EA2D70" w:rsidRDefault="009E598F" w:rsidP="00873F23">
      <w:pPr>
        <w:jc w:val="both"/>
        <w:rPr>
          <w:rFonts w:ascii="Book Antiqua" w:hAnsi="Book Antiqua"/>
          <w:b/>
        </w:rPr>
      </w:pPr>
      <w:r w:rsidRPr="00EA2D70">
        <w:rPr>
          <w:rFonts w:ascii="Book Antiqua" w:hAnsi="Book Antiqua"/>
          <w:b/>
        </w:rPr>
        <w:t xml:space="preserve">Heard at </w:t>
      </w:r>
      <w:r w:rsidR="00C36519" w:rsidRPr="00EA2D70">
        <w:rPr>
          <w:rFonts w:ascii="Book Antiqua" w:hAnsi="Book Antiqua"/>
          <w:b/>
        </w:rPr>
        <w:t>Manchester</w:t>
      </w:r>
      <w:r w:rsidRPr="00EA2D70">
        <w:rPr>
          <w:rFonts w:ascii="Book Antiqua" w:hAnsi="Book Antiqua"/>
          <w:b/>
        </w:rPr>
        <w:t xml:space="preserve"> </w:t>
      </w:r>
      <w:r w:rsidR="0044518B" w:rsidRPr="00EA2D70">
        <w:rPr>
          <w:rFonts w:ascii="Book Antiqua" w:hAnsi="Book Antiqua"/>
          <w:b/>
        </w:rPr>
        <w:t xml:space="preserve">                                                    Decision &amp; Reasons Promulgated</w:t>
      </w:r>
    </w:p>
    <w:p w14:paraId="7081D335" w14:textId="0970B0A9" w:rsidR="009E598F" w:rsidRPr="00EA2D70" w:rsidRDefault="00933B67" w:rsidP="00873F23">
      <w:pPr>
        <w:jc w:val="both"/>
        <w:rPr>
          <w:rFonts w:ascii="Book Antiqua" w:hAnsi="Book Antiqua"/>
          <w:b/>
        </w:rPr>
      </w:pPr>
      <w:r w:rsidRPr="00EA2D70">
        <w:rPr>
          <w:rFonts w:ascii="Book Antiqua" w:hAnsi="Book Antiqua"/>
          <w:b/>
        </w:rPr>
        <w:t>O</w:t>
      </w:r>
      <w:r w:rsidR="009E598F" w:rsidRPr="00EA2D70">
        <w:rPr>
          <w:rFonts w:ascii="Book Antiqua" w:hAnsi="Book Antiqua"/>
          <w:b/>
        </w:rPr>
        <w:t xml:space="preserve">n </w:t>
      </w:r>
      <w:r w:rsidR="00E75280" w:rsidRPr="00EA2D70">
        <w:rPr>
          <w:rFonts w:ascii="Book Antiqua" w:hAnsi="Book Antiqua"/>
          <w:b/>
        </w:rPr>
        <w:t>2</w:t>
      </w:r>
      <w:r w:rsidR="00C36519" w:rsidRPr="00EA2D70">
        <w:rPr>
          <w:rFonts w:ascii="Book Antiqua" w:hAnsi="Book Antiqua"/>
          <w:b/>
        </w:rPr>
        <w:t>8</w:t>
      </w:r>
      <w:r w:rsidR="00873F23" w:rsidRPr="00EA2D70">
        <w:rPr>
          <w:rFonts w:ascii="Book Antiqua" w:hAnsi="Book Antiqua"/>
          <w:b/>
          <w:vertAlign w:val="superscript"/>
        </w:rPr>
        <w:t>th</w:t>
      </w:r>
      <w:r w:rsidR="00873F23" w:rsidRPr="00EA2D70">
        <w:rPr>
          <w:rFonts w:ascii="Book Antiqua" w:hAnsi="Book Antiqua"/>
          <w:b/>
        </w:rPr>
        <w:t xml:space="preserve"> June</w:t>
      </w:r>
      <w:r w:rsidR="00C36519" w:rsidRPr="00EA2D70">
        <w:rPr>
          <w:rFonts w:ascii="Book Antiqua" w:hAnsi="Book Antiqua"/>
          <w:b/>
        </w:rPr>
        <w:t xml:space="preserve"> </w:t>
      </w:r>
      <w:r w:rsidR="002A2F84" w:rsidRPr="00EA2D70">
        <w:rPr>
          <w:rFonts w:ascii="Book Antiqua" w:hAnsi="Book Antiqua"/>
          <w:b/>
        </w:rPr>
        <w:t>2018</w:t>
      </w:r>
      <w:r w:rsidR="00694A5F" w:rsidRPr="00EA2D70">
        <w:rPr>
          <w:rFonts w:ascii="Book Antiqua" w:hAnsi="Book Antiqua"/>
          <w:b/>
        </w:rPr>
        <w:t xml:space="preserve">                       </w:t>
      </w:r>
      <w:r w:rsidR="000A7ACD" w:rsidRPr="00EA2D70">
        <w:rPr>
          <w:rFonts w:ascii="Book Antiqua" w:hAnsi="Book Antiqua"/>
          <w:b/>
        </w:rPr>
        <w:t xml:space="preserve">   </w:t>
      </w:r>
      <w:r w:rsidR="00694A5F" w:rsidRPr="00EA2D70">
        <w:rPr>
          <w:rFonts w:ascii="Book Antiqua" w:hAnsi="Book Antiqua"/>
          <w:b/>
        </w:rPr>
        <w:t xml:space="preserve"> </w:t>
      </w:r>
      <w:r w:rsidR="003900C1" w:rsidRPr="00EA2D70">
        <w:rPr>
          <w:rFonts w:ascii="Book Antiqua" w:hAnsi="Book Antiqua"/>
          <w:b/>
        </w:rPr>
        <w:t xml:space="preserve">          </w:t>
      </w:r>
      <w:r w:rsidR="00873F23" w:rsidRPr="00EA2D70">
        <w:rPr>
          <w:rFonts w:ascii="Book Antiqua" w:hAnsi="Book Antiqua"/>
          <w:b/>
        </w:rPr>
        <w:t xml:space="preserve">                      On 16</w:t>
      </w:r>
      <w:r w:rsidR="00873F23" w:rsidRPr="00EA2D70">
        <w:rPr>
          <w:rFonts w:ascii="Book Antiqua" w:hAnsi="Book Antiqua"/>
          <w:b/>
          <w:vertAlign w:val="superscript"/>
        </w:rPr>
        <w:t>th</w:t>
      </w:r>
      <w:r w:rsidR="00873F23" w:rsidRPr="00EA2D70">
        <w:rPr>
          <w:rFonts w:ascii="Book Antiqua" w:hAnsi="Book Antiqua"/>
          <w:b/>
        </w:rPr>
        <w:t xml:space="preserve"> August 2018</w:t>
      </w:r>
      <w:r w:rsidR="003900C1" w:rsidRPr="00EA2D70">
        <w:rPr>
          <w:rFonts w:ascii="Book Antiqua" w:hAnsi="Book Antiqua"/>
          <w:b/>
        </w:rPr>
        <w:t xml:space="preserve">            </w:t>
      </w:r>
      <w:r w:rsidR="000A7ACD" w:rsidRPr="00EA2D70">
        <w:rPr>
          <w:rFonts w:ascii="Book Antiqua" w:hAnsi="Book Antiqua"/>
          <w:b/>
        </w:rPr>
        <w:t xml:space="preserve"> </w:t>
      </w:r>
    </w:p>
    <w:p w14:paraId="3F909AA1" w14:textId="77777777" w:rsidR="000A7ACD" w:rsidRPr="00EA2D70" w:rsidRDefault="000A7ACD" w:rsidP="00694A5F">
      <w:pPr>
        <w:rPr>
          <w:rFonts w:ascii="Book Antiqua" w:hAnsi="Book Antiqua"/>
          <w:b/>
        </w:rPr>
      </w:pPr>
      <w:r w:rsidRPr="00EA2D70">
        <w:rPr>
          <w:rFonts w:ascii="Book Antiqua" w:hAnsi="Book Antiqua"/>
          <w:b/>
        </w:rPr>
        <w:t xml:space="preserve">                                                                                                    </w:t>
      </w:r>
    </w:p>
    <w:p w14:paraId="2988EE6D" w14:textId="2272AE9B" w:rsidR="009E598F" w:rsidRPr="00EA2D70" w:rsidRDefault="009E598F" w:rsidP="00784C42">
      <w:pPr>
        <w:jc w:val="center"/>
        <w:rPr>
          <w:rFonts w:ascii="Book Antiqua" w:hAnsi="Book Antiqua"/>
          <w:b/>
        </w:rPr>
      </w:pPr>
      <w:r w:rsidRPr="00EA2D70">
        <w:rPr>
          <w:rFonts w:ascii="Book Antiqua" w:hAnsi="Book Antiqua"/>
          <w:b/>
        </w:rPr>
        <w:t>Before</w:t>
      </w:r>
    </w:p>
    <w:p w14:paraId="24A124AF" w14:textId="77777777" w:rsidR="00AB45E6" w:rsidRPr="00EA2D70" w:rsidRDefault="00AB45E6" w:rsidP="00784C42">
      <w:pPr>
        <w:jc w:val="center"/>
        <w:rPr>
          <w:rFonts w:ascii="Book Antiqua" w:hAnsi="Book Antiqua"/>
          <w:b/>
        </w:rPr>
      </w:pPr>
    </w:p>
    <w:p w14:paraId="052FA092" w14:textId="77777777" w:rsidR="009E598F" w:rsidRPr="00EA2D70" w:rsidRDefault="004A53A7" w:rsidP="00933B67">
      <w:pPr>
        <w:jc w:val="center"/>
        <w:rPr>
          <w:rFonts w:ascii="Book Antiqua" w:hAnsi="Book Antiqua"/>
          <w:b/>
        </w:rPr>
      </w:pPr>
      <w:r w:rsidRPr="00EA2D70">
        <w:rPr>
          <w:rFonts w:ascii="Book Antiqua" w:hAnsi="Book Antiqua"/>
          <w:b/>
        </w:rPr>
        <w:t>DEPUTY UPPER</w:t>
      </w:r>
      <w:r w:rsidR="00407A77" w:rsidRPr="00EA2D70">
        <w:rPr>
          <w:rFonts w:ascii="Book Antiqua" w:hAnsi="Book Antiqua"/>
          <w:b/>
        </w:rPr>
        <w:t xml:space="preserve"> TRIBUNAL </w:t>
      </w:r>
      <w:r w:rsidR="009E598F" w:rsidRPr="00EA2D70">
        <w:rPr>
          <w:rFonts w:ascii="Book Antiqua" w:hAnsi="Book Antiqua"/>
          <w:b/>
        </w:rPr>
        <w:t xml:space="preserve">JUDGE </w:t>
      </w:r>
      <w:r w:rsidR="00407A77" w:rsidRPr="00EA2D70">
        <w:rPr>
          <w:rFonts w:ascii="Book Antiqua" w:hAnsi="Book Antiqua"/>
          <w:b/>
        </w:rPr>
        <w:t>FARRELLY</w:t>
      </w:r>
      <w:r w:rsidR="009E598F" w:rsidRPr="00EA2D70">
        <w:rPr>
          <w:rFonts w:ascii="Book Antiqua" w:hAnsi="Book Antiqua"/>
          <w:b/>
        </w:rPr>
        <w:t xml:space="preserve"> </w:t>
      </w:r>
    </w:p>
    <w:p w14:paraId="5E411D47" w14:textId="77777777" w:rsidR="00AB45E6" w:rsidRPr="00EA2D70" w:rsidRDefault="00AB45E6" w:rsidP="00933B67">
      <w:pPr>
        <w:jc w:val="center"/>
        <w:rPr>
          <w:rFonts w:ascii="Book Antiqua" w:hAnsi="Book Antiqua"/>
          <w:b/>
        </w:rPr>
      </w:pPr>
    </w:p>
    <w:p w14:paraId="0F2FB3C5" w14:textId="26A472FA" w:rsidR="009E598F" w:rsidRPr="00EA2D70" w:rsidRDefault="009E598F" w:rsidP="00933B67">
      <w:pPr>
        <w:jc w:val="center"/>
        <w:rPr>
          <w:rFonts w:ascii="Book Antiqua" w:hAnsi="Book Antiqua"/>
          <w:b/>
        </w:rPr>
      </w:pPr>
      <w:r w:rsidRPr="00EA2D70">
        <w:rPr>
          <w:rFonts w:ascii="Book Antiqua" w:hAnsi="Book Antiqua"/>
          <w:b/>
        </w:rPr>
        <w:t>Between</w:t>
      </w:r>
    </w:p>
    <w:p w14:paraId="34103EEB" w14:textId="77777777" w:rsidR="00407A77" w:rsidRPr="00EA2D70" w:rsidRDefault="00407A77" w:rsidP="00933B67">
      <w:pPr>
        <w:jc w:val="center"/>
        <w:rPr>
          <w:rFonts w:ascii="Book Antiqua" w:hAnsi="Book Antiqua"/>
          <w:b/>
        </w:rPr>
      </w:pPr>
    </w:p>
    <w:p w14:paraId="6E4A999B" w14:textId="77777777" w:rsidR="00E75280" w:rsidRPr="00EA2D70" w:rsidRDefault="004A53A7" w:rsidP="00933B67">
      <w:pPr>
        <w:jc w:val="center"/>
        <w:rPr>
          <w:rFonts w:ascii="Book Antiqua" w:hAnsi="Book Antiqua"/>
          <w:b/>
        </w:rPr>
      </w:pPr>
      <w:r w:rsidRPr="00EA2D70">
        <w:rPr>
          <w:rFonts w:ascii="Book Antiqua" w:hAnsi="Book Antiqua"/>
          <w:b/>
        </w:rPr>
        <w:t>Mr</w:t>
      </w:r>
      <w:r w:rsidR="00563657" w:rsidRPr="00EA2D70">
        <w:rPr>
          <w:rFonts w:ascii="Book Antiqua" w:hAnsi="Book Antiqua"/>
          <w:b/>
        </w:rPr>
        <w:t>s S P K</w:t>
      </w:r>
    </w:p>
    <w:p w14:paraId="3EF3C027" w14:textId="77777777" w:rsidR="004A53A7" w:rsidRPr="00544C1C" w:rsidRDefault="00C36519" w:rsidP="00933B67">
      <w:pPr>
        <w:jc w:val="center"/>
        <w:rPr>
          <w:rFonts w:ascii="Book Antiqua" w:hAnsi="Book Antiqua"/>
          <w:sz w:val="22"/>
        </w:rPr>
      </w:pPr>
      <w:r w:rsidRPr="00544C1C">
        <w:rPr>
          <w:rFonts w:ascii="Book Antiqua" w:hAnsi="Book Antiqua"/>
          <w:sz w:val="22"/>
        </w:rPr>
        <w:t>(</w:t>
      </w:r>
      <w:r w:rsidR="004A53A7" w:rsidRPr="00544C1C">
        <w:rPr>
          <w:rFonts w:ascii="Book Antiqua" w:hAnsi="Book Antiqua"/>
          <w:sz w:val="22"/>
        </w:rPr>
        <w:t>ANONYMITY DIRECTION MADE)</w:t>
      </w:r>
    </w:p>
    <w:p w14:paraId="281F60ED" w14:textId="77777777" w:rsidR="009E598F" w:rsidRPr="00EA2D70" w:rsidRDefault="009E598F" w:rsidP="00544C1C">
      <w:pPr>
        <w:jc w:val="right"/>
        <w:rPr>
          <w:rFonts w:ascii="Book Antiqua" w:hAnsi="Book Antiqua"/>
          <w:u w:val="single"/>
        </w:rPr>
      </w:pPr>
      <w:r w:rsidRPr="00EA2D70">
        <w:rPr>
          <w:rFonts w:ascii="Book Antiqua" w:hAnsi="Book Antiqua"/>
          <w:u w:val="single"/>
        </w:rPr>
        <w:t>Appellant</w:t>
      </w:r>
    </w:p>
    <w:p w14:paraId="56D625E2" w14:textId="77777777" w:rsidR="009E598F" w:rsidRPr="00EA2D70" w:rsidRDefault="00694A5F" w:rsidP="00933B67">
      <w:pPr>
        <w:jc w:val="center"/>
        <w:rPr>
          <w:rFonts w:ascii="Book Antiqua" w:hAnsi="Book Antiqua"/>
          <w:b/>
        </w:rPr>
      </w:pPr>
      <w:r w:rsidRPr="00EA2D70">
        <w:rPr>
          <w:rFonts w:ascii="Book Antiqua" w:hAnsi="Book Antiqua"/>
          <w:b/>
        </w:rPr>
        <w:t>And</w:t>
      </w:r>
    </w:p>
    <w:p w14:paraId="730F0071" w14:textId="77777777" w:rsidR="00AB45E6" w:rsidRPr="00EA2D70" w:rsidRDefault="00AB45E6" w:rsidP="004A53A7">
      <w:pPr>
        <w:jc w:val="center"/>
        <w:rPr>
          <w:rFonts w:ascii="Book Antiqua" w:hAnsi="Book Antiqua"/>
          <w:b/>
        </w:rPr>
      </w:pPr>
    </w:p>
    <w:p w14:paraId="70783B5F" w14:textId="1388681E" w:rsidR="004A53A7" w:rsidRPr="00EA2D70" w:rsidRDefault="004A53A7" w:rsidP="004A53A7">
      <w:pPr>
        <w:jc w:val="center"/>
        <w:rPr>
          <w:rFonts w:ascii="Book Antiqua" w:hAnsi="Book Antiqua"/>
          <w:b/>
        </w:rPr>
      </w:pPr>
      <w:r w:rsidRPr="00EA2D70">
        <w:rPr>
          <w:rFonts w:ascii="Book Antiqua" w:hAnsi="Book Antiqua"/>
          <w:b/>
        </w:rPr>
        <w:t>SECRETARY OF STATE FOR THE HOME DEPARTMENT</w:t>
      </w:r>
    </w:p>
    <w:p w14:paraId="4F8A9768" w14:textId="77777777" w:rsidR="004A53A7" w:rsidRPr="00EA2D70" w:rsidRDefault="004A53A7" w:rsidP="00544C1C">
      <w:pPr>
        <w:jc w:val="right"/>
        <w:rPr>
          <w:rFonts w:ascii="Book Antiqua" w:hAnsi="Book Antiqua"/>
          <w:u w:val="single"/>
        </w:rPr>
      </w:pPr>
      <w:r w:rsidRPr="00EA2D70">
        <w:rPr>
          <w:rFonts w:ascii="Book Antiqua" w:hAnsi="Book Antiqua"/>
          <w:u w:val="single"/>
        </w:rPr>
        <w:t>Respondent</w:t>
      </w:r>
    </w:p>
    <w:p w14:paraId="12DF6034" w14:textId="02D13BDA" w:rsidR="004A53A7" w:rsidRDefault="004A53A7" w:rsidP="009E598F">
      <w:pPr>
        <w:rPr>
          <w:rFonts w:ascii="Book Antiqua" w:hAnsi="Book Antiqua"/>
        </w:rPr>
      </w:pPr>
    </w:p>
    <w:p w14:paraId="1E7A6231" w14:textId="62F4E885" w:rsidR="00933B67" w:rsidRDefault="00933B67" w:rsidP="004A53A7">
      <w:pPr>
        <w:rPr>
          <w:rFonts w:ascii="Book Antiqua" w:hAnsi="Book Antiqua"/>
          <w:b/>
        </w:rPr>
      </w:pPr>
      <w:r w:rsidRPr="00544C1C">
        <w:rPr>
          <w:rFonts w:ascii="Book Antiqua" w:hAnsi="Book Antiqua"/>
          <w:b/>
          <w:u w:val="single"/>
        </w:rPr>
        <w:t>Representation</w:t>
      </w:r>
      <w:r w:rsidRPr="00544C1C">
        <w:rPr>
          <w:rFonts w:ascii="Book Antiqua" w:hAnsi="Book Antiqua"/>
          <w:b/>
        </w:rPr>
        <w:t>:</w:t>
      </w:r>
    </w:p>
    <w:p w14:paraId="68892595" w14:textId="77777777" w:rsidR="00EA2D70" w:rsidRPr="00544C1C" w:rsidRDefault="00EA2D70" w:rsidP="004A53A7">
      <w:pPr>
        <w:rPr>
          <w:rFonts w:ascii="Book Antiqua" w:hAnsi="Book Antiqua"/>
          <w:b/>
          <w:u w:val="single"/>
        </w:rPr>
      </w:pPr>
    </w:p>
    <w:p w14:paraId="5815A739" w14:textId="7E8F5725" w:rsidR="002D42EC" w:rsidRDefault="002D42EC" w:rsidP="00AB45E6">
      <w:pPr>
        <w:ind w:left="2552" w:hanging="2552"/>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bookmarkStart w:id="0" w:name="_Hlk522049129"/>
      <w:bookmarkStart w:id="1" w:name="_Hlk522037429"/>
      <w:r w:rsidR="00544C1C">
        <w:rPr>
          <w:rFonts w:ascii="Book Antiqua" w:hAnsi="Book Antiqua"/>
        </w:rPr>
        <w:tab/>
      </w:r>
      <w:r w:rsidR="003A15E0">
        <w:rPr>
          <w:rFonts w:ascii="Book Antiqua" w:hAnsi="Book Antiqua"/>
        </w:rPr>
        <w:t>M</w:t>
      </w:r>
      <w:r w:rsidR="00563657">
        <w:rPr>
          <w:rFonts w:ascii="Book Antiqua" w:hAnsi="Book Antiqua"/>
        </w:rPr>
        <w:t xml:space="preserve">iss S </w:t>
      </w:r>
      <w:proofErr w:type="spellStart"/>
      <w:r w:rsidR="00563657">
        <w:rPr>
          <w:rFonts w:ascii="Book Antiqua" w:hAnsi="Book Antiqua"/>
        </w:rPr>
        <w:t>Tabassum</w:t>
      </w:r>
      <w:bookmarkEnd w:id="0"/>
      <w:proofErr w:type="spellEnd"/>
      <w:r w:rsidR="00C36519">
        <w:rPr>
          <w:rFonts w:ascii="Book Antiqua" w:hAnsi="Book Antiqua"/>
        </w:rPr>
        <w:t>,</w:t>
      </w:r>
      <w:r w:rsidR="00544C1C">
        <w:rPr>
          <w:rFonts w:ascii="Book Antiqua" w:hAnsi="Book Antiqua"/>
        </w:rPr>
        <w:t xml:space="preserve"> </w:t>
      </w:r>
      <w:r w:rsidR="00C36519">
        <w:rPr>
          <w:rFonts w:ascii="Book Antiqua" w:hAnsi="Book Antiqua"/>
        </w:rPr>
        <w:t>Counsel</w:t>
      </w:r>
      <w:bookmarkEnd w:id="1"/>
      <w:r w:rsidR="00C36519">
        <w:rPr>
          <w:rFonts w:ascii="Book Antiqua" w:hAnsi="Book Antiqua"/>
        </w:rPr>
        <w:t>,</w:t>
      </w:r>
      <w:r w:rsidR="00544C1C">
        <w:rPr>
          <w:rFonts w:ascii="Book Antiqua" w:hAnsi="Book Antiqua"/>
        </w:rPr>
        <w:t xml:space="preserve"> </w:t>
      </w:r>
      <w:r w:rsidR="00C36519">
        <w:rPr>
          <w:rFonts w:ascii="Book Antiqua" w:hAnsi="Book Antiqua"/>
        </w:rPr>
        <w:t xml:space="preserve">instructed by </w:t>
      </w:r>
      <w:proofErr w:type="spellStart"/>
      <w:r w:rsidR="00563657">
        <w:rPr>
          <w:rFonts w:ascii="Book Antiqua" w:hAnsi="Book Antiqua"/>
        </w:rPr>
        <w:t>Broudie</w:t>
      </w:r>
      <w:proofErr w:type="spellEnd"/>
      <w:r w:rsidR="00563657">
        <w:rPr>
          <w:rFonts w:ascii="Book Antiqua" w:hAnsi="Book Antiqua"/>
        </w:rPr>
        <w:t xml:space="preserve"> Jackson and Canter</w:t>
      </w:r>
      <w:r w:rsidR="00C36519">
        <w:rPr>
          <w:rFonts w:ascii="Book Antiqua" w:hAnsi="Book Antiqua"/>
        </w:rPr>
        <w:t>.</w:t>
      </w:r>
    </w:p>
    <w:p w14:paraId="51BD231A" w14:textId="755C926B" w:rsidR="002D42EC" w:rsidRPr="000704BB" w:rsidRDefault="00933B67" w:rsidP="00544C1C">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bookmarkStart w:id="2" w:name="_Hlk522049329"/>
      <w:r w:rsidR="00544C1C">
        <w:rPr>
          <w:rFonts w:ascii="Book Antiqua" w:hAnsi="Book Antiqua"/>
        </w:rPr>
        <w:tab/>
      </w:r>
      <w:r w:rsidR="003A15E0">
        <w:rPr>
          <w:rFonts w:ascii="Book Antiqua" w:hAnsi="Book Antiqua"/>
        </w:rPr>
        <w:t>M</w:t>
      </w:r>
      <w:r w:rsidR="00C36519">
        <w:rPr>
          <w:rFonts w:ascii="Book Antiqua" w:hAnsi="Book Antiqua"/>
        </w:rPr>
        <w:t>r</w:t>
      </w:r>
      <w:r w:rsidR="00544C1C">
        <w:rPr>
          <w:rFonts w:ascii="Book Antiqua" w:hAnsi="Book Antiqua"/>
        </w:rPr>
        <w:t xml:space="preserve"> </w:t>
      </w:r>
      <w:r w:rsidR="00C36519">
        <w:rPr>
          <w:rFonts w:ascii="Book Antiqua" w:hAnsi="Book Antiqua"/>
        </w:rPr>
        <w:t xml:space="preserve">C </w:t>
      </w:r>
      <w:r w:rsidR="005115CF">
        <w:rPr>
          <w:rFonts w:ascii="Book Antiqua" w:hAnsi="Book Antiqua"/>
        </w:rPr>
        <w:t>Bates</w:t>
      </w:r>
      <w:bookmarkEnd w:id="2"/>
      <w:r w:rsidR="005115CF">
        <w:rPr>
          <w:rFonts w:ascii="Book Antiqua" w:hAnsi="Book Antiqua"/>
        </w:rPr>
        <w:t>, Home</w:t>
      </w:r>
      <w:r w:rsidR="003A15E0">
        <w:rPr>
          <w:rFonts w:ascii="Book Antiqua" w:hAnsi="Book Antiqua"/>
        </w:rPr>
        <w:t xml:space="preserve"> Office Presenting Officer.</w:t>
      </w:r>
    </w:p>
    <w:p w14:paraId="5FF87DC7" w14:textId="34C9F4F9" w:rsidR="002D42EC" w:rsidRDefault="002D42EC" w:rsidP="002D42EC">
      <w:pPr>
        <w:jc w:val="center"/>
        <w:rPr>
          <w:rFonts w:ascii="Book Antiqua" w:hAnsi="Book Antiqua" w:cs="Arial"/>
        </w:rPr>
      </w:pPr>
    </w:p>
    <w:p w14:paraId="42C7BABD" w14:textId="77777777" w:rsidR="00873F23" w:rsidRPr="000704BB" w:rsidRDefault="00873F23" w:rsidP="002D42EC">
      <w:pPr>
        <w:jc w:val="center"/>
        <w:rPr>
          <w:rFonts w:ascii="Book Antiqua" w:hAnsi="Book Antiqua" w:cs="Arial"/>
        </w:rPr>
      </w:pPr>
    </w:p>
    <w:p w14:paraId="5AFE1342" w14:textId="77777777" w:rsidR="009E598F" w:rsidRPr="00544C1C" w:rsidRDefault="009E598F" w:rsidP="00933B67">
      <w:pPr>
        <w:jc w:val="center"/>
        <w:rPr>
          <w:rFonts w:ascii="Book Antiqua" w:hAnsi="Book Antiqua"/>
          <w:b/>
          <w:u w:val="single"/>
        </w:rPr>
      </w:pPr>
      <w:r w:rsidRPr="00544C1C">
        <w:rPr>
          <w:rFonts w:ascii="Book Antiqua" w:hAnsi="Book Antiqua"/>
          <w:b/>
          <w:u w:val="single"/>
        </w:rPr>
        <w:t>DETERMINATION AND REASONS</w:t>
      </w:r>
    </w:p>
    <w:p w14:paraId="066AE74E" w14:textId="77777777" w:rsidR="00421DA4" w:rsidRDefault="00421DA4" w:rsidP="00544C1C">
      <w:pPr>
        <w:spacing w:before="240"/>
        <w:jc w:val="both"/>
        <w:rPr>
          <w:rFonts w:ascii="Book Antiqua" w:hAnsi="Book Antiqua"/>
          <w:u w:val="single"/>
        </w:rPr>
      </w:pPr>
      <w:r w:rsidRPr="00421DA4">
        <w:rPr>
          <w:rFonts w:ascii="Book Antiqua" w:hAnsi="Book Antiqua"/>
          <w:u w:val="single"/>
        </w:rPr>
        <w:t>Introduction</w:t>
      </w:r>
    </w:p>
    <w:p w14:paraId="63CF353B" w14:textId="3C96C59A" w:rsidR="0003378A" w:rsidRDefault="007A3F2A" w:rsidP="00544C1C">
      <w:pPr>
        <w:pStyle w:val="ListParagraph"/>
        <w:numPr>
          <w:ilvl w:val="0"/>
          <w:numId w:val="40"/>
        </w:numPr>
        <w:spacing w:before="240"/>
        <w:jc w:val="both"/>
        <w:rPr>
          <w:rFonts w:ascii="Book Antiqua" w:hAnsi="Book Antiqua"/>
        </w:rPr>
      </w:pPr>
      <w:r w:rsidRPr="007A3F2A">
        <w:rPr>
          <w:rFonts w:ascii="Book Antiqua" w:hAnsi="Book Antiqua"/>
        </w:rPr>
        <w:t>The appellant made a claim for protection on 4 February 2015. She is a Sri Lankan national of Tamil ethnicity</w:t>
      </w:r>
      <w:r w:rsidR="00542FBF">
        <w:rPr>
          <w:rFonts w:ascii="Book Antiqua" w:hAnsi="Book Antiqua"/>
        </w:rPr>
        <w:t>.</w:t>
      </w:r>
      <w:r w:rsidR="00EA2D70">
        <w:rPr>
          <w:rFonts w:ascii="Book Antiqua" w:hAnsi="Book Antiqua"/>
        </w:rPr>
        <w:t xml:space="preserve"> </w:t>
      </w:r>
      <w:r w:rsidR="00542FBF">
        <w:rPr>
          <w:rFonts w:ascii="Book Antiqua" w:hAnsi="Book Antiqua"/>
        </w:rPr>
        <w:t>She</w:t>
      </w:r>
      <w:r w:rsidRPr="007A3F2A">
        <w:rPr>
          <w:rFonts w:ascii="Book Antiqua" w:hAnsi="Book Antiqua"/>
        </w:rPr>
        <w:t xml:space="preserve"> claimed to have arrived in the United Kingdom on 19 January 2015</w:t>
      </w:r>
      <w:r w:rsidR="0003378A">
        <w:rPr>
          <w:rFonts w:ascii="Book Antiqua" w:hAnsi="Book Antiqua"/>
        </w:rPr>
        <w:t>,</w:t>
      </w:r>
      <w:r w:rsidRPr="007A3F2A">
        <w:rPr>
          <w:rFonts w:ascii="Book Antiqua" w:hAnsi="Book Antiqua"/>
        </w:rPr>
        <w:t xml:space="preserve"> having left her home country on 1 November 2014. </w:t>
      </w:r>
      <w:r w:rsidR="0003378A">
        <w:rPr>
          <w:rFonts w:ascii="Book Antiqua" w:hAnsi="Book Antiqua"/>
        </w:rPr>
        <w:t xml:space="preserve">She gave birth to her daughter in Liverpool on 22 January 2015. </w:t>
      </w:r>
    </w:p>
    <w:p w14:paraId="0D71F4B5" w14:textId="712C42C9" w:rsidR="006E1FF9" w:rsidRDefault="006E1FF9" w:rsidP="00544C1C">
      <w:pPr>
        <w:pStyle w:val="ListParagraph"/>
        <w:numPr>
          <w:ilvl w:val="0"/>
          <w:numId w:val="40"/>
        </w:numPr>
        <w:spacing w:before="240"/>
        <w:jc w:val="both"/>
        <w:rPr>
          <w:rFonts w:ascii="Book Antiqua" w:hAnsi="Book Antiqua"/>
        </w:rPr>
      </w:pPr>
      <w:r w:rsidRPr="00D74F6E">
        <w:rPr>
          <w:rFonts w:ascii="Book Antiqua" w:hAnsi="Book Antiqua"/>
        </w:rPr>
        <w:t>The appellant’s parents and grandmother had been living in France since 2008 along with her younger siblings, her father having arrived 1</w:t>
      </w:r>
      <w:r w:rsidRPr="00D74F6E">
        <w:rPr>
          <w:rFonts w:ascii="Book Antiqua" w:hAnsi="Book Antiqua"/>
          <w:vertAlign w:val="superscript"/>
        </w:rPr>
        <w:t>st</w:t>
      </w:r>
      <w:r w:rsidRPr="00D74F6E">
        <w:rPr>
          <w:rFonts w:ascii="Book Antiqua" w:hAnsi="Book Antiqua"/>
        </w:rPr>
        <w:t xml:space="preserve"> in 2004. They have been granted refugee </w:t>
      </w:r>
      <w:r w:rsidR="00172851" w:rsidRPr="00D74F6E">
        <w:rPr>
          <w:rFonts w:ascii="Book Antiqua" w:hAnsi="Book Antiqua"/>
        </w:rPr>
        <w:t>status,</w:t>
      </w:r>
      <w:r w:rsidRPr="00D74F6E">
        <w:rPr>
          <w:rFonts w:ascii="Book Antiqua" w:hAnsi="Book Antiqua"/>
        </w:rPr>
        <w:t xml:space="preserve"> but she was ineligible because she was over 18. After they left she went to live with her paternal uncle. </w:t>
      </w:r>
    </w:p>
    <w:p w14:paraId="1F6A4DDD" w14:textId="65DB781E" w:rsidR="006E1FF9" w:rsidRPr="006E1FF9" w:rsidRDefault="007A3F2A" w:rsidP="00544C1C">
      <w:pPr>
        <w:pStyle w:val="ListParagraph"/>
        <w:numPr>
          <w:ilvl w:val="0"/>
          <w:numId w:val="40"/>
        </w:numPr>
        <w:spacing w:before="240"/>
        <w:jc w:val="both"/>
        <w:rPr>
          <w:rFonts w:ascii="Book Antiqua" w:hAnsi="Book Antiqua"/>
        </w:rPr>
      </w:pPr>
      <w:r w:rsidRPr="007A3F2A">
        <w:rPr>
          <w:rFonts w:ascii="Book Antiqua" w:hAnsi="Book Antiqua"/>
        </w:rPr>
        <w:lastRenderedPageBreak/>
        <w:t xml:space="preserve">She </w:t>
      </w:r>
      <w:r w:rsidR="006E1FF9">
        <w:rPr>
          <w:rFonts w:ascii="Book Antiqua" w:hAnsi="Book Antiqua"/>
        </w:rPr>
        <w:t>said</w:t>
      </w:r>
      <w:r w:rsidRPr="007A3F2A">
        <w:rPr>
          <w:rFonts w:ascii="Book Antiqua" w:hAnsi="Book Antiqua"/>
        </w:rPr>
        <w:t xml:space="preserve"> she was at risk because of her association with </w:t>
      </w:r>
      <w:r w:rsidR="0003378A">
        <w:rPr>
          <w:rFonts w:ascii="Book Antiqua" w:hAnsi="Book Antiqua"/>
        </w:rPr>
        <w:t xml:space="preserve">RK </w:t>
      </w:r>
      <w:r w:rsidRPr="007A3F2A">
        <w:rPr>
          <w:rFonts w:ascii="Book Antiqua" w:hAnsi="Book Antiqua"/>
        </w:rPr>
        <w:t>who</w:t>
      </w:r>
      <w:r w:rsidR="00D74F6E">
        <w:rPr>
          <w:rFonts w:ascii="Book Antiqua" w:hAnsi="Book Antiqua"/>
        </w:rPr>
        <w:t xml:space="preserve"> she said was the father of her child. </w:t>
      </w:r>
      <w:r w:rsidR="006E1FF9">
        <w:rPr>
          <w:rFonts w:ascii="Book Antiqua" w:hAnsi="Book Antiqua"/>
        </w:rPr>
        <w:t xml:space="preserve">His </w:t>
      </w:r>
      <w:r w:rsidR="006E1FF9" w:rsidRPr="007A3F2A">
        <w:rPr>
          <w:rFonts w:ascii="Book Antiqua" w:hAnsi="Book Antiqua"/>
        </w:rPr>
        <w:t>elder brother had been killed in 2008 by the Karuna group</w:t>
      </w:r>
      <w:r w:rsidR="006E1FF9">
        <w:rPr>
          <w:rFonts w:ascii="Book Antiqua" w:hAnsi="Book Antiqua"/>
        </w:rPr>
        <w:t xml:space="preserve"> and they were harassing him. His father had been granted refugee status</w:t>
      </w:r>
      <w:r w:rsidR="00542FBF">
        <w:rPr>
          <w:rFonts w:ascii="Book Antiqua" w:hAnsi="Book Antiqua"/>
        </w:rPr>
        <w:t xml:space="preserve"> here</w:t>
      </w:r>
      <w:r w:rsidR="006E1FF9">
        <w:rPr>
          <w:rFonts w:ascii="Book Antiqua" w:hAnsi="Book Antiqua"/>
        </w:rPr>
        <w:t xml:space="preserve">. His wife and another son were able to join him under the family reunification rules but </w:t>
      </w:r>
      <w:bookmarkStart w:id="3" w:name="_Hlk522037480"/>
      <w:r w:rsidR="006E1FF9">
        <w:rPr>
          <w:rFonts w:ascii="Book Antiqua" w:hAnsi="Book Antiqua"/>
        </w:rPr>
        <w:t>RK</w:t>
      </w:r>
      <w:bookmarkEnd w:id="3"/>
      <w:r w:rsidR="006E1FF9">
        <w:rPr>
          <w:rFonts w:ascii="Book Antiqua" w:hAnsi="Book Antiqua"/>
        </w:rPr>
        <w:t>,</w:t>
      </w:r>
      <w:r w:rsidR="00542FBF">
        <w:rPr>
          <w:rFonts w:ascii="Book Antiqua" w:hAnsi="Book Antiqua"/>
        </w:rPr>
        <w:t xml:space="preserve"> </w:t>
      </w:r>
      <w:r w:rsidR="006E1FF9">
        <w:rPr>
          <w:rFonts w:ascii="Book Antiqua" w:hAnsi="Book Antiqua"/>
        </w:rPr>
        <w:t xml:space="preserve">as an </w:t>
      </w:r>
      <w:r w:rsidR="00542FBF">
        <w:rPr>
          <w:rFonts w:ascii="Book Antiqua" w:hAnsi="Book Antiqua"/>
        </w:rPr>
        <w:t>adult, could</w:t>
      </w:r>
      <w:r w:rsidR="006E1FF9">
        <w:rPr>
          <w:rFonts w:ascii="Book Antiqua" w:hAnsi="Book Antiqua"/>
        </w:rPr>
        <w:t xml:space="preserve"> not benefit.</w:t>
      </w:r>
      <w:r w:rsidR="006E1FF9" w:rsidRPr="006E1FF9">
        <w:rPr>
          <w:rFonts w:ascii="Book Antiqua" w:hAnsi="Book Antiqua"/>
        </w:rPr>
        <w:t xml:space="preserve"> </w:t>
      </w:r>
      <w:r w:rsidR="006E1FF9">
        <w:rPr>
          <w:rFonts w:ascii="Book Antiqua" w:hAnsi="Book Antiqua"/>
        </w:rPr>
        <w:t xml:space="preserve">RK left Sri Lanka in 2013 and came to the United Kingdom. He was allowed to remain following an appeal on article 8 grounds outside the rules and in August 2015 was granted indefinite leave to remain. </w:t>
      </w:r>
    </w:p>
    <w:p w14:paraId="63158AA0" w14:textId="1199DF8C" w:rsidR="005E15F3" w:rsidRDefault="006E1FF9" w:rsidP="00544C1C">
      <w:pPr>
        <w:pStyle w:val="ListParagraph"/>
        <w:numPr>
          <w:ilvl w:val="0"/>
          <w:numId w:val="40"/>
        </w:numPr>
        <w:spacing w:before="240"/>
        <w:jc w:val="both"/>
        <w:rPr>
          <w:rFonts w:ascii="Book Antiqua" w:hAnsi="Book Antiqua"/>
        </w:rPr>
      </w:pPr>
      <w:r>
        <w:rPr>
          <w:rFonts w:ascii="Book Antiqua" w:hAnsi="Book Antiqua"/>
        </w:rPr>
        <w:t>Before RK left he had been living in a Hindu temple run by the appellant’s uncle for several weeks</w:t>
      </w:r>
      <w:r w:rsidR="005E15F3">
        <w:rPr>
          <w:rFonts w:ascii="Book Antiqua" w:hAnsi="Book Antiqua"/>
        </w:rPr>
        <w:t xml:space="preserve"> and the appellant met him</w:t>
      </w:r>
      <w:r>
        <w:rPr>
          <w:rFonts w:ascii="Book Antiqua" w:hAnsi="Book Antiqua"/>
        </w:rPr>
        <w:t xml:space="preserve">. After he arrived in the United Kingdom he </w:t>
      </w:r>
      <w:r w:rsidR="00172851">
        <w:rPr>
          <w:rFonts w:ascii="Book Antiqua" w:hAnsi="Book Antiqua"/>
        </w:rPr>
        <w:t>contacted</w:t>
      </w:r>
      <w:r>
        <w:rPr>
          <w:rFonts w:ascii="Book Antiqua" w:hAnsi="Book Antiqua"/>
        </w:rPr>
        <w:t xml:space="preserve"> the appellant’s uncle via Skype and </w:t>
      </w:r>
      <w:r w:rsidR="005E15F3">
        <w:rPr>
          <w:rFonts w:ascii="Book Antiqua" w:hAnsi="Book Antiqua"/>
        </w:rPr>
        <w:t xml:space="preserve">asked if he could speak to the </w:t>
      </w:r>
      <w:r>
        <w:rPr>
          <w:rFonts w:ascii="Book Antiqua" w:hAnsi="Book Antiqua"/>
        </w:rPr>
        <w:t xml:space="preserve">appellant </w:t>
      </w:r>
      <w:r w:rsidR="005E15F3">
        <w:rPr>
          <w:rFonts w:ascii="Book Antiqua" w:hAnsi="Book Antiqua"/>
        </w:rPr>
        <w:t xml:space="preserve">and through this a relationship developed . They then met in India in April 2014 where the appellant had been staying with her aunt. He then  proposed marriage and they had a traditional ceremony with the intention of the appellant joining him in the United Kingdom and having a more formal wedding. She said when she </w:t>
      </w:r>
      <w:r w:rsidR="00172851">
        <w:rPr>
          <w:rFonts w:ascii="Book Antiqua" w:hAnsi="Book Antiqua"/>
        </w:rPr>
        <w:t>returns</w:t>
      </w:r>
      <w:r w:rsidR="005E15F3">
        <w:rPr>
          <w:rFonts w:ascii="Book Antiqua" w:hAnsi="Book Antiqua"/>
        </w:rPr>
        <w:t xml:space="preserve"> to Sri Lanka the Coruna group had learnt of the marriage and started asking her about her husband. They told her to attend an enquiry and rather than do this she moved to live with in-laws before arranging to come to the United Kingdom.</w:t>
      </w:r>
    </w:p>
    <w:p w14:paraId="1C899E89" w14:textId="78D97D96" w:rsidR="00AE7761" w:rsidRDefault="005E15F3" w:rsidP="00544C1C">
      <w:pPr>
        <w:pStyle w:val="ListParagraph"/>
        <w:numPr>
          <w:ilvl w:val="0"/>
          <w:numId w:val="40"/>
        </w:numPr>
        <w:spacing w:before="240"/>
        <w:jc w:val="both"/>
        <w:rPr>
          <w:rFonts w:ascii="Book Antiqua" w:hAnsi="Book Antiqua"/>
        </w:rPr>
      </w:pPr>
      <w:r>
        <w:rPr>
          <w:rFonts w:ascii="Book Antiqua" w:hAnsi="Book Antiqua"/>
        </w:rPr>
        <w:t>The respondent’s records confirm that RK</w:t>
      </w:r>
      <w:r w:rsidR="00AE7761">
        <w:rPr>
          <w:rFonts w:ascii="Book Antiqua" w:hAnsi="Book Antiqua"/>
        </w:rPr>
        <w:t xml:space="preserve"> had been granted leave on 6 February 2013</w:t>
      </w:r>
      <w:r>
        <w:rPr>
          <w:rFonts w:ascii="Book Antiqua" w:hAnsi="Book Antiqua"/>
        </w:rPr>
        <w:t xml:space="preserve">. </w:t>
      </w:r>
      <w:r w:rsidR="00AE7761">
        <w:rPr>
          <w:rFonts w:ascii="Book Antiqua" w:hAnsi="Book Antiqua"/>
        </w:rPr>
        <w:t>However</w:t>
      </w:r>
      <w:r w:rsidR="00542FBF">
        <w:rPr>
          <w:rFonts w:ascii="Book Antiqua" w:hAnsi="Book Antiqua"/>
        </w:rPr>
        <w:t>,</w:t>
      </w:r>
      <w:r w:rsidR="00AE7761">
        <w:rPr>
          <w:rFonts w:ascii="Book Antiqua" w:hAnsi="Book Antiqua"/>
        </w:rPr>
        <w:t xml:space="preserve"> the relationship between the appellant and he was not accepted. The respondent made the point that on her account she had only known him the brief time he was at her uncle’s temple and then he left the country. Thereafter it was only when he made contact again with her uncle that they spoke infrequently on Skype. It was not accepted that given this limited contact he would have proposed marriage and that they m</w:t>
      </w:r>
      <w:r w:rsidR="00542FBF">
        <w:rPr>
          <w:rFonts w:ascii="Book Antiqua" w:hAnsi="Book Antiqua"/>
        </w:rPr>
        <w:t>arried</w:t>
      </w:r>
      <w:r w:rsidR="00AE7761">
        <w:rPr>
          <w:rFonts w:ascii="Book Antiqua" w:hAnsi="Book Antiqua"/>
        </w:rPr>
        <w:t xml:space="preserve"> immediately . Because the relationship was not accepted then the threat from the Karuna group was rejected . The respondent rejected her explanation for not leaving the area sooner after </w:t>
      </w:r>
      <w:r w:rsidR="00542FBF">
        <w:rPr>
          <w:rFonts w:ascii="Book Antiqua" w:hAnsi="Book Antiqua"/>
        </w:rPr>
        <w:t xml:space="preserve">saying she </w:t>
      </w:r>
      <w:r w:rsidR="00AE7761">
        <w:rPr>
          <w:rFonts w:ascii="Book Antiqua" w:hAnsi="Book Antiqua"/>
        </w:rPr>
        <w:t>receiv</w:t>
      </w:r>
      <w:r w:rsidR="00542FBF">
        <w:rPr>
          <w:rFonts w:ascii="Book Antiqua" w:hAnsi="Book Antiqua"/>
        </w:rPr>
        <w:t>ed</w:t>
      </w:r>
      <w:r w:rsidR="00AE7761">
        <w:rPr>
          <w:rFonts w:ascii="Book Antiqua" w:hAnsi="Book Antiqua"/>
        </w:rPr>
        <w:t xml:space="preserve"> a letter from the </w:t>
      </w:r>
      <w:bookmarkStart w:id="4" w:name="_Hlk522051531"/>
      <w:r w:rsidR="00542FBF">
        <w:rPr>
          <w:rFonts w:ascii="Book Antiqua" w:hAnsi="Book Antiqua"/>
        </w:rPr>
        <w:t>Ka</w:t>
      </w:r>
      <w:r w:rsidR="00AE7761">
        <w:rPr>
          <w:rFonts w:ascii="Book Antiqua" w:hAnsi="Book Antiqua"/>
        </w:rPr>
        <w:t>runa</w:t>
      </w:r>
      <w:bookmarkEnd w:id="4"/>
      <w:r w:rsidR="00AE7761">
        <w:rPr>
          <w:rFonts w:ascii="Book Antiqua" w:hAnsi="Book Antiqua"/>
        </w:rPr>
        <w:t xml:space="preserve"> group and failing to report as they had required. After she moved she had no further problems. </w:t>
      </w:r>
    </w:p>
    <w:p w14:paraId="4BF65905" w14:textId="77777777" w:rsidR="00AE7761" w:rsidRPr="00542FBF" w:rsidRDefault="00AE7761" w:rsidP="00544C1C">
      <w:pPr>
        <w:spacing w:before="240"/>
        <w:jc w:val="both"/>
        <w:rPr>
          <w:rFonts w:ascii="Book Antiqua" w:hAnsi="Book Antiqua"/>
          <w:u w:val="single"/>
        </w:rPr>
      </w:pPr>
      <w:r w:rsidRPr="00542FBF">
        <w:rPr>
          <w:rFonts w:ascii="Book Antiqua" w:hAnsi="Book Antiqua"/>
          <w:u w:val="single"/>
        </w:rPr>
        <w:t xml:space="preserve">The First </w:t>
      </w:r>
      <w:proofErr w:type="gramStart"/>
      <w:r w:rsidRPr="00542FBF">
        <w:rPr>
          <w:rFonts w:ascii="Book Antiqua" w:hAnsi="Book Antiqua"/>
          <w:u w:val="single"/>
        </w:rPr>
        <w:t>tier</w:t>
      </w:r>
      <w:proofErr w:type="gramEnd"/>
      <w:r w:rsidRPr="00542FBF">
        <w:rPr>
          <w:rFonts w:ascii="Book Antiqua" w:hAnsi="Book Antiqua"/>
          <w:u w:val="single"/>
        </w:rPr>
        <w:t xml:space="preserve"> Tribunal.</w:t>
      </w:r>
    </w:p>
    <w:p w14:paraId="29F66E01" w14:textId="4159F1B7" w:rsidR="00542FBF" w:rsidRDefault="00AE7761" w:rsidP="00544C1C">
      <w:pPr>
        <w:pStyle w:val="ListParagraph"/>
        <w:numPr>
          <w:ilvl w:val="0"/>
          <w:numId w:val="40"/>
        </w:numPr>
        <w:spacing w:before="240"/>
        <w:jc w:val="both"/>
        <w:rPr>
          <w:rFonts w:ascii="Book Antiqua" w:hAnsi="Book Antiqua"/>
        </w:rPr>
      </w:pPr>
      <w:r>
        <w:rPr>
          <w:rFonts w:ascii="Book Antiqua" w:hAnsi="Book Antiqua"/>
        </w:rPr>
        <w:t xml:space="preserve">The appellant’s appeal was heard before First-tier Judge </w:t>
      </w:r>
      <w:bookmarkStart w:id="5" w:name="_Hlk522053192"/>
      <w:r>
        <w:rPr>
          <w:rFonts w:ascii="Book Antiqua" w:hAnsi="Book Antiqua"/>
        </w:rPr>
        <w:t>Tobin</w:t>
      </w:r>
      <w:bookmarkEnd w:id="5"/>
      <w:r>
        <w:rPr>
          <w:rFonts w:ascii="Book Antiqua" w:hAnsi="Book Antiqua"/>
        </w:rPr>
        <w:t xml:space="preserve"> on 24 January 2018.</w:t>
      </w:r>
      <w:r w:rsidRPr="00AE7761">
        <w:rPr>
          <w:rFonts w:ascii="Book Antiqua" w:hAnsi="Book Antiqua"/>
        </w:rPr>
        <w:t xml:space="preserve"> </w:t>
      </w:r>
      <w:r>
        <w:rPr>
          <w:rFonts w:ascii="Book Antiqua" w:hAnsi="Book Antiqua"/>
        </w:rPr>
        <w:t xml:space="preserve">Miss S </w:t>
      </w:r>
      <w:r w:rsidR="00172851">
        <w:rPr>
          <w:rFonts w:ascii="Book Antiqua" w:hAnsi="Book Antiqua"/>
        </w:rPr>
        <w:t>Tabassum, Counsel</w:t>
      </w:r>
      <w:r>
        <w:rPr>
          <w:rFonts w:ascii="Book Antiqua" w:hAnsi="Book Antiqua"/>
        </w:rPr>
        <w:t xml:space="preserve"> then appeared for the appellant as she does now. There was no representative for the respondent. The judge heard from the appellant and</w:t>
      </w:r>
      <w:r w:rsidRPr="00AE7761">
        <w:rPr>
          <w:rFonts w:ascii="Book Antiqua" w:hAnsi="Book Antiqua"/>
        </w:rPr>
        <w:t xml:space="preserve"> </w:t>
      </w:r>
      <w:r>
        <w:rPr>
          <w:rFonts w:ascii="Book Antiqua" w:hAnsi="Book Antiqua"/>
        </w:rPr>
        <w:t>RK.</w:t>
      </w:r>
      <w:r w:rsidR="00B058E1">
        <w:rPr>
          <w:rFonts w:ascii="Book Antiqua" w:hAnsi="Book Antiqua"/>
        </w:rPr>
        <w:t xml:space="preserve"> At paragraph 18 onwards the judge sets out the conclusions. </w:t>
      </w:r>
      <w:r w:rsidR="0052749D">
        <w:rPr>
          <w:rFonts w:ascii="Book Antiqua" w:hAnsi="Book Antiqua"/>
        </w:rPr>
        <w:t>The judge</w:t>
      </w:r>
      <w:r w:rsidR="00B058E1">
        <w:rPr>
          <w:rFonts w:ascii="Book Antiqua" w:hAnsi="Book Antiqua"/>
        </w:rPr>
        <w:t xml:space="preserve"> found the appellant was evasive and did not give an honest account. She was questioned about when she 1</w:t>
      </w:r>
      <w:r w:rsidR="00B058E1" w:rsidRPr="00B058E1">
        <w:rPr>
          <w:rFonts w:ascii="Book Antiqua" w:hAnsi="Book Antiqua"/>
          <w:vertAlign w:val="superscript"/>
        </w:rPr>
        <w:t>st</w:t>
      </w:r>
      <w:r w:rsidR="00B058E1">
        <w:rPr>
          <w:rFonts w:ascii="Book Antiqua" w:hAnsi="Book Antiqua"/>
        </w:rPr>
        <w:t xml:space="preserve"> met RK and then about the circumstances of her marriage. Paragraph 21 records the appellant’s explanation that the marriage could not be registered in India because application had to be made beforehand and the marriage had not been prearranged. There was no documentation to confirm </w:t>
      </w:r>
      <w:r w:rsidR="00542FBF">
        <w:rPr>
          <w:rFonts w:ascii="Book Antiqua" w:hAnsi="Book Antiqua"/>
        </w:rPr>
        <w:t xml:space="preserve">the </w:t>
      </w:r>
      <w:r w:rsidR="00B058E1">
        <w:rPr>
          <w:rFonts w:ascii="Book Antiqua" w:hAnsi="Book Antiqua"/>
        </w:rPr>
        <w:t>registration process. She was asked about her journey to the United Kingdom</w:t>
      </w:r>
      <w:r w:rsidR="00542FBF">
        <w:rPr>
          <w:rFonts w:ascii="Book Antiqua" w:hAnsi="Book Antiqua"/>
        </w:rPr>
        <w:t>,</w:t>
      </w:r>
      <w:r w:rsidR="00B058E1">
        <w:rPr>
          <w:rFonts w:ascii="Book Antiqua" w:hAnsi="Book Antiqua"/>
        </w:rPr>
        <w:t xml:space="preserve"> which again the judge concluded was untrue. At paragraph 24 onwards the judge deals with the evidence of RK and he was criticised for describing himself as a refugee</w:t>
      </w:r>
      <w:r w:rsidR="00542FBF">
        <w:rPr>
          <w:rFonts w:ascii="Book Antiqua" w:hAnsi="Book Antiqua"/>
        </w:rPr>
        <w:t>,</w:t>
      </w:r>
      <w:r w:rsidR="00B058E1">
        <w:rPr>
          <w:rFonts w:ascii="Book Antiqua" w:hAnsi="Book Antiqua"/>
        </w:rPr>
        <w:t xml:space="preserve"> with the judge concluding he had been given leave under the family reunion policy. The judge found </w:t>
      </w:r>
      <w:r w:rsidR="00B058E1">
        <w:rPr>
          <w:rFonts w:ascii="Book Antiqua" w:hAnsi="Book Antiqua"/>
        </w:rPr>
        <w:lastRenderedPageBreak/>
        <w:t>inconsistencies in his account about contact with the appellant and her aunt and the circumstances of their marriage.</w:t>
      </w:r>
    </w:p>
    <w:p w14:paraId="29E45A58" w14:textId="4166F51C" w:rsidR="00542FBF" w:rsidRDefault="00B058E1" w:rsidP="00544C1C">
      <w:pPr>
        <w:pStyle w:val="ListParagraph"/>
        <w:numPr>
          <w:ilvl w:val="0"/>
          <w:numId w:val="40"/>
        </w:numPr>
        <w:spacing w:before="240"/>
        <w:jc w:val="both"/>
        <w:rPr>
          <w:rFonts w:ascii="Book Antiqua" w:hAnsi="Book Antiqua"/>
        </w:rPr>
      </w:pPr>
      <w:r>
        <w:rPr>
          <w:rFonts w:ascii="Book Antiqua" w:hAnsi="Book Antiqua"/>
        </w:rPr>
        <w:t xml:space="preserve">After further questioning the judge concluded there was no marriage ceremony and did not accept there was any traditional marriage. The judge was critical of the fact they had not arranged a marriage in the United Kingdom. </w:t>
      </w:r>
    </w:p>
    <w:p w14:paraId="5ECAF641" w14:textId="1BAAEF33" w:rsidR="00AE7761" w:rsidRDefault="00542FBF" w:rsidP="00544C1C">
      <w:pPr>
        <w:pStyle w:val="ListParagraph"/>
        <w:numPr>
          <w:ilvl w:val="0"/>
          <w:numId w:val="40"/>
        </w:numPr>
        <w:spacing w:before="240"/>
        <w:jc w:val="both"/>
        <w:rPr>
          <w:rFonts w:ascii="Book Antiqua" w:hAnsi="Book Antiqua"/>
        </w:rPr>
      </w:pPr>
      <w:r>
        <w:rPr>
          <w:rFonts w:ascii="Book Antiqua" w:hAnsi="Book Antiqua"/>
        </w:rPr>
        <w:t>At p</w:t>
      </w:r>
      <w:r w:rsidR="00B058E1">
        <w:rPr>
          <w:rFonts w:ascii="Book Antiqua" w:hAnsi="Book Antiqua"/>
        </w:rPr>
        <w:t>aragraph 31 the judge referred to the demeanour of the appellant and RK as leading him to have grave doubts about their accounts. The judge referred to them looking uneasy in addressing straightforward matters. The judge referred to their evidence as incredible and contradictory</w:t>
      </w:r>
      <w:r>
        <w:rPr>
          <w:rFonts w:ascii="Book Antiqua" w:hAnsi="Book Antiqua"/>
        </w:rPr>
        <w:t>,</w:t>
      </w:r>
      <w:r w:rsidR="00B058E1">
        <w:rPr>
          <w:rFonts w:ascii="Book Antiqua" w:hAnsi="Book Antiqua"/>
        </w:rPr>
        <w:t xml:space="preserve"> with inconsistencies about the marriage proposal and the arrangements.</w:t>
      </w:r>
    </w:p>
    <w:p w14:paraId="1D4E6273" w14:textId="38F1DD05" w:rsidR="00026EB0" w:rsidRDefault="00026EB0" w:rsidP="00544C1C">
      <w:pPr>
        <w:pStyle w:val="ListParagraph"/>
        <w:numPr>
          <w:ilvl w:val="0"/>
          <w:numId w:val="40"/>
        </w:numPr>
        <w:spacing w:before="240"/>
        <w:jc w:val="both"/>
        <w:rPr>
          <w:rFonts w:ascii="Book Antiqua" w:hAnsi="Book Antiqua"/>
        </w:rPr>
      </w:pPr>
      <w:r>
        <w:rPr>
          <w:rFonts w:ascii="Book Antiqua" w:hAnsi="Book Antiqua"/>
        </w:rPr>
        <w:t xml:space="preserve">The judge referred to the birth registration in the United </w:t>
      </w:r>
      <w:r w:rsidR="00542FBF">
        <w:rPr>
          <w:rFonts w:ascii="Book Antiqua" w:hAnsi="Book Antiqua"/>
        </w:rPr>
        <w:t>Kingdom. Referring</w:t>
      </w:r>
      <w:r>
        <w:rPr>
          <w:rFonts w:ascii="Book Antiqua" w:hAnsi="Book Antiqua"/>
        </w:rPr>
        <w:t xml:space="preserve"> to the negative credibility view formed </w:t>
      </w:r>
      <w:r w:rsidR="00542FBF">
        <w:rPr>
          <w:rFonts w:ascii="Book Antiqua" w:hAnsi="Book Antiqua"/>
        </w:rPr>
        <w:t xml:space="preserve">the judge found </w:t>
      </w:r>
      <w:r>
        <w:rPr>
          <w:rFonts w:ascii="Book Antiqua" w:hAnsi="Book Antiqua"/>
        </w:rPr>
        <w:t>reliance could not be placed upon the</w:t>
      </w:r>
      <w:r w:rsidR="00542FBF">
        <w:rPr>
          <w:rFonts w:ascii="Book Antiqua" w:hAnsi="Book Antiqua"/>
        </w:rPr>
        <w:t xml:space="preserve"> birth certificate</w:t>
      </w:r>
      <w:r>
        <w:rPr>
          <w:rFonts w:ascii="Book Antiqua" w:hAnsi="Book Antiqua"/>
        </w:rPr>
        <w:t xml:space="preserve">. The judge concluded by finding that the relationship was not genuine and subsisting and did not place any reliance upon the documentation produced. The judge also rejected photographs and documentation in support of the </w:t>
      </w:r>
      <w:r w:rsidR="00542FBF">
        <w:rPr>
          <w:rFonts w:ascii="Book Antiqua" w:hAnsi="Book Antiqua"/>
        </w:rPr>
        <w:t xml:space="preserve">ongoing </w:t>
      </w:r>
      <w:r>
        <w:rPr>
          <w:rFonts w:ascii="Book Antiqua" w:hAnsi="Book Antiqua"/>
        </w:rPr>
        <w:t>relationship</w:t>
      </w:r>
      <w:r w:rsidR="00542FBF">
        <w:rPr>
          <w:rFonts w:ascii="Book Antiqua" w:hAnsi="Book Antiqua"/>
        </w:rPr>
        <w:t>,</w:t>
      </w:r>
      <w:r>
        <w:rPr>
          <w:rFonts w:ascii="Book Antiqua" w:hAnsi="Book Antiqua"/>
        </w:rPr>
        <w:t xml:space="preserve"> describing the appellant and RK as consummate liars (para 32 ). </w:t>
      </w:r>
    </w:p>
    <w:p w14:paraId="698E23A8" w14:textId="77777777" w:rsidR="00026EB0" w:rsidRDefault="00026EB0" w:rsidP="00544C1C">
      <w:pPr>
        <w:pStyle w:val="ListParagraph"/>
        <w:numPr>
          <w:ilvl w:val="0"/>
          <w:numId w:val="40"/>
        </w:numPr>
        <w:spacing w:before="240"/>
        <w:jc w:val="both"/>
        <w:rPr>
          <w:rFonts w:ascii="Book Antiqua" w:hAnsi="Book Antiqua"/>
        </w:rPr>
      </w:pPr>
      <w:r>
        <w:rPr>
          <w:rFonts w:ascii="Book Antiqua" w:hAnsi="Book Antiqua"/>
        </w:rPr>
        <w:t>At paragraph 33 the judge refers to the absence of corroboration that the Karuna group pose a threat to the appellant.</w:t>
      </w:r>
    </w:p>
    <w:p w14:paraId="0DC27E1D" w14:textId="7FD2C024" w:rsidR="00026EB0" w:rsidRDefault="00026EB0" w:rsidP="00544C1C">
      <w:pPr>
        <w:pStyle w:val="ListParagraph"/>
        <w:numPr>
          <w:ilvl w:val="0"/>
          <w:numId w:val="40"/>
        </w:numPr>
        <w:spacing w:before="240"/>
        <w:jc w:val="both"/>
        <w:rPr>
          <w:rFonts w:ascii="Book Antiqua" w:hAnsi="Book Antiqua"/>
        </w:rPr>
      </w:pPr>
      <w:r>
        <w:rPr>
          <w:rFonts w:ascii="Book Antiqua" w:hAnsi="Book Antiqua"/>
        </w:rPr>
        <w:t xml:space="preserve">The judge deals with the child in 4 short paragraphs. The judge found that her best interests were in remaining with </w:t>
      </w:r>
      <w:r w:rsidR="00E33507">
        <w:rPr>
          <w:rFonts w:ascii="Book Antiqua" w:hAnsi="Book Antiqua"/>
        </w:rPr>
        <w:t>her</w:t>
      </w:r>
      <w:r>
        <w:rPr>
          <w:rFonts w:ascii="Book Antiqua" w:hAnsi="Book Antiqua"/>
        </w:rPr>
        <w:t xml:space="preserve"> parents but did not believe this was a family unit </w:t>
      </w:r>
      <w:r w:rsidR="00542FBF">
        <w:rPr>
          <w:rFonts w:ascii="Book Antiqua" w:hAnsi="Book Antiqua"/>
        </w:rPr>
        <w:t>.</w:t>
      </w:r>
      <w:r w:rsidR="00542FBF" w:rsidRPr="00542FBF">
        <w:rPr>
          <w:rFonts w:ascii="Book Antiqua" w:hAnsi="Book Antiqua"/>
        </w:rPr>
        <w:t xml:space="preserve"> </w:t>
      </w:r>
      <w:r w:rsidR="00542FBF">
        <w:rPr>
          <w:rFonts w:ascii="Book Antiqua" w:hAnsi="Book Antiqua"/>
        </w:rPr>
        <w:t>Such was the judge’s level of distrust of the account given he said he</w:t>
      </w:r>
      <w:r>
        <w:rPr>
          <w:rFonts w:ascii="Book Antiqua" w:hAnsi="Book Antiqua"/>
        </w:rPr>
        <w:t xml:space="preserve"> would only accept this if there were incontrovertible DNA evidence. In the alternative, if they were a family unit the judge did not accept that RK could not return to Sri Lanka</w:t>
      </w:r>
      <w:r w:rsidR="00542FBF">
        <w:rPr>
          <w:rFonts w:ascii="Book Antiqua" w:hAnsi="Book Antiqua"/>
        </w:rPr>
        <w:t>,</w:t>
      </w:r>
      <w:r>
        <w:rPr>
          <w:rFonts w:ascii="Book Antiqua" w:hAnsi="Book Antiqua"/>
        </w:rPr>
        <w:t xml:space="preserve"> pointing out he was not someone with refugee status. The judge concluded that the children are not British citizens and that the whole case was based on deception. The judge concluded that if the</w:t>
      </w:r>
      <w:r w:rsidR="00E33507">
        <w:rPr>
          <w:rFonts w:ascii="Book Antiqua" w:hAnsi="Book Antiqua"/>
        </w:rPr>
        <w:t>y</w:t>
      </w:r>
      <w:r>
        <w:rPr>
          <w:rFonts w:ascii="Book Antiqua" w:hAnsi="Book Antiqua"/>
        </w:rPr>
        <w:t xml:space="preserve"> were a family unit they could return to Sri Lanka. </w:t>
      </w:r>
    </w:p>
    <w:p w14:paraId="5F6E0700" w14:textId="77777777" w:rsidR="00026EB0" w:rsidRPr="00026EB0" w:rsidRDefault="00026EB0" w:rsidP="00544C1C">
      <w:pPr>
        <w:spacing w:before="240"/>
        <w:jc w:val="both"/>
        <w:rPr>
          <w:rFonts w:ascii="Book Antiqua" w:hAnsi="Book Antiqua"/>
          <w:u w:val="single"/>
        </w:rPr>
      </w:pPr>
      <w:r w:rsidRPr="00026EB0">
        <w:rPr>
          <w:rFonts w:ascii="Book Antiqua" w:hAnsi="Book Antiqua"/>
          <w:u w:val="single"/>
        </w:rPr>
        <w:t>The Upper Tribunal.</w:t>
      </w:r>
    </w:p>
    <w:p w14:paraId="7A93A866" w14:textId="34D1E985" w:rsidR="00393A32" w:rsidRDefault="00E33507" w:rsidP="00544C1C">
      <w:pPr>
        <w:pStyle w:val="ListParagraph"/>
        <w:numPr>
          <w:ilvl w:val="0"/>
          <w:numId w:val="40"/>
        </w:numPr>
        <w:spacing w:before="240"/>
        <w:jc w:val="both"/>
        <w:rPr>
          <w:rFonts w:ascii="Book Antiqua" w:hAnsi="Book Antiqua"/>
        </w:rPr>
      </w:pPr>
      <w:r>
        <w:rPr>
          <w:rFonts w:ascii="Book Antiqua" w:hAnsi="Book Antiqua"/>
        </w:rPr>
        <w:t xml:space="preserve">The permission to appeal application argues that the respondent had not disputed that RK was the father of the appellant’s daughter. It was pointed out he was named on the child’s birth certificate. The judge in requiring DNA evidence before being satisfied was to impose to high and evidential standard. It was argued that RK could not return to Sri Lanka because albeit he was not confirmed as a refugee in his appeal the judge had found the family were at risk and </w:t>
      </w:r>
      <w:r w:rsidR="00393A32">
        <w:rPr>
          <w:rFonts w:ascii="Book Antiqua" w:hAnsi="Book Antiqua"/>
        </w:rPr>
        <w:t xml:space="preserve">his circumstances were linked to that of his father who had been granted refugee status. </w:t>
      </w:r>
    </w:p>
    <w:p w14:paraId="0E9F6FAB" w14:textId="77777777" w:rsidR="00393A32" w:rsidRDefault="00393A32" w:rsidP="00544C1C">
      <w:pPr>
        <w:pStyle w:val="ListParagraph"/>
        <w:numPr>
          <w:ilvl w:val="0"/>
          <w:numId w:val="40"/>
        </w:numPr>
        <w:spacing w:before="240"/>
        <w:jc w:val="both"/>
        <w:rPr>
          <w:rFonts w:ascii="Book Antiqua" w:hAnsi="Book Antiqua"/>
        </w:rPr>
      </w:pPr>
      <w:r w:rsidRPr="00393A32">
        <w:rPr>
          <w:rFonts w:ascii="Book Antiqua" w:hAnsi="Book Antiqua"/>
        </w:rPr>
        <w:t>Permission to appeal was granted on the basis it was arguable that the judge erred in not accepting paternity of the appellant’s child when this was not an issue. It was also arguable that the judge relied on the respondent’s refusal letter without considering the issues in light of all of the evidence</w:t>
      </w:r>
      <w:r>
        <w:rPr>
          <w:rFonts w:ascii="Book Antiqua" w:hAnsi="Book Antiqua"/>
        </w:rPr>
        <w:t>.</w:t>
      </w:r>
    </w:p>
    <w:p w14:paraId="4326BDD3" w14:textId="01BB1C9F" w:rsidR="00393A32" w:rsidRDefault="00393A32" w:rsidP="00544C1C">
      <w:pPr>
        <w:pStyle w:val="ListParagraph"/>
        <w:numPr>
          <w:ilvl w:val="0"/>
          <w:numId w:val="40"/>
        </w:numPr>
        <w:spacing w:before="240"/>
        <w:jc w:val="both"/>
        <w:rPr>
          <w:rFonts w:ascii="Book Antiqua" w:hAnsi="Book Antiqua"/>
        </w:rPr>
      </w:pPr>
      <w:r>
        <w:rPr>
          <w:rFonts w:ascii="Book Antiqua" w:hAnsi="Book Antiqua"/>
        </w:rPr>
        <w:lastRenderedPageBreak/>
        <w:t>At hearing the grounds in the permission application were developed by</w:t>
      </w:r>
      <w:r w:rsidRPr="00393A32">
        <w:rPr>
          <w:rFonts w:ascii="Book Antiqua" w:hAnsi="Book Antiqua"/>
        </w:rPr>
        <w:t xml:space="preserve"> </w:t>
      </w:r>
      <w:r>
        <w:rPr>
          <w:rFonts w:ascii="Book Antiqua" w:hAnsi="Book Antiqua"/>
        </w:rPr>
        <w:t xml:space="preserve">Miss S Tabassum. She set out RK circumstances whereby his family members were granted refugee </w:t>
      </w:r>
      <w:r w:rsidR="002E0C24">
        <w:rPr>
          <w:rFonts w:ascii="Book Antiqua" w:hAnsi="Book Antiqua"/>
        </w:rPr>
        <w:t>status,</w:t>
      </w:r>
      <w:r>
        <w:rPr>
          <w:rFonts w:ascii="Book Antiqua" w:hAnsi="Book Antiqua"/>
        </w:rPr>
        <w:t xml:space="preserve"> but he was overage and so was granted leave outside the rules. The judge had refused to acknowledge he would have difficulties in Sri Lanka. </w:t>
      </w:r>
    </w:p>
    <w:p w14:paraId="3B1FF883" w14:textId="77777777" w:rsidR="00393A32" w:rsidRDefault="00393A32" w:rsidP="00544C1C">
      <w:pPr>
        <w:pStyle w:val="ListParagraph"/>
        <w:numPr>
          <w:ilvl w:val="0"/>
          <w:numId w:val="40"/>
        </w:numPr>
        <w:spacing w:before="240"/>
        <w:jc w:val="both"/>
        <w:rPr>
          <w:rFonts w:ascii="Book Antiqua" w:hAnsi="Book Antiqua"/>
        </w:rPr>
      </w:pPr>
      <w:r>
        <w:rPr>
          <w:rFonts w:ascii="Book Antiqua" w:hAnsi="Book Antiqua"/>
        </w:rPr>
        <w:t xml:space="preserve">The judge had refused to place reliance upon the birth certificates and had required DNA evidence before being satisfied of paternity. She submitted this was to impose to higher standard of proof. Paternity had not been disputed in the refusal letter. </w:t>
      </w:r>
    </w:p>
    <w:p w14:paraId="601019A2" w14:textId="329ACF80" w:rsidR="00CC2C80" w:rsidRDefault="00393A32" w:rsidP="00544C1C">
      <w:pPr>
        <w:pStyle w:val="ListParagraph"/>
        <w:numPr>
          <w:ilvl w:val="0"/>
          <w:numId w:val="40"/>
        </w:numPr>
        <w:spacing w:before="240"/>
        <w:jc w:val="both"/>
        <w:rPr>
          <w:rFonts w:ascii="Book Antiqua" w:hAnsi="Book Antiqua"/>
        </w:rPr>
      </w:pPr>
      <w:bookmarkStart w:id="6" w:name="_Hlk522049583"/>
      <w:r>
        <w:rPr>
          <w:rFonts w:ascii="Book Antiqua" w:hAnsi="Book Antiqua"/>
        </w:rPr>
        <w:t xml:space="preserve">Mr. Bates </w:t>
      </w:r>
      <w:bookmarkEnd w:id="6"/>
      <w:r>
        <w:rPr>
          <w:rFonts w:ascii="Book Antiqua" w:hAnsi="Book Antiqua"/>
        </w:rPr>
        <w:t xml:space="preserve">acknowledge that the genuineness of the relationship between the appellant and RK was central to the claim as her claim was that she was at risk because of her association with her in-laws. Her father had left the country in 2005 and she only referred to problems after she became involved with RK. The Secretary of State did not accept </w:t>
      </w:r>
      <w:r w:rsidR="00CC2C80">
        <w:rPr>
          <w:rFonts w:ascii="Book Antiqua" w:hAnsi="Book Antiqua"/>
        </w:rPr>
        <w:t xml:space="preserve">the claimed relationship between the appellant and RK and so impliedly were not accepting paternity either. He accepted there was no requirement for DNA evidence but pointed out that birth certificates are dependent upon the information </w:t>
      </w:r>
      <w:r w:rsidR="002E0C24">
        <w:rPr>
          <w:rFonts w:ascii="Book Antiqua" w:hAnsi="Book Antiqua"/>
        </w:rPr>
        <w:t>told</w:t>
      </w:r>
      <w:r w:rsidR="00CC2C80">
        <w:rPr>
          <w:rFonts w:ascii="Book Antiqua" w:hAnsi="Book Antiqua"/>
        </w:rPr>
        <w:t xml:space="preserve"> the registrar. The judge had applied the principles in </w:t>
      </w:r>
      <w:r w:rsidR="002E0C24" w:rsidRPr="00CC2C80">
        <w:rPr>
          <w:rFonts w:ascii="Book Antiqua" w:hAnsi="Book Antiqua"/>
          <w:u w:val="single"/>
        </w:rPr>
        <w:t>Tanveer</w:t>
      </w:r>
      <w:r w:rsidR="00CC2C80" w:rsidRPr="00CC2C80">
        <w:rPr>
          <w:rFonts w:ascii="Book Antiqua" w:hAnsi="Book Antiqua"/>
          <w:u w:val="single"/>
        </w:rPr>
        <w:t xml:space="preserve"> Ahmed</w:t>
      </w:r>
      <w:r w:rsidR="00CC2C80">
        <w:rPr>
          <w:rFonts w:ascii="Book Antiqua" w:hAnsi="Book Antiqua"/>
        </w:rPr>
        <w:t xml:space="preserve"> to the documents </w:t>
      </w:r>
      <w:r>
        <w:rPr>
          <w:rFonts w:ascii="Book Antiqua" w:hAnsi="Book Antiqua"/>
        </w:rPr>
        <w:t xml:space="preserve">PK. </w:t>
      </w:r>
      <w:r w:rsidR="00CC2C80">
        <w:rPr>
          <w:rFonts w:ascii="Book Antiqua" w:hAnsi="Book Antiqua"/>
        </w:rPr>
        <w:t xml:space="preserve">He contended that given that the refusal letter had queried the relationship it would not have been unreasonable to expect the appellant as part of her proofs to seek DNA evidence. He submitted that at the time of the hearing the appellant child had not been accepted as a British citizen and the position was still undetermined. </w:t>
      </w:r>
    </w:p>
    <w:p w14:paraId="660561F8" w14:textId="306A0A90" w:rsidR="00CC2C80" w:rsidRDefault="00CC2C80" w:rsidP="00544C1C">
      <w:pPr>
        <w:spacing w:before="240"/>
        <w:jc w:val="both"/>
        <w:rPr>
          <w:rFonts w:ascii="Book Antiqua" w:hAnsi="Book Antiqua"/>
          <w:u w:val="single"/>
        </w:rPr>
      </w:pPr>
      <w:r w:rsidRPr="00CC2C80">
        <w:rPr>
          <w:rFonts w:ascii="Book Antiqua" w:hAnsi="Book Antiqua"/>
          <w:u w:val="single"/>
        </w:rPr>
        <w:t>Conclusions.</w:t>
      </w:r>
    </w:p>
    <w:p w14:paraId="08CE4F2E" w14:textId="76E998F4" w:rsidR="00CC2C80" w:rsidRPr="00CD2795" w:rsidRDefault="005A2979" w:rsidP="00544C1C">
      <w:pPr>
        <w:pStyle w:val="ListParagraph"/>
        <w:numPr>
          <w:ilvl w:val="0"/>
          <w:numId w:val="40"/>
        </w:numPr>
        <w:spacing w:before="240"/>
        <w:jc w:val="both"/>
        <w:rPr>
          <w:rFonts w:ascii="Book Antiqua" w:hAnsi="Book Antiqua"/>
        </w:rPr>
      </w:pPr>
      <w:r>
        <w:rPr>
          <w:rFonts w:ascii="Book Antiqua" w:hAnsi="Book Antiqua"/>
        </w:rPr>
        <w:t>There was no presenting officer in attendance before First-tier Judge Tobin.</w:t>
      </w:r>
      <w:r w:rsidRPr="00CD2795">
        <w:rPr>
          <w:rFonts w:ascii="Book Antiqua" w:hAnsi="Book Antiqua" w:cs="Arial"/>
          <w:color w:val="010101"/>
        </w:rPr>
        <w:t xml:space="preserve"> </w:t>
      </w:r>
      <w:r w:rsidR="00CD2795">
        <w:rPr>
          <w:rFonts w:ascii="Book Antiqua" w:hAnsi="Book Antiqua" w:cs="Arial"/>
          <w:color w:val="010101"/>
        </w:rPr>
        <w:t>Generally, in the absence of a presenting officer the reasons for refusal letter can be taken as the basis of the respondent’s case. If the judge feels there are particular issues not covered then he should mention this to the appellant’s representative. In the instant case the reasons for refusal letter clearly disputes the claimed relationship between the appellant and RK. I take Mr Bates point that impliedly therefore the paternity of the appellant’s child was not accepted. Nevertheless, to approach an appeal on the basis of something implied is to move away from a sound foundation.</w:t>
      </w:r>
    </w:p>
    <w:p w14:paraId="6604CDE2" w14:textId="3E8CBCFA" w:rsidR="00CD2795" w:rsidRPr="00CD2795" w:rsidRDefault="00CD2795" w:rsidP="00544C1C">
      <w:pPr>
        <w:pStyle w:val="ListParagraph"/>
        <w:numPr>
          <w:ilvl w:val="0"/>
          <w:numId w:val="40"/>
        </w:numPr>
        <w:spacing w:before="240"/>
        <w:jc w:val="both"/>
        <w:rPr>
          <w:rFonts w:ascii="Book Antiqua" w:hAnsi="Book Antiqua"/>
        </w:rPr>
      </w:pPr>
      <w:r w:rsidRPr="00CD2795">
        <w:rPr>
          <w:rFonts w:ascii="Book Antiqua" w:hAnsi="Book Antiqua" w:cs="Arial"/>
          <w:iCs/>
          <w:color w:val="010101"/>
          <w:u w:val="single"/>
        </w:rPr>
        <w:t>Surendran v SSHD</w:t>
      </w:r>
      <w:r w:rsidRPr="00CD2795">
        <w:rPr>
          <w:rFonts w:ascii="Book Antiqua" w:hAnsi="Book Antiqua" w:cs="Arial"/>
          <w:color w:val="010101"/>
        </w:rPr>
        <w:t>  set out guidelines for judges where the Home Office was unrepresented.</w:t>
      </w:r>
      <w:r>
        <w:rPr>
          <w:rFonts w:ascii="Book Antiqua" w:hAnsi="Book Antiqua" w:cs="Arial"/>
          <w:color w:val="010101"/>
        </w:rPr>
        <w:t xml:space="preserve"> Whilst this has not been raised in the grounds of the application the decision does not indicate this guidance was followed. The </w:t>
      </w:r>
      <w:r w:rsidR="002E0C24">
        <w:rPr>
          <w:rFonts w:ascii="Book Antiqua" w:hAnsi="Book Antiqua" w:cs="Arial"/>
          <w:color w:val="010101"/>
        </w:rPr>
        <w:t>guidance</w:t>
      </w:r>
      <w:r>
        <w:rPr>
          <w:rFonts w:ascii="Book Antiqua" w:hAnsi="Book Antiqua" w:cs="Arial"/>
          <w:color w:val="010101"/>
        </w:rPr>
        <w:t xml:space="preserve"> is that the judge raises issues of concern with the appellant’s representative</w:t>
      </w:r>
      <w:r w:rsidR="002E0C24">
        <w:rPr>
          <w:rFonts w:ascii="Book Antiqua" w:hAnsi="Book Antiqua" w:cs="Arial"/>
          <w:color w:val="010101"/>
        </w:rPr>
        <w:t>,</w:t>
      </w:r>
      <w:r>
        <w:rPr>
          <w:rFonts w:ascii="Book Antiqua" w:hAnsi="Book Antiqua" w:cs="Arial"/>
          <w:color w:val="010101"/>
        </w:rPr>
        <w:t xml:space="preserve"> asking them to go over this with the appellant. This is far from ideal however because it can place the representative in an invidious position. The aim however is to avoid the judge entering the arena and cross-examining the appellant and the witnesses. Sometimes in practice the judge will find it more effective to avoid the middleman as it were and ask the areas of concern </w:t>
      </w:r>
      <w:r w:rsidR="0052749D">
        <w:rPr>
          <w:rFonts w:ascii="Book Antiqua" w:hAnsi="Book Antiqua" w:cs="Arial"/>
          <w:color w:val="010101"/>
        </w:rPr>
        <w:t>directly,</w:t>
      </w:r>
      <w:r w:rsidR="002E0C24">
        <w:rPr>
          <w:rFonts w:ascii="Book Antiqua" w:hAnsi="Book Antiqua" w:cs="Arial"/>
          <w:color w:val="010101"/>
        </w:rPr>
        <w:t xml:space="preserve"> </w:t>
      </w:r>
      <w:r>
        <w:rPr>
          <w:rFonts w:ascii="Book Antiqua" w:hAnsi="Book Antiqua" w:cs="Arial"/>
          <w:color w:val="010101"/>
        </w:rPr>
        <w:t>but this must be done with restraint. The impression from the decision is that the judge did in fact enter the arena and effectively cross-examine</w:t>
      </w:r>
      <w:r w:rsidR="002E0C24">
        <w:rPr>
          <w:rFonts w:ascii="Book Antiqua" w:hAnsi="Book Antiqua" w:cs="Arial"/>
          <w:color w:val="010101"/>
        </w:rPr>
        <w:t>d</w:t>
      </w:r>
      <w:r>
        <w:rPr>
          <w:rFonts w:ascii="Book Antiqua" w:hAnsi="Book Antiqua" w:cs="Arial"/>
          <w:color w:val="010101"/>
        </w:rPr>
        <w:t xml:space="preserve"> the appellant. </w:t>
      </w:r>
      <w:r w:rsidR="00A711B2">
        <w:rPr>
          <w:rFonts w:ascii="Book Antiqua" w:hAnsi="Book Antiqua" w:cs="Arial"/>
          <w:color w:val="010101"/>
        </w:rPr>
        <w:t>In fairness there is no record of the appellant’s representative raising this issue with the judge.</w:t>
      </w:r>
    </w:p>
    <w:p w14:paraId="6C80C177" w14:textId="2270FF91" w:rsidR="002E0C24" w:rsidRPr="002E0C24" w:rsidRDefault="00CD2795" w:rsidP="00544C1C">
      <w:pPr>
        <w:pStyle w:val="ListParagraph"/>
        <w:numPr>
          <w:ilvl w:val="0"/>
          <w:numId w:val="40"/>
        </w:numPr>
        <w:spacing w:before="240"/>
        <w:jc w:val="both"/>
        <w:rPr>
          <w:rFonts w:ascii="Book Antiqua" w:hAnsi="Book Antiqua"/>
        </w:rPr>
      </w:pPr>
      <w:r w:rsidRPr="00A711B2">
        <w:rPr>
          <w:rFonts w:ascii="Book Antiqua" w:hAnsi="Book Antiqua" w:cs="Arial"/>
          <w:color w:val="010101"/>
        </w:rPr>
        <w:lastRenderedPageBreak/>
        <w:t xml:space="preserve">The judge clearly formed an adverse view of the appellant and RK. It was a matter for the judge to assess their evidence and to decide what weight to attach to it. Whilst firm </w:t>
      </w:r>
      <w:r w:rsidR="00A711B2" w:rsidRPr="00A711B2">
        <w:rPr>
          <w:rFonts w:ascii="Book Antiqua" w:hAnsi="Book Antiqua" w:cs="Arial"/>
          <w:color w:val="010101"/>
        </w:rPr>
        <w:t xml:space="preserve">conclusions are desirable </w:t>
      </w:r>
      <w:r w:rsidR="002E0C24">
        <w:rPr>
          <w:rFonts w:ascii="Book Antiqua" w:hAnsi="Book Antiqua" w:cs="Arial"/>
          <w:color w:val="010101"/>
        </w:rPr>
        <w:t xml:space="preserve">and robust expressions add to clarity </w:t>
      </w:r>
      <w:r w:rsidR="00A711B2" w:rsidRPr="00A711B2">
        <w:rPr>
          <w:rFonts w:ascii="Book Antiqua" w:hAnsi="Book Antiqua" w:cs="Arial"/>
          <w:color w:val="010101"/>
        </w:rPr>
        <w:t xml:space="preserve">the judge </w:t>
      </w:r>
      <w:r w:rsidR="002E0C24">
        <w:rPr>
          <w:rFonts w:ascii="Book Antiqua" w:hAnsi="Book Antiqua" w:cs="Arial"/>
          <w:color w:val="010101"/>
        </w:rPr>
        <w:t xml:space="preserve">here </w:t>
      </w:r>
      <w:r w:rsidR="00A711B2" w:rsidRPr="00A711B2">
        <w:rPr>
          <w:rFonts w:ascii="Book Antiqua" w:hAnsi="Book Antiqua" w:cs="Arial"/>
          <w:color w:val="010101"/>
        </w:rPr>
        <w:t>on occasion uses intemperate expression</w:t>
      </w:r>
      <w:r w:rsidR="002E0C24">
        <w:rPr>
          <w:rFonts w:ascii="Book Antiqua" w:hAnsi="Book Antiqua" w:cs="Arial"/>
          <w:color w:val="010101"/>
        </w:rPr>
        <w:t>s</w:t>
      </w:r>
      <w:r w:rsidR="00A711B2" w:rsidRPr="00A711B2">
        <w:rPr>
          <w:rFonts w:ascii="Book Antiqua" w:hAnsi="Book Antiqua" w:cs="Arial"/>
          <w:color w:val="010101"/>
        </w:rPr>
        <w:t xml:space="preserve"> which undermine the decision. For instance, there is reference to the </w:t>
      </w:r>
      <w:r w:rsidR="0052749D" w:rsidRPr="00A711B2">
        <w:rPr>
          <w:rFonts w:ascii="Book Antiqua" w:hAnsi="Book Antiqua" w:cs="Arial"/>
          <w:color w:val="010101"/>
        </w:rPr>
        <w:t>party’s</w:t>
      </w:r>
      <w:r w:rsidR="00A711B2" w:rsidRPr="00A711B2">
        <w:rPr>
          <w:rFonts w:ascii="Book Antiqua" w:hAnsi="Book Antiqua" w:cs="Arial"/>
          <w:color w:val="010101"/>
        </w:rPr>
        <w:t xml:space="preserve"> demeanour which in general is not considered to be a reliable guide for the assessment of credibility. There is reference to an absence of corroborative evidence</w:t>
      </w:r>
      <w:r w:rsidR="002E0C24">
        <w:rPr>
          <w:rFonts w:ascii="Book Antiqua" w:hAnsi="Book Antiqua" w:cs="Arial"/>
          <w:color w:val="010101"/>
        </w:rPr>
        <w:t>,</w:t>
      </w:r>
      <w:r w:rsidR="00A711B2" w:rsidRPr="00A711B2">
        <w:rPr>
          <w:rFonts w:ascii="Book Antiqua" w:hAnsi="Book Antiqua" w:cs="Arial"/>
          <w:color w:val="010101"/>
        </w:rPr>
        <w:t xml:space="preserve"> for instance of threats from </w:t>
      </w:r>
      <w:r w:rsidR="00A711B2" w:rsidRPr="00A711B2">
        <w:rPr>
          <w:rFonts w:ascii="Book Antiqua" w:hAnsi="Book Antiqua"/>
        </w:rPr>
        <w:t>Karuna</w:t>
      </w:r>
      <w:r w:rsidR="002E0C24">
        <w:rPr>
          <w:rFonts w:ascii="Book Antiqua" w:hAnsi="Book Antiqua"/>
        </w:rPr>
        <w:t>,</w:t>
      </w:r>
      <w:r w:rsidR="00A711B2" w:rsidRPr="00A711B2">
        <w:rPr>
          <w:rFonts w:ascii="Book Antiqua" w:hAnsi="Book Antiqua" w:cs="Arial"/>
          <w:color w:val="010101"/>
        </w:rPr>
        <w:t xml:space="preserve"> when there is no requirement for corroboration. </w:t>
      </w:r>
      <w:r w:rsidR="00A711B2">
        <w:rPr>
          <w:rFonts w:ascii="Book Antiqua" w:hAnsi="Book Antiqua" w:cs="Arial"/>
          <w:color w:val="010101"/>
        </w:rPr>
        <w:t xml:space="preserve">These points have not been raised in the </w:t>
      </w:r>
      <w:r w:rsidR="0052749D">
        <w:rPr>
          <w:rFonts w:ascii="Book Antiqua" w:hAnsi="Book Antiqua" w:cs="Arial"/>
          <w:color w:val="010101"/>
        </w:rPr>
        <w:t>application,</w:t>
      </w:r>
      <w:r w:rsidR="00A711B2">
        <w:rPr>
          <w:rFonts w:ascii="Book Antiqua" w:hAnsi="Book Antiqua" w:cs="Arial"/>
          <w:color w:val="010101"/>
        </w:rPr>
        <w:t xml:space="preserve"> but I refer to them to place the issue of paternity in context.</w:t>
      </w:r>
    </w:p>
    <w:p w14:paraId="7E6D110C" w14:textId="4E095190" w:rsidR="002E0C24" w:rsidRPr="002E0C24" w:rsidRDefault="00A711B2" w:rsidP="00544C1C">
      <w:pPr>
        <w:pStyle w:val="ListParagraph"/>
        <w:numPr>
          <w:ilvl w:val="0"/>
          <w:numId w:val="40"/>
        </w:numPr>
        <w:spacing w:before="240"/>
        <w:jc w:val="both"/>
        <w:rPr>
          <w:rFonts w:ascii="Book Antiqua" w:hAnsi="Book Antiqua"/>
        </w:rPr>
      </w:pPr>
      <w:r>
        <w:rPr>
          <w:rFonts w:ascii="Book Antiqua" w:hAnsi="Book Antiqua" w:cs="Arial"/>
          <w:color w:val="010101"/>
        </w:rPr>
        <w:t>The judge dismisses the birth certificate out of hand without any discussion of the legal presumptions which arise</w:t>
      </w:r>
      <w:r w:rsidR="00735138">
        <w:rPr>
          <w:rFonts w:ascii="Book Antiqua" w:hAnsi="Book Antiqua" w:cs="Arial"/>
          <w:color w:val="010101"/>
        </w:rPr>
        <w:t xml:space="preserve"> </w:t>
      </w:r>
      <w:r w:rsidR="002E0C24">
        <w:rPr>
          <w:rFonts w:ascii="Book Antiqua" w:hAnsi="Book Antiqua" w:cs="Arial"/>
          <w:color w:val="010101"/>
        </w:rPr>
        <w:t>(</w:t>
      </w:r>
      <w:r w:rsidR="00735138">
        <w:rPr>
          <w:rFonts w:ascii="Book Antiqua" w:hAnsi="Book Antiqua" w:cs="Arial"/>
          <w:color w:val="010101"/>
        </w:rPr>
        <w:t xml:space="preserve">as it </w:t>
      </w:r>
      <w:proofErr w:type="gramStart"/>
      <w:r w:rsidR="00735138">
        <w:rPr>
          <w:rFonts w:ascii="Book Antiqua" w:hAnsi="Book Antiqua" w:cs="Arial"/>
          <w:color w:val="010101"/>
        </w:rPr>
        <w:t>pre dates</w:t>
      </w:r>
      <w:proofErr w:type="gramEnd"/>
      <w:r w:rsidR="00735138">
        <w:rPr>
          <w:rFonts w:ascii="Book Antiqua" w:hAnsi="Book Antiqua" w:cs="Arial"/>
          <w:color w:val="010101"/>
        </w:rPr>
        <w:t xml:space="preserve"> the 10</w:t>
      </w:r>
      <w:r w:rsidR="00735138" w:rsidRPr="00735138">
        <w:rPr>
          <w:rFonts w:ascii="Book Antiqua" w:hAnsi="Book Antiqua" w:cs="Arial"/>
          <w:color w:val="010101"/>
          <w:vertAlign w:val="superscript"/>
        </w:rPr>
        <w:t>th</w:t>
      </w:r>
      <w:r w:rsidR="00735138">
        <w:rPr>
          <w:rFonts w:ascii="Book Antiqua" w:hAnsi="Book Antiqua" w:cs="Arial"/>
          <w:color w:val="010101"/>
        </w:rPr>
        <w:t xml:space="preserve"> Sept. 2015 </w:t>
      </w:r>
      <w:r w:rsidR="002E0C24">
        <w:rPr>
          <w:rFonts w:ascii="Book Antiqua" w:hAnsi="Book Antiqua" w:cs="Arial"/>
          <w:color w:val="010101"/>
        </w:rPr>
        <w:t xml:space="preserve">changes </w:t>
      </w:r>
      <w:r w:rsidR="00735138">
        <w:rPr>
          <w:rFonts w:ascii="Book Antiqua" w:hAnsi="Book Antiqua" w:cs="Arial"/>
          <w:color w:val="010101"/>
        </w:rPr>
        <w:t>by the Brit</w:t>
      </w:r>
      <w:r w:rsidR="002E0C24">
        <w:rPr>
          <w:rFonts w:ascii="Book Antiqua" w:hAnsi="Book Antiqua" w:cs="Arial"/>
          <w:color w:val="010101"/>
        </w:rPr>
        <w:t>ish</w:t>
      </w:r>
      <w:r w:rsidR="00735138">
        <w:rPr>
          <w:rFonts w:ascii="Book Antiqua" w:hAnsi="Book Antiqua" w:cs="Arial"/>
          <w:color w:val="010101"/>
        </w:rPr>
        <w:t xml:space="preserve"> Nat</w:t>
      </w:r>
      <w:r w:rsidR="002E0C24">
        <w:rPr>
          <w:rFonts w:ascii="Book Antiqua" w:hAnsi="Book Antiqua" w:cs="Arial"/>
          <w:color w:val="010101"/>
        </w:rPr>
        <w:t>ionality</w:t>
      </w:r>
      <w:r w:rsidR="00735138">
        <w:rPr>
          <w:rFonts w:ascii="Book Antiqua" w:hAnsi="Book Antiqua" w:cs="Arial"/>
          <w:color w:val="010101"/>
        </w:rPr>
        <w:t xml:space="preserve"> (Proof</w:t>
      </w:r>
      <w:r w:rsidR="002E0C24">
        <w:rPr>
          <w:rFonts w:ascii="Book Antiqua" w:hAnsi="Book Antiqua" w:cs="Arial"/>
          <w:color w:val="010101"/>
        </w:rPr>
        <w:t xml:space="preserve"> </w:t>
      </w:r>
      <w:r w:rsidR="00735138">
        <w:rPr>
          <w:rFonts w:ascii="Book Antiqua" w:hAnsi="Book Antiqua" w:cs="Arial"/>
          <w:color w:val="010101"/>
        </w:rPr>
        <w:t>of Pat</w:t>
      </w:r>
      <w:r w:rsidR="002E0C24">
        <w:rPr>
          <w:rFonts w:ascii="Book Antiqua" w:hAnsi="Book Antiqua" w:cs="Arial"/>
          <w:color w:val="010101"/>
        </w:rPr>
        <w:t>ernity</w:t>
      </w:r>
      <w:r w:rsidR="00735138">
        <w:rPr>
          <w:rFonts w:ascii="Book Antiqua" w:hAnsi="Book Antiqua" w:cs="Arial"/>
          <w:color w:val="010101"/>
        </w:rPr>
        <w:t>) Regs 2015</w:t>
      </w:r>
      <w:r>
        <w:rPr>
          <w:rFonts w:ascii="Book Antiqua" w:hAnsi="Book Antiqua" w:cs="Arial"/>
          <w:color w:val="010101"/>
        </w:rPr>
        <w:t>.</w:t>
      </w:r>
      <w:r w:rsidR="002E0C24" w:rsidRPr="002E0C24">
        <w:rPr>
          <w:rFonts w:ascii="Book Antiqua" w:hAnsi="Book Antiqua" w:cs="Arial"/>
          <w:color w:val="010101"/>
        </w:rPr>
        <w:t xml:space="preserve"> </w:t>
      </w:r>
      <w:r w:rsidR="002E0C24">
        <w:rPr>
          <w:rFonts w:ascii="Book Antiqua" w:hAnsi="Book Antiqua" w:cs="Arial"/>
          <w:color w:val="010101"/>
        </w:rPr>
        <w:t>The judge at paragraph 31 states `… There does appear to be two children…’ The papers I have only indicate the one child born on 22 January 2015. If there was a 2</w:t>
      </w:r>
      <w:r w:rsidR="002E0C24" w:rsidRPr="002160DE">
        <w:rPr>
          <w:rFonts w:ascii="Book Antiqua" w:hAnsi="Book Antiqua" w:cs="Arial"/>
          <w:color w:val="010101"/>
          <w:vertAlign w:val="superscript"/>
        </w:rPr>
        <w:t>nd</w:t>
      </w:r>
      <w:r w:rsidR="002E0C24">
        <w:rPr>
          <w:rFonts w:ascii="Book Antiqua" w:hAnsi="Book Antiqua" w:cs="Arial"/>
          <w:color w:val="010101"/>
        </w:rPr>
        <w:t xml:space="preserve"> child by the time of hearing in January 2018 this should have been explored more fully.</w:t>
      </w:r>
    </w:p>
    <w:p w14:paraId="39B6F610" w14:textId="089D76FD" w:rsidR="002160DE" w:rsidRPr="002E0C24" w:rsidRDefault="00735138" w:rsidP="00544C1C">
      <w:pPr>
        <w:pStyle w:val="ListParagraph"/>
        <w:numPr>
          <w:ilvl w:val="0"/>
          <w:numId w:val="40"/>
        </w:numPr>
        <w:spacing w:before="240"/>
        <w:jc w:val="both"/>
        <w:rPr>
          <w:rFonts w:ascii="Book Antiqua" w:hAnsi="Book Antiqua"/>
        </w:rPr>
      </w:pPr>
      <w:r>
        <w:rPr>
          <w:rFonts w:ascii="Book Antiqua" w:hAnsi="Book Antiqua" w:cs="Arial"/>
          <w:color w:val="010101"/>
        </w:rPr>
        <w:t xml:space="preserve">The judge clearly </w:t>
      </w:r>
      <w:r w:rsidR="002160DE">
        <w:rPr>
          <w:rFonts w:ascii="Book Antiqua" w:hAnsi="Book Antiqua" w:cs="Arial"/>
          <w:color w:val="010101"/>
        </w:rPr>
        <w:t xml:space="preserve">gave a prisoner to fortune in stating at paragraph 37 `I do not believe that this is a family unit. I would only believe it was if DNA evidence could be provided which was incontrovertible such </w:t>
      </w:r>
      <w:r w:rsidR="002E0C24">
        <w:rPr>
          <w:rFonts w:ascii="Book Antiqua" w:hAnsi="Book Antiqua" w:cs="Arial"/>
          <w:color w:val="010101"/>
        </w:rPr>
        <w:t>i</w:t>
      </w:r>
      <w:r w:rsidR="002160DE">
        <w:rPr>
          <w:rFonts w:ascii="Book Antiqua" w:hAnsi="Book Antiqua" w:cs="Arial"/>
          <w:color w:val="010101"/>
        </w:rPr>
        <w:t>s my level of distrust</w:t>
      </w:r>
      <w:r w:rsidR="002E0C24">
        <w:rPr>
          <w:rFonts w:ascii="Book Antiqua" w:hAnsi="Book Antiqua" w:cs="Arial"/>
          <w:color w:val="010101"/>
        </w:rPr>
        <w:t>…</w:t>
      </w:r>
      <w:r w:rsidR="002160DE">
        <w:rPr>
          <w:rFonts w:ascii="Book Antiqua" w:hAnsi="Book Antiqua" w:cs="Arial"/>
          <w:color w:val="010101"/>
        </w:rPr>
        <w:t xml:space="preserve"> ‘.</w:t>
      </w:r>
    </w:p>
    <w:p w14:paraId="64B44952" w14:textId="164522D0" w:rsidR="00CC2C80" w:rsidRPr="002E0C24" w:rsidRDefault="002160DE" w:rsidP="00544C1C">
      <w:pPr>
        <w:pStyle w:val="ListParagraph"/>
        <w:numPr>
          <w:ilvl w:val="0"/>
          <w:numId w:val="40"/>
        </w:numPr>
        <w:spacing w:before="240"/>
        <w:jc w:val="both"/>
        <w:rPr>
          <w:rFonts w:ascii="Book Antiqua" w:hAnsi="Book Antiqua"/>
        </w:rPr>
      </w:pPr>
      <w:r>
        <w:rPr>
          <w:rFonts w:ascii="Book Antiqua" w:hAnsi="Book Antiqua" w:cs="Arial"/>
          <w:color w:val="010101"/>
        </w:rPr>
        <w:t xml:space="preserve">The grounds were narrowly drafted </w:t>
      </w:r>
      <w:r w:rsidR="002E0C24">
        <w:rPr>
          <w:rFonts w:ascii="Book Antiqua" w:hAnsi="Book Antiqua" w:cs="Arial"/>
          <w:color w:val="010101"/>
        </w:rPr>
        <w:t>and some of my comments go beyond those but help to put the paternity issue in context. I find the judge materially erred in how this was dealt with in relation to the evidential burden. Other arguments could also have been raised in relation to this elsewhere in the decision, but this one example is sufficient to render the decision unsafe.</w:t>
      </w:r>
    </w:p>
    <w:p w14:paraId="57C3B28B" w14:textId="24AD7203" w:rsidR="00B15C6A" w:rsidRDefault="00B15C6A" w:rsidP="00544C1C">
      <w:pPr>
        <w:spacing w:before="240"/>
        <w:jc w:val="both"/>
        <w:rPr>
          <w:rFonts w:ascii="Book Antiqua" w:hAnsi="Book Antiqua"/>
          <w:u w:val="single"/>
        </w:rPr>
      </w:pPr>
      <w:r w:rsidRPr="00C849E6">
        <w:rPr>
          <w:rFonts w:ascii="Book Antiqua" w:hAnsi="Book Antiqua"/>
          <w:u w:val="single"/>
        </w:rPr>
        <w:t>Decision.</w:t>
      </w:r>
    </w:p>
    <w:p w14:paraId="28A7BC7E" w14:textId="724F6C13" w:rsidR="00B15C6A" w:rsidRDefault="002E0C24" w:rsidP="00544C1C">
      <w:pPr>
        <w:spacing w:before="240"/>
        <w:jc w:val="both"/>
        <w:rPr>
          <w:rFonts w:ascii="Book Antiqua" w:hAnsi="Book Antiqua"/>
        </w:rPr>
      </w:pPr>
      <w:r>
        <w:rPr>
          <w:rFonts w:ascii="Book Antiqua" w:hAnsi="Book Antiqua"/>
        </w:rPr>
        <w:t>The decision of First-tier Tribunal judge</w:t>
      </w:r>
      <w:r w:rsidRPr="002E0C24">
        <w:rPr>
          <w:rFonts w:ascii="Book Antiqua" w:hAnsi="Book Antiqua"/>
        </w:rPr>
        <w:t xml:space="preserve"> </w:t>
      </w:r>
      <w:r>
        <w:rPr>
          <w:rFonts w:ascii="Book Antiqua" w:hAnsi="Book Antiqua"/>
        </w:rPr>
        <w:t xml:space="preserve">Tobin dismissing the appellant’s appeal materially errs in law and cannot stand. The decision will have to be remade de novo in the </w:t>
      </w:r>
      <w:r w:rsidR="0052749D">
        <w:rPr>
          <w:rFonts w:ascii="Book Antiqua" w:hAnsi="Book Antiqua"/>
        </w:rPr>
        <w:t>Fi</w:t>
      </w:r>
      <w:r>
        <w:rPr>
          <w:rFonts w:ascii="Book Antiqua" w:hAnsi="Book Antiqua"/>
        </w:rPr>
        <w:t>rst-tier Tribunal.</w:t>
      </w:r>
    </w:p>
    <w:p w14:paraId="3FD11A75" w14:textId="77777777" w:rsidR="002E0C24" w:rsidRDefault="002E0C24" w:rsidP="00873F23">
      <w:pPr>
        <w:jc w:val="both"/>
        <w:rPr>
          <w:rFonts w:ascii="Segoe Script" w:hAnsi="Segoe Script" w:cs="MV Boli"/>
          <w:i/>
        </w:rPr>
      </w:pPr>
    </w:p>
    <w:p w14:paraId="45F6EE83" w14:textId="25FB96B3" w:rsidR="00057FAF" w:rsidRPr="00275CE3" w:rsidRDefault="00057FAF" w:rsidP="00873F23">
      <w:pPr>
        <w:jc w:val="both"/>
        <w:rPr>
          <w:rFonts w:ascii="Segoe Script" w:hAnsi="Segoe Script" w:cs="MV Boli"/>
          <w:i/>
        </w:rPr>
      </w:pPr>
      <w:r w:rsidRPr="00275CE3">
        <w:rPr>
          <w:rFonts w:ascii="Segoe Script" w:hAnsi="Segoe Script" w:cs="MV Boli"/>
          <w:i/>
        </w:rPr>
        <w:t>Francis J Farrelly</w:t>
      </w:r>
    </w:p>
    <w:p w14:paraId="2D28EF08" w14:textId="77777777" w:rsidR="00275CE3" w:rsidRPr="00275CE3" w:rsidRDefault="00275CE3" w:rsidP="00873F23">
      <w:pPr>
        <w:jc w:val="both"/>
        <w:rPr>
          <w:rFonts w:ascii="Segoe UI Historic" w:hAnsi="Segoe UI Historic" w:cs="Segoe UI Historic"/>
          <w:i/>
        </w:rPr>
      </w:pPr>
    </w:p>
    <w:p w14:paraId="1666DEC6" w14:textId="0390928D" w:rsidR="00057FAF" w:rsidRPr="00B26028" w:rsidRDefault="00057FAF" w:rsidP="00873F23">
      <w:pPr>
        <w:jc w:val="both"/>
        <w:rPr>
          <w:rFonts w:ascii="Book Antiqua" w:hAnsi="Book Antiqua"/>
          <w:u w:val="single"/>
        </w:rPr>
      </w:pPr>
      <w:r w:rsidRPr="00B26028">
        <w:rPr>
          <w:rFonts w:ascii="Book Antiqua" w:hAnsi="Book Antiqua"/>
        </w:rPr>
        <w:t>Deputy Upper Tribunal Judge</w:t>
      </w:r>
      <w:r w:rsidR="00631016">
        <w:rPr>
          <w:rFonts w:ascii="Book Antiqua" w:hAnsi="Book Antiqua"/>
        </w:rPr>
        <w:t xml:space="preserve">                                                                            15 August 2018</w:t>
      </w:r>
    </w:p>
    <w:p w14:paraId="037D15BE" w14:textId="77777777" w:rsidR="00E639A5" w:rsidRPr="00B26028" w:rsidRDefault="00E639A5" w:rsidP="00873F23">
      <w:pPr>
        <w:jc w:val="both"/>
        <w:rPr>
          <w:rFonts w:ascii="Book Antiqua" w:hAnsi="Book Antiqua"/>
          <w:u w:val="single"/>
        </w:rPr>
      </w:pPr>
    </w:p>
    <w:p w14:paraId="70B7DC42" w14:textId="79494664" w:rsidR="00E639A5" w:rsidRDefault="00E639A5" w:rsidP="00873F23">
      <w:pPr>
        <w:jc w:val="both"/>
        <w:rPr>
          <w:rFonts w:ascii="Book Antiqua" w:hAnsi="Book Antiqua"/>
          <w:u w:val="single"/>
        </w:rPr>
      </w:pPr>
    </w:p>
    <w:p w14:paraId="6D341121" w14:textId="77777777" w:rsidR="00873F23" w:rsidRDefault="00873F23" w:rsidP="00873F23">
      <w:pPr>
        <w:jc w:val="both"/>
        <w:rPr>
          <w:rFonts w:ascii="Book Antiqua" w:hAnsi="Book Antiqua"/>
        </w:rPr>
      </w:pPr>
    </w:p>
    <w:p w14:paraId="34A5D475" w14:textId="77777777" w:rsidR="000A20FA" w:rsidRDefault="000A20FA" w:rsidP="00444DE7">
      <w:bookmarkStart w:id="7" w:name="_GoBack"/>
      <w:bookmarkEnd w:id="7"/>
    </w:p>
    <w:p w14:paraId="58D45A21" w14:textId="77777777" w:rsidR="000A20FA" w:rsidRDefault="000A20FA" w:rsidP="00444DE7"/>
    <w:p w14:paraId="659284B8" w14:textId="77777777" w:rsidR="000A20FA" w:rsidRDefault="000A20FA" w:rsidP="00444DE7"/>
    <w:p w14:paraId="156D5C28" w14:textId="57345A17" w:rsidR="000A20FA" w:rsidRDefault="000A20FA" w:rsidP="00444DE7"/>
    <w:p w14:paraId="1F7520EE" w14:textId="77777777" w:rsidR="000A20FA" w:rsidRDefault="000A20FA" w:rsidP="00444DE7"/>
    <w:sectPr w:rsidR="000A20FA" w:rsidSect="00EA2D70">
      <w:headerReference w:type="default" r:id="rId9"/>
      <w:footerReference w:type="even" r:id="rId10"/>
      <w:footerReference w:type="default" r:id="rId11"/>
      <w:footerReference w:type="first" r:id="rId12"/>
      <w:pgSz w:w="11894" w:h="16833"/>
      <w:pgMar w:top="567" w:right="1304" w:bottom="1304" w:left="130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89FDA" w14:textId="77777777" w:rsidR="00031014" w:rsidRDefault="00031014">
      <w:r>
        <w:separator/>
      </w:r>
    </w:p>
  </w:endnote>
  <w:endnote w:type="continuationSeparator" w:id="0">
    <w:p w14:paraId="588D82B4" w14:textId="77777777" w:rsidR="00031014" w:rsidRDefault="0003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0798D"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C3CDBE"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680393"/>
      <w:docPartObj>
        <w:docPartGallery w:val="Page Numbers (Bottom of Page)"/>
        <w:docPartUnique/>
      </w:docPartObj>
    </w:sdtPr>
    <w:sdtEndPr>
      <w:rPr>
        <w:rFonts w:ascii="Book Antiqua" w:hAnsi="Book Antiqua"/>
        <w:noProof/>
      </w:rPr>
    </w:sdtEndPr>
    <w:sdtContent>
      <w:p w14:paraId="19956781" w14:textId="2273496C" w:rsidR="00EA2D70" w:rsidRPr="00EA2D70" w:rsidRDefault="00EA2D70">
        <w:pPr>
          <w:pStyle w:val="Footer"/>
          <w:jc w:val="center"/>
          <w:rPr>
            <w:rFonts w:ascii="Book Antiqua" w:hAnsi="Book Antiqua"/>
          </w:rPr>
        </w:pPr>
        <w:r w:rsidRPr="00EA2D70">
          <w:rPr>
            <w:rFonts w:ascii="Book Antiqua" w:hAnsi="Book Antiqua"/>
          </w:rPr>
          <w:fldChar w:fldCharType="begin"/>
        </w:r>
        <w:r w:rsidRPr="00EA2D70">
          <w:rPr>
            <w:rFonts w:ascii="Book Antiqua" w:hAnsi="Book Antiqua"/>
          </w:rPr>
          <w:instrText xml:space="preserve"> PAGE   \* MERGEFORMAT </w:instrText>
        </w:r>
        <w:r w:rsidRPr="00EA2D70">
          <w:rPr>
            <w:rFonts w:ascii="Book Antiqua" w:hAnsi="Book Antiqua"/>
          </w:rPr>
          <w:fldChar w:fldCharType="separate"/>
        </w:r>
        <w:r w:rsidR="007B37E4">
          <w:rPr>
            <w:rFonts w:ascii="Book Antiqua" w:hAnsi="Book Antiqua"/>
            <w:noProof/>
          </w:rPr>
          <w:t>4</w:t>
        </w:r>
        <w:r w:rsidRPr="00EA2D70">
          <w:rPr>
            <w:rFonts w:ascii="Book Antiqua" w:hAnsi="Book Antiqua"/>
            <w:noProof/>
          </w:rPr>
          <w:fldChar w:fldCharType="end"/>
        </w:r>
      </w:p>
    </w:sdtContent>
  </w:sdt>
  <w:p w14:paraId="3B055A0E" w14:textId="74144EF6" w:rsidR="00784C42" w:rsidRPr="00EA2D70" w:rsidRDefault="00784C42" w:rsidP="00EA2D7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8D99" w14:textId="23FD7814" w:rsidR="00784C42" w:rsidRPr="00EA2D70" w:rsidRDefault="00784C42" w:rsidP="00090CF9">
    <w:pPr>
      <w:jc w:val="center"/>
      <w:rPr>
        <w:rFonts w:ascii="Book Antiqua" w:hAnsi="Book Antiqua" w:cs="Arial"/>
        <w:b/>
      </w:rPr>
    </w:pPr>
    <w:r w:rsidRPr="00EA2D70">
      <w:rPr>
        <w:rFonts w:ascii="Book Antiqua" w:hAnsi="Book Antiqua" w:cs="Arial"/>
        <w:b/>
        <w:spacing w:val="-6"/>
      </w:rPr>
      <w:t>©</w:t>
    </w:r>
    <w:r w:rsidR="00544C1C" w:rsidRPr="00EA2D7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7D327" w14:textId="77777777" w:rsidR="00031014" w:rsidRDefault="00031014">
      <w:r>
        <w:separator/>
      </w:r>
    </w:p>
  </w:footnote>
  <w:footnote w:type="continuationSeparator" w:id="0">
    <w:p w14:paraId="223E80CB" w14:textId="77777777" w:rsidR="00031014" w:rsidRDefault="00031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0A39" w14:textId="165C45FA" w:rsidR="00690820" w:rsidRPr="00EA2D70" w:rsidRDefault="00033E93" w:rsidP="00033E93">
    <w:pPr>
      <w:pStyle w:val="Header"/>
      <w:jc w:val="right"/>
      <w:rPr>
        <w:sz w:val="16"/>
        <w:szCs w:val="16"/>
      </w:rPr>
    </w:pPr>
    <w:r w:rsidRPr="00EA2D70">
      <w:rPr>
        <w:rFonts w:ascii="Book Antiqua" w:hAnsi="Book Antiqua"/>
        <w:sz w:val="16"/>
        <w:szCs w:val="16"/>
      </w:rPr>
      <w:t>Appeal Number: PA/13251/2017</w:t>
    </w:r>
  </w:p>
  <w:p w14:paraId="232FEAD4" w14:textId="77777777"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3C4748"/>
    <w:multiLevelType w:val="hybridMultilevel"/>
    <w:tmpl w:val="9982A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6"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8"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5"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4" w15:restartNumberingAfterBreak="0">
    <w:nsid w:val="6770032C"/>
    <w:multiLevelType w:val="hybridMultilevel"/>
    <w:tmpl w:val="37E00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6"/>
  </w:num>
  <w:num w:numId="3">
    <w:abstractNumId w:val="14"/>
  </w:num>
  <w:num w:numId="4">
    <w:abstractNumId w:val="30"/>
  </w:num>
  <w:num w:numId="5">
    <w:abstractNumId w:val="35"/>
  </w:num>
  <w:num w:numId="6">
    <w:abstractNumId w:val="0"/>
  </w:num>
  <w:num w:numId="7">
    <w:abstractNumId w:val="1"/>
  </w:num>
  <w:num w:numId="8">
    <w:abstractNumId w:val="16"/>
  </w:num>
  <w:num w:numId="9">
    <w:abstractNumId w:val="21"/>
  </w:num>
  <w:num w:numId="10">
    <w:abstractNumId w:val="39"/>
  </w:num>
  <w:num w:numId="11">
    <w:abstractNumId w:val="20"/>
  </w:num>
  <w:num w:numId="12">
    <w:abstractNumId w:val="28"/>
  </w:num>
  <w:num w:numId="13">
    <w:abstractNumId w:val="24"/>
  </w:num>
  <w:num w:numId="14">
    <w:abstractNumId w:val="38"/>
  </w:num>
  <w:num w:numId="15">
    <w:abstractNumId w:val="8"/>
  </w:num>
  <w:num w:numId="16">
    <w:abstractNumId w:val="9"/>
  </w:num>
  <w:num w:numId="17">
    <w:abstractNumId w:val="27"/>
  </w:num>
  <w:num w:numId="18">
    <w:abstractNumId w:val="36"/>
  </w:num>
  <w:num w:numId="19">
    <w:abstractNumId w:val="3"/>
  </w:num>
  <w:num w:numId="20">
    <w:abstractNumId w:val="37"/>
  </w:num>
  <w:num w:numId="21">
    <w:abstractNumId w:val="12"/>
  </w:num>
  <w:num w:numId="22">
    <w:abstractNumId w:val="25"/>
  </w:num>
  <w:num w:numId="23">
    <w:abstractNumId w:val="17"/>
  </w:num>
  <w:num w:numId="24">
    <w:abstractNumId w:val="33"/>
  </w:num>
  <w:num w:numId="25">
    <w:abstractNumId w:val="22"/>
  </w:num>
  <w:num w:numId="26">
    <w:abstractNumId w:val="15"/>
  </w:num>
  <w:num w:numId="27">
    <w:abstractNumId w:val="31"/>
  </w:num>
  <w:num w:numId="28">
    <w:abstractNumId w:val="23"/>
  </w:num>
  <w:num w:numId="29">
    <w:abstractNumId w:val="19"/>
  </w:num>
  <w:num w:numId="30">
    <w:abstractNumId w:val="29"/>
  </w:num>
  <w:num w:numId="31">
    <w:abstractNumId w:val="2"/>
  </w:num>
  <w:num w:numId="32">
    <w:abstractNumId w:val="18"/>
  </w:num>
  <w:num w:numId="33">
    <w:abstractNumId w:val="32"/>
  </w:num>
  <w:num w:numId="34">
    <w:abstractNumId w:val="4"/>
  </w:num>
  <w:num w:numId="35">
    <w:abstractNumId w:val="7"/>
  </w:num>
  <w:num w:numId="36">
    <w:abstractNumId w:val="13"/>
  </w:num>
  <w:num w:numId="37">
    <w:abstractNumId w:val="40"/>
  </w:num>
  <w:num w:numId="38">
    <w:abstractNumId w:val="5"/>
  </w:num>
  <w:num w:numId="39">
    <w:abstractNumId w:val="10"/>
  </w:num>
  <w:num w:numId="40">
    <w:abstractNumId w:val="34"/>
  </w:num>
  <w:num w:numId="41">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42A24D0-AED7-4D5F-8066-4FD6810E21ED}"/>
    <w:docVar w:name="dgnword-eventsink" w:val="307120904"/>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0260"/>
    <w:rsid w:val="00012ACD"/>
    <w:rsid w:val="00012F10"/>
    <w:rsid w:val="00013C9C"/>
    <w:rsid w:val="00014031"/>
    <w:rsid w:val="000201ED"/>
    <w:rsid w:val="000213BC"/>
    <w:rsid w:val="00021457"/>
    <w:rsid w:val="0002198E"/>
    <w:rsid w:val="0002255D"/>
    <w:rsid w:val="000234D5"/>
    <w:rsid w:val="000236AD"/>
    <w:rsid w:val="000241F0"/>
    <w:rsid w:val="000257CD"/>
    <w:rsid w:val="00026EB0"/>
    <w:rsid w:val="00027BCB"/>
    <w:rsid w:val="00030C0D"/>
    <w:rsid w:val="00031014"/>
    <w:rsid w:val="0003281D"/>
    <w:rsid w:val="00032A84"/>
    <w:rsid w:val="0003378A"/>
    <w:rsid w:val="00033D3D"/>
    <w:rsid w:val="00033E93"/>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5A86"/>
    <w:rsid w:val="000566C9"/>
    <w:rsid w:val="00057355"/>
    <w:rsid w:val="00057FAF"/>
    <w:rsid w:val="00060C79"/>
    <w:rsid w:val="00060E05"/>
    <w:rsid w:val="00062D92"/>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623"/>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2851"/>
    <w:rsid w:val="0017343F"/>
    <w:rsid w:val="00173767"/>
    <w:rsid w:val="001747D2"/>
    <w:rsid w:val="00175A0B"/>
    <w:rsid w:val="00175E54"/>
    <w:rsid w:val="00176D9F"/>
    <w:rsid w:val="00180DF6"/>
    <w:rsid w:val="0018306C"/>
    <w:rsid w:val="0018527C"/>
    <w:rsid w:val="001904FD"/>
    <w:rsid w:val="00191C21"/>
    <w:rsid w:val="00192C83"/>
    <w:rsid w:val="0019362A"/>
    <w:rsid w:val="00196801"/>
    <w:rsid w:val="00196DE1"/>
    <w:rsid w:val="001A1E90"/>
    <w:rsid w:val="001A22CD"/>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D7793"/>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160DE"/>
    <w:rsid w:val="002208E9"/>
    <w:rsid w:val="00220E92"/>
    <w:rsid w:val="0022135B"/>
    <w:rsid w:val="00221C42"/>
    <w:rsid w:val="00222FBA"/>
    <w:rsid w:val="00223081"/>
    <w:rsid w:val="002311DA"/>
    <w:rsid w:val="0023134B"/>
    <w:rsid w:val="00234576"/>
    <w:rsid w:val="00234B84"/>
    <w:rsid w:val="00242968"/>
    <w:rsid w:val="00246B0F"/>
    <w:rsid w:val="002505D6"/>
    <w:rsid w:val="0025142B"/>
    <w:rsid w:val="002525CD"/>
    <w:rsid w:val="00255703"/>
    <w:rsid w:val="00255A05"/>
    <w:rsid w:val="0025717B"/>
    <w:rsid w:val="00260976"/>
    <w:rsid w:val="00263899"/>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34AF"/>
    <w:rsid w:val="002A435D"/>
    <w:rsid w:val="002A575E"/>
    <w:rsid w:val="002A5E97"/>
    <w:rsid w:val="002A6B59"/>
    <w:rsid w:val="002A6F4F"/>
    <w:rsid w:val="002A7957"/>
    <w:rsid w:val="002B0F13"/>
    <w:rsid w:val="002B1B1E"/>
    <w:rsid w:val="002B40AE"/>
    <w:rsid w:val="002B4761"/>
    <w:rsid w:val="002B49BD"/>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0C24"/>
    <w:rsid w:val="002E100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00EF"/>
    <w:rsid w:val="003117E3"/>
    <w:rsid w:val="0031429A"/>
    <w:rsid w:val="00314691"/>
    <w:rsid w:val="00316323"/>
    <w:rsid w:val="00316B57"/>
    <w:rsid w:val="003213F5"/>
    <w:rsid w:val="00323325"/>
    <w:rsid w:val="00323856"/>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6A08"/>
    <w:rsid w:val="0038791E"/>
    <w:rsid w:val="003900C1"/>
    <w:rsid w:val="003911BA"/>
    <w:rsid w:val="00391B23"/>
    <w:rsid w:val="00391F68"/>
    <w:rsid w:val="0039288B"/>
    <w:rsid w:val="00393A32"/>
    <w:rsid w:val="00395058"/>
    <w:rsid w:val="00395BE0"/>
    <w:rsid w:val="0039630A"/>
    <w:rsid w:val="003969A0"/>
    <w:rsid w:val="003A15E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18B"/>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9758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1E1D"/>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5CF"/>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49D"/>
    <w:rsid w:val="00527B53"/>
    <w:rsid w:val="00531923"/>
    <w:rsid w:val="00531A82"/>
    <w:rsid w:val="00534144"/>
    <w:rsid w:val="00534B54"/>
    <w:rsid w:val="00536EFD"/>
    <w:rsid w:val="00537604"/>
    <w:rsid w:val="00540B3B"/>
    <w:rsid w:val="00540FE7"/>
    <w:rsid w:val="00541D1B"/>
    <w:rsid w:val="00542C18"/>
    <w:rsid w:val="00542FBF"/>
    <w:rsid w:val="005432B5"/>
    <w:rsid w:val="00544C1C"/>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657"/>
    <w:rsid w:val="00563A0F"/>
    <w:rsid w:val="005648B1"/>
    <w:rsid w:val="00565DC9"/>
    <w:rsid w:val="005665DC"/>
    <w:rsid w:val="00566D22"/>
    <w:rsid w:val="00570B6C"/>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979"/>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15F3"/>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1016"/>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1FF9"/>
    <w:rsid w:val="006E2E46"/>
    <w:rsid w:val="006E2FE1"/>
    <w:rsid w:val="006E5560"/>
    <w:rsid w:val="006E7563"/>
    <w:rsid w:val="006F072B"/>
    <w:rsid w:val="006F0E12"/>
    <w:rsid w:val="006F1F84"/>
    <w:rsid w:val="006F20DA"/>
    <w:rsid w:val="006F2CF1"/>
    <w:rsid w:val="006F33E2"/>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138"/>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3F2A"/>
    <w:rsid w:val="007A45D3"/>
    <w:rsid w:val="007A5152"/>
    <w:rsid w:val="007A733F"/>
    <w:rsid w:val="007A79BC"/>
    <w:rsid w:val="007B0824"/>
    <w:rsid w:val="007B0B3C"/>
    <w:rsid w:val="007B10EC"/>
    <w:rsid w:val="007B11B0"/>
    <w:rsid w:val="007B165A"/>
    <w:rsid w:val="007B37E4"/>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3F23"/>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442B"/>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1B2"/>
    <w:rsid w:val="00A719C9"/>
    <w:rsid w:val="00A72ABD"/>
    <w:rsid w:val="00A73668"/>
    <w:rsid w:val="00A822B0"/>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45E6"/>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E7761"/>
    <w:rsid w:val="00AF1031"/>
    <w:rsid w:val="00AF1740"/>
    <w:rsid w:val="00AF1BDB"/>
    <w:rsid w:val="00AF52E7"/>
    <w:rsid w:val="00AF63EB"/>
    <w:rsid w:val="00AF7CED"/>
    <w:rsid w:val="00B03DC4"/>
    <w:rsid w:val="00B058E1"/>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6887"/>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272"/>
    <w:rsid w:val="00C36519"/>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EB"/>
    <w:rsid w:val="00C912AF"/>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2C80"/>
    <w:rsid w:val="00CC313E"/>
    <w:rsid w:val="00CC3F14"/>
    <w:rsid w:val="00CC51CB"/>
    <w:rsid w:val="00CD212E"/>
    <w:rsid w:val="00CD2795"/>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3782"/>
    <w:rsid w:val="00D743B0"/>
    <w:rsid w:val="00D74F6E"/>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5B"/>
    <w:rsid w:val="00E320D8"/>
    <w:rsid w:val="00E33507"/>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280"/>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2D70"/>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B58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uiPriority w:val="99"/>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 w:type="character" w:customStyle="1" w:styleId="FooterChar">
    <w:name w:val="Footer Char"/>
    <w:basedOn w:val="DefaultParagraphFont"/>
    <w:link w:val="Footer"/>
    <w:uiPriority w:val="99"/>
    <w:rsid w:val="00EA2D7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26293">
      <w:bodyDiv w:val="1"/>
      <w:marLeft w:val="0"/>
      <w:marRight w:val="0"/>
      <w:marTop w:val="0"/>
      <w:marBottom w:val="0"/>
      <w:divBdr>
        <w:top w:val="none" w:sz="0" w:space="0" w:color="auto"/>
        <w:left w:val="none" w:sz="0" w:space="0" w:color="auto"/>
        <w:bottom w:val="none" w:sz="0" w:space="0" w:color="auto"/>
        <w:right w:val="none" w:sz="0" w:space="0" w:color="auto"/>
      </w:divBdr>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2656-9C4A-4C18-85AD-87AE61EE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2162</Words>
  <Characters>10822</Characters>
  <Application>Microsoft Office Word</Application>
  <DocSecurity>0</DocSecurity>
  <Lines>90</Lines>
  <Paragraphs>25</Paragraphs>
  <ScaleCrop>false</ScaleCrop>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2018-08-31T16:59:00Z</dcterms:created>
  <dcterms:modified xsi:type="dcterms:W3CDTF">2018-08-31T16:59:00Z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