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5FA4" w14:textId="77777777" w:rsidR="00D219F1" w:rsidRPr="00BB0BED" w:rsidRDefault="00A510E7" w:rsidP="00503887">
      <w:pPr>
        <w:rPr>
          <w:rFonts w:ascii="Book Antiqua" w:hAnsi="Book Antiqua" w:cs="Arial"/>
          <w:color w:val="000000"/>
          <w:sz w:val="16"/>
          <w:szCs w:val="16"/>
        </w:rPr>
      </w:pPr>
      <w:r>
        <w:rPr>
          <w:rFonts w:ascii="Book Antiqua" w:hAnsi="Book Antiqua" w:cs="Arial"/>
          <w:color w:val="000000"/>
          <w:sz w:val="16"/>
          <w:szCs w:val="16"/>
        </w:rPr>
        <w:t xml:space="preserve">  </w:t>
      </w:r>
    </w:p>
    <w:p w14:paraId="4A01F058" w14:textId="38D01CB1" w:rsidR="00D219F1" w:rsidRPr="00BB0BED" w:rsidRDefault="00B35CD6" w:rsidP="00503887">
      <w:pPr>
        <w:jc w:val="center"/>
        <w:rPr>
          <w:rFonts w:ascii="Book Antiqua" w:hAnsi="Book Antiqua" w:cs="Arial"/>
          <w:color w:val="000000"/>
        </w:rPr>
      </w:pPr>
      <w:r w:rsidRPr="00DA77D9">
        <w:rPr>
          <w:rFonts w:ascii="Book Antiqua" w:hAnsi="Book Antiqua"/>
          <w:noProof/>
          <w:lang w:val="en-US" w:eastAsia="en-US"/>
        </w:rPr>
        <w:t xml:space="preserve"> </w:t>
      </w:r>
      <w:r w:rsidR="00CA647C" w:rsidRPr="00DA77D9">
        <w:rPr>
          <w:rFonts w:ascii="Book Antiqua" w:hAnsi="Book Antiqua"/>
          <w:noProof/>
          <w:lang w:val="en-US" w:eastAsia="en-US"/>
        </w:rPr>
        <w:drawing>
          <wp:inline distT="0" distB="0" distL="0" distR="0" wp14:anchorId="076024CA" wp14:editId="0D16A54C">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14:paraId="476E2AAC"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74EF357C" w14:textId="69DA473D"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920C3E">
        <w:rPr>
          <w:rFonts w:ascii="Book Antiqua" w:hAnsi="Book Antiqua" w:cs="Arial"/>
          <w:color w:val="000000"/>
        </w:rPr>
        <w:t xml:space="preserve"> </w:t>
      </w:r>
      <w:bookmarkStart w:id="0" w:name="_GoBack"/>
      <w:r w:rsidR="00BF68D0">
        <w:rPr>
          <w:rFonts w:ascii="Book Antiqua" w:hAnsi="Book Antiqua" w:cs="Arial"/>
          <w:color w:val="000000"/>
        </w:rPr>
        <w:t>PA/13407/</w:t>
      </w:r>
      <w:r w:rsidR="00C225A0">
        <w:rPr>
          <w:rFonts w:ascii="Book Antiqua" w:hAnsi="Book Antiqua" w:cs="Arial"/>
          <w:color w:val="000000"/>
        </w:rPr>
        <w:t>20</w:t>
      </w:r>
      <w:r w:rsidR="00BF68D0">
        <w:rPr>
          <w:rFonts w:ascii="Book Antiqua" w:hAnsi="Book Antiqua" w:cs="Arial"/>
          <w:color w:val="000000"/>
        </w:rPr>
        <w:t>16</w:t>
      </w:r>
      <w:bookmarkEnd w:id="0"/>
    </w:p>
    <w:p w14:paraId="17E3CBB0" w14:textId="75EBCD6B" w:rsidR="00D219F1"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14:paraId="72346F0A" w14:textId="77777777" w:rsidR="00920C3E" w:rsidRPr="00BB0BED" w:rsidRDefault="00920C3E" w:rsidP="00473C4B">
      <w:pPr>
        <w:tabs>
          <w:tab w:val="right" w:pos="9720"/>
        </w:tabs>
        <w:ind w:right="-82"/>
        <w:rPr>
          <w:rFonts w:ascii="Book Antiqua" w:hAnsi="Book Antiqua" w:cs="Arial"/>
          <w:color w:val="000000"/>
        </w:rPr>
      </w:pPr>
    </w:p>
    <w:p w14:paraId="1909D94F" w14:textId="77777777"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14:paraId="29E27249" w14:textId="6094C57F" w:rsidR="0019206C" w:rsidRDefault="0019206C" w:rsidP="0019206C">
      <w:pPr>
        <w:rPr>
          <w:rFonts w:ascii="Book Antiqua" w:hAnsi="Book Antiqua" w:cs="Arial"/>
          <w:b/>
        </w:rPr>
      </w:pPr>
    </w:p>
    <w:p w14:paraId="46698482" w14:textId="77777777" w:rsidR="00920C3E" w:rsidRPr="0019206C" w:rsidRDefault="00920C3E" w:rsidP="0019206C">
      <w:pPr>
        <w:rPr>
          <w:rFonts w:ascii="Book Antiqua" w:hAnsi="Book Antiqua" w:cs="Arial"/>
          <w:b/>
        </w:rPr>
      </w:pPr>
    </w:p>
    <w:tbl>
      <w:tblPr>
        <w:tblW w:w="10856" w:type="dxa"/>
        <w:tblLook w:val="01E0" w:firstRow="1" w:lastRow="1" w:firstColumn="1" w:lastColumn="1" w:noHBand="0" w:noVBand="0"/>
      </w:tblPr>
      <w:tblGrid>
        <w:gridCol w:w="6681"/>
        <w:gridCol w:w="4175"/>
      </w:tblGrid>
      <w:tr w:rsidR="00D219F1" w:rsidRPr="00C03009" w14:paraId="1D45C2CF" w14:textId="77777777" w:rsidTr="00C47D8E">
        <w:trPr>
          <w:trHeight w:val="203"/>
        </w:trPr>
        <w:tc>
          <w:tcPr>
            <w:tcW w:w="6681" w:type="dxa"/>
          </w:tcPr>
          <w:p w14:paraId="6F47120A" w14:textId="77777777" w:rsidR="00C47D8E" w:rsidRPr="00C47D8E" w:rsidRDefault="00C47D8E" w:rsidP="00256F9B">
            <w:pPr>
              <w:jc w:val="both"/>
              <w:rPr>
                <w:rFonts w:ascii="Book Antiqua" w:hAnsi="Book Antiqua" w:cs="Arial"/>
              </w:rPr>
            </w:pPr>
            <w:r>
              <w:rPr>
                <w:rFonts w:ascii="Book Antiqua" w:hAnsi="Book Antiqua" w:cs="Arial"/>
                <w:b/>
              </w:rPr>
              <w:t>Heard at: Manchester Piccadilly</w:t>
            </w:r>
          </w:p>
          <w:p w14:paraId="148BFA54" w14:textId="77777777" w:rsidR="00D219F1" w:rsidRPr="00C03009" w:rsidRDefault="00C766AA" w:rsidP="00256F9B">
            <w:pPr>
              <w:jc w:val="both"/>
              <w:rPr>
                <w:rFonts w:ascii="Book Antiqua" w:hAnsi="Book Antiqua" w:cs="Arial"/>
                <w:b/>
              </w:rPr>
            </w:pPr>
            <w:r>
              <w:rPr>
                <w:rFonts w:ascii="Book Antiqua" w:hAnsi="Book Antiqua" w:cs="Arial"/>
                <w:b/>
              </w:rPr>
              <w:t xml:space="preserve">On: </w:t>
            </w:r>
            <w:r w:rsidR="00D722FD">
              <w:rPr>
                <w:rFonts w:ascii="Book Antiqua" w:hAnsi="Book Antiqua" w:cs="Arial"/>
                <w:b/>
              </w:rPr>
              <w:t>22</w:t>
            </w:r>
            <w:r w:rsidR="00D722FD" w:rsidRPr="00D722FD">
              <w:rPr>
                <w:rFonts w:ascii="Book Antiqua" w:hAnsi="Book Antiqua" w:cs="Arial"/>
                <w:b/>
                <w:vertAlign w:val="superscript"/>
              </w:rPr>
              <w:t>nd</w:t>
            </w:r>
            <w:r w:rsidR="00D722FD">
              <w:rPr>
                <w:rFonts w:ascii="Book Antiqua" w:hAnsi="Book Antiqua" w:cs="Arial"/>
                <w:b/>
              </w:rPr>
              <w:t xml:space="preserve"> May</w:t>
            </w:r>
            <w:r w:rsidR="00921874">
              <w:rPr>
                <w:rFonts w:ascii="Book Antiqua" w:hAnsi="Book Antiqua" w:cs="Arial"/>
                <w:b/>
              </w:rPr>
              <w:t xml:space="preserve"> 2018</w:t>
            </w:r>
          </w:p>
        </w:tc>
        <w:tc>
          <w:tcPr>
            <w:tcW w:w="4175" w:type="dxa"/>
          </w:tcPr>
          <w:p w14:paraId="590F232F" w14:textId="77777777" w:rsidR="00D219F1" w:rsidRDefault="00C47D8E" w:rsidP="00256F9B">
            <w:pPr>
              <w:jc w:val="both"/>
              <w:rPr>
                <w:rFonts w:ascii="Book Antiqua" w:hAnsi="Book Antiqua" w:cs="Arial"/>
                <w:b/>
                <w:color w:val="000000"/>
              </w:rPr>
            </w:pPr>
            <w:r>
              <w:rPr>
                <w:rFonts w:ascii="Book Antiqua" w:hAnsi="Book Antiqua" w:cs="Arial"/>
                <w:b/>
                <w:color w:val="000000"/>
              </w:rPr>
              <w:t xml:space="preserve">        </w:t>
            </w:r>
            <w:r w:rsidR="00D806C5">
              <w:rPr>
                <w:rFonts w:ascii="Book Antiqua" w:hAnsi="Book Antiqua" w:cs="Arial"/>
                <w:b/>
                <w:color w:val="000000"/>
              </w:rPr>
              <w:t xml:space="preserve">Decision </w:t>
            </w:r>
            <w:r w:rsidR="00D219F1" w:rsidRPr="00C03009">
              <w:rPr>
                <w:rFonts w:ascii="Book Antiqua" w:hAnsi="Book Antiqua" w:cs="Arial"/>
                <w:b/>
                <w:color w:val="000000"/>
              </w:rPr>
              <w:t>Promulgated</w:t>
            </w:r>
          </w:p>
          <w:p w14:paraId="34C5A488" w14:textId="77777777" w:rsidR="00C47D8E" w:rsidRPr="00C03009" w:rsidRDefault="00C47D8E" w:rsidP="00256F9B">
            <w:pPr>
              <w:jc w:val="both"/>
              <w:rPr>
                <w:rFonts w:ascii="Book Antiqua" w:hAnsi="Book Antiqua" w:cs="Arial"/>
                <w:b/>
                <w:color w:val="000000"/>
              </w:rPr>
            </w:pPr>
            <w:r>
              <w:rPr>
                <w:rFonts w:ascii="Book Antiqua" w:hAnsi="Book Antiqua" w:cs="Arial"/>
                <w:b/>
              </w:rPr>
              <w:t xml:space="preserve">        </w:t>
            </w:r>
            <w:r w:rsidRPr="00C47D8E">
              <w:rPr>
                <w:rFonts w:ascii="Book Antiqua" w:hAnsi="Book Antiqua" w:cs="Arial"/>
                <w:b/>
              </w:rPr>
              <w:t>On</w:t>
            </w:r>
            <w:r w:rsidR="00B35CD6">
              <w:rPr>
                <w:rFonts w:ascii="Book Antiqua" w:hAnsi="Book Antiqua" w:cs="Arial"/>
                <w:b/>
              </w:rPr>
              <w:t>:</w:t>
            </w:r>
            <w:r w:rsidRPr="00C47D8E">
              <w:rPr>
                <w:rFonts w:ascii="Book Antiqua" w:hAnsi="Book Antiqua" w:cs="Arial"/>
                <w:b/>
              </w:rPr>
              <w:t xml:space="preserve"> 26</w:t>
            </w:r>
            <w:r w:rsidR="00B35CD6" w:rsidRPr="00B35CD6">
              <w:rPr>
                <w:rFonts w:ascii="Book Antiqua" w:hAnsi="Book Antiqua" w:cs="Arial"/>
                <w:b/>
                <w:vertAlign w:val="superscript"/>
              </w:rPr>
              <w:t>th</w:t>
            </w:r>
            <w:r w:rsidRPr="00C47D8E">
              <w:rPr>
                <w:rFonts w:ascii="Book Antiqua" w:hAnsi="Book Antiqua" w:cs="Arial"/>
                <w:b/>
              </w:rPr>
              <w:t xml:space="preserve"> June 2018</w:t>
            </w:r>
          </w:p>
        </w:tc>
      </w:tr>
      <w:tr w:rsidR="00D219F1" w:rsidRPr="00C03009" w14:paraId="13E47E2D" w14:textId="77777777" w:rsidTr="00C47D8E">
        <w:trPr>
          <w:trHeight w:val="229"/>
        </w:trPr>
        <w:tc>
          <w:tcPr>
            <w:tcW w:w="6681" w:type="dxa"/>
          </w:tcPr>
          <w:p w14:paraId="184F4B08" w14:textId="77777777" w:rsidR="00D219F1" w:rsidRPr="00C03009" w:rsidRDefault="00D219F1" w:rsidP="00030A29">
            <w:pPr>
              <w:jc w:val="both"/>
              <w:rPr>
                <w:rFonts w:ascii="Book Antiqua" w:hAnsi="Book Antiqua" w:cs="Arial"/>
                <w:b/>
              </w:rPr>
            </w:pPr>
          </w:p>
        </w:tc>
        <w:tc>
          <w:tcPr>
            <w:tcW w:w="4175" w:type="dxa"/>
          </w:tcPr>
          <w:p w14:paraId="34FE1E7D" w14:textId="77777777" w:rsidR="00D219F1" w:rsidRPr="00C03009" w:rsidRDefault="00D219F1" w:rsidP="00256F9B">
            <w:pPr>
              <w:jc w:val="both"/>
              <w:rPr>
                <w:rFonts w:ascii="Book Antiqua" w:hAnsi="Book Antiqua" w:cs="Arial"/>
                <w:b/>
              </w:rPr>
            </w:pPr>
          </w:p>
        </w:tc>
      </w:tr>
      <w:tr w:rsidR="00D219F1" w:rsidRPr="00C03009" w14:paraId="504DDBC2" w14:textId="77777777" w:rsidTr="00C47D8E">
        <w:trPr>
          <w:trHeight w:val="203"/>
        </w:trPr>
        <w:tc>
          <w:tcPr>
            <w:tcW w:w="6681" w:type="dxa"/>
          </w:tcPr>
          <w:p w14:paraId="3FC932E1" w14:textId="77777777" w:rsidR="00D219F1" w:rsidRPr="00C03009" w:rsidRDefault="00D219F1" w:rsidP="00256F9B">
            <w:pPr>
              <w:jc w:val="both"/>
              <w:rPr>
                <w:rFonts w:ascii="Book Antiqua" w:hAnsi="Book Antiqua" w:cs="Arial"/>
                <w:b/>
              </w:rPr>
            </w:pPr>
          </w:p>
        </w:tc>
        <w:tc>
          <w:tcPr>
            <w:tcW w:w="4175" w:type="dxa"/>
          </w:tcPr>
          <w:p w14:paraId="24B1B3DD" w14:textId="77777777" w:rsidR="00D219F1" w:rsidRPr="00C03009" w:rsidRDefault="00D219F1" w:rsidP="00256F9B">
            <w:pPr>
              <w:jc w:val="both"/>
              <w:rPr>
                <w:rFonts w:ascii="Book Antiqua" w:hAnsi="Book Antiqua" w:cs="Arial"/>
                <w:b/>
              </w:rPr>
            </w:pPr>
          </w:p>
        </w:tc>
      </w:tr>
    </w:tbl>
    <w:p w14:paraId="55F47D56"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1F79409C" w14:textId="77777777" w:rsidR="00D219F1" w:rsidRDefault="00D219F1" w:rsidP="00764A18">
      <w:pPr>
        <w:rPr>
          <w:rFonts w:ascii="Book Antiqua" w:hAnsi="Book Antiqua" w:cs="Arial"/>
          <w:b/>
        </w:rPr>
      </w:pPr>
    </w:p>
    <w:p w14:paraId="09B05786"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4D1A61A8" w14:textId="77777777" w:rsidR="00D219F1" w:rsidRDefault="00D219F1" w:rsidP="00503887">
      <w:pPr>
        <w:jc w:val="center"/>
        <w:outlineLvl w:val="0"/>
        <w:rPr>
          <w:rFonts w:ascii="Book Antiqua" w:hAnsi="Book Antiqua" w:cs="Arial"/>
          <w:b/>
        </w:rPr>
      </w:pPr>
    </w:p>
    <w:p w14:paraId="082149CB"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0018A979" w14:textId="77777777" w:rsidR="00125F39" w:rsidRDefault="00125F39" w:rsidP="00503887">
      <w:pPr>
        <w:jc w:val="center"/>
        <w:rPr>
          <w:rFonts w:ascii="Book Antiqua" w:hAnsi="Book Antiqua" w:cs="Arial"/>
          <w:b/>
        </w:rPr>
      </w:pPr>
    </w:p>
    <w:p w14:paraId="4D2A2753" w14:textId="77777777" w:rsidR="00D22581" w:rsidRDefault="00D722FD" w:rsidP="00D22581">
      <w:pPr>
        <w:jc w:val="center"/>
        <w:rPr>
          <w:rFonts w:ascii="Book Antiqua" w:hAnsi="Book Antiqua" w:cs="Arial"/>
          <w:b/>
        </w:rPr>
      </w:pPr>
      <w:r>
        <w:rPr>
          <w:rFonts w:ascii="Book Antiqua" w:hAnsi="Book Antiqua" w:cs="Arial"/>
          <w:b/>
        </w:rPr>
        <w:t>HMA</w:t>
      </w:r>
    </w:p>
    <w:p w14:paraId="653386F9" w14:textId="77777777" w:rsidR="00921874" w:rsidRDefault="00D722FD" w:rsidP="00D22581">
      <w:pPr>
        <w:jc w:val="center"/>
        <w:rPr>
          <w:rFonts w:ascii="Book Antiqua" w:hAnsi="Book Antiqua" w:cs="Arial"/>
          <w:b/>
        </w:rPr>
      </w:pPr>
      <w:r>
        <w:rPr>
          <w:rFonts w:ascii="Book Antiqua" w:hAnsi="Book Antiqua" w:cs="Arial"/>
          <w:b/>
        </w:rPr>
        <w:t>(</w:t>
      </w:r>
      <w:r w:rsidR="00921874">
        <w:rPr>
          <w:rFonts w:ascii="Book Antiqua" w:hAnsi="Book Antiqua" w:cs="Arial"/>
          <w:b/>
        </w:rPr>
        <w:t>anonymity direction</w:t>
      </w:r>
      <w:r>
        <w:rPr>
          <w:rFonts w:ascii="Book Antiqua" w:hAnsi="Book Antiqua" w:cs="Arial"/>
          <w:b/>
        </w:rPr>
        <w:t xml:space="preserve"> made</w:t>
      </w:r>
      <w:r w:rsidR="00921874">
        <w:rPr>
          <w:rFonts w:ascii="Book Antiqua" w:hAnsi="Book Antiqua" w:cs="Arial"/>
          <w:b/>
        </w:rPr>
        <w:t>)</w:t>
      </w:r>
    </w:p>
    <w:p w14:paraId="04CDF48C" w14:textId="77777777" w:rsidR="00D219F1" w:rsidRPr="00030A29" w:rsidRDefault="00703A83" w:rsidP="00503887">
      <w:pPr>
        <w:jc w:val="right"/>
        <w:outlineLvl w:val="0"/>
        <w:rPr>
          <w:rFonts w:ascii="Book Antiqua" w:hAnsi="Book Antiqua" w:cs="Arial"/>
          <w:u w:val="single"/>
        </w:rPr>
      </w:pPr>
      <w:r>
        <w:rPr>
          <w:rFonts w:ascii="Book Antiqua" w:hAnsi="Book Antiqua" w:cs="Arial"/>
          <w:u w:val="single"/>
        </w:rPr>
        <w:t>Appellant</w:t>
      </w:r>
    </w:p>
    <w:p w14:paraId="6C2B5C86" w14:textId="77777777"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14:paraId="56896D53" w14:textId="77777777" w:rsidR="00D22581" w:rsidRDefault="00D22581" w:rsidP="00D22581">
      <w:pPr>
        <w:jc w:val="center"/>
        <w:rPr>
          <w:rFonts w:ascii="Book Antiqua" w:hAnsi="Book Antiqua" w:cs="Arial"/>
          <w:b/>
        </w:rPr>
      </w:pPr>
    </w:p>
    <w:p w14:paraId="7133F1AD" w14:textId="77777777" w:rsidR="00D22581" w:rsidRDefault="00921874" w:rsidP="00921874">
      <w:pPr>
        <w:jc w:val="center"/>
        <w:rPr>
          <w:rFonts w:ascii="Book Antiqua" w:hAnsi="Book Antiqua" w:cs="Arial"/>
          <w:b/>
        </w:rPr>
      </w:pPr>
      <w:r>
        <w:rPr>
          <w:rFonts w:ascii="Book Antiqua" w:hAnsi="Book Antiqua" w:cs="Arial"/>
          <w:b/>
        </w:rPr>
        <w:t>Secretary of State for the Home Department</w:t>
      </w:r>
    </w:p>
    <w:p w14:paraId="70CB6298" w14:textId="77777777" w:rsidR="00D219F1" w:rsidRPr="00030A29" w:rsidRDefault="00D219F1" w:rsidP="006B153F">
      <w:pPr>
        <w:jc w:val="right"/>
        <w:outlineLvl w:val="0"/>
        <w:rPr>
          <w:rFonts w:ascii="Book Antiqua" w:hAnsi="Book Antiqua" w:cs="Arial"/>
          <w:u w:val="single"/>
        </w:rPr>
      </w:pPr>
      <w:r w:rsidRPr="00030A29">
        <w:rPr>
          <w:rFonts w:ascii="Book Antiqua" w:hAnsi="Book Antiqua" w:cs="Arial"/>
          <w:u w:val="single"/>
        </w:rPr>
        <w:t>Respondent</w:t>
      </w:r>
    </w:p>
    <w:p w14:paraId="45925F06" w14:textId="77777777" w:rsidR="006F4E5F" w:rsidRDefault="006F4E5F" w:rsidP="00473C4B">
      <w:pPr>
        <w:rPr>
          <w:rFonts w:ascii="Book Antiqua" w:hAnsi="Book Antiqua" w:cs="Arial"/>
          <w:b/>
        </w:rPr>
      </w:pPr>
    </w:p>
    <w:p w14:paraId="1B54421F" w14:textId="77777777" w:rsidR="00D22581" w:rsidRDefault="00D22581" w:rsidP="00473C4B">
      <w:pPr>
        <w:rPr>
          <w:rFonts w:ascii="Book Antiqua" w:hAnsi="Book Antiqua" w:cs="Arial"/>
          <w:b/>
        </w:rPr>
      </w:pPr>
    </w:p>
    <w:p w14:paraId="0A796A0B" w14:textId="77777777" w:rsidR="00921874" w:rsidRDefault="00921874" w:rsidP="0019206C">
      <w:pPr>
        <w:rPr>
          <w:rFonts w:ascii="Book Antiqua" w:hAnsi="Book Antiqua" w:cs="Arial"/>
          <w:b/>
        </w:rPr>
      </w:pPr>
      <w:r>
        <w:rPr>
          <w:rFonts w:ascii="Book Antiqua" w:hAnsi="Book Antiqua" w:cs="Arial"/>
          <w:b/>
        </w:rPr>
        <w:t>For the Appellant:</w:t>
      </w:r>
      <w:r>
        <w:rPr>
          <w:rFonts w:ascii="Book Antiqua" w:hAnsi="Book Antiqua" w:cs="Arial"/>
          <w:b/>
        </w:rPr>
        <w:tab/>
      </w:r>
      <w:r>
        <w:rPr>
          <w:rFonts w:ascii="Book Antiqua" w:hAnsi="Book Antiqua" w:cs="Arial"/>
          <w:b/>
        </w:rPr>
        <w:tab/>
        <w:t>Mr</w:t>
      </w:r>
      <w:r w:rsidR="00D722FD">
        <w:rPr>
          <w:rFonts w:ascii="Book Antiqua" w:hAnsi="Book Antiqua" w:cs="Arial"/>
          <w:b/>
        </w:rPr>
        <w:t xml:space="preserve"> H. Sadiq, Adam Solicitors</w:t>
      </w:r>
    </w:p>
    <w:p w14:paraId="6EE5E61C" w14:textId="77777777" w:rsidR="00921874" w:rsidRDefault="0019206C" w:rsidP="00921874">
      <w:pPr>
        <w:rPr>
          <w:rFonts w:ascii="Book Antiqua" w:hAnsi="Book Antiqua" w:cs="Arial"/>
          <w:b/>
        </w:rPr>
      </w:pPr>
      <w:r>
        <w:rPr>
          <w:rFonts w:ascii="Book Antiqua" w:hAnsi="Book Antiqua" w:cs="Arial"/>
          <w:b/>
        </w:rPr>
        <w:t>For the Respondent</w:t>
      </w:r>
      <w:r w:rsidR="00E96F21">
        <w:rPr>
          <w:rFonts w:ascii="Book Antiqua" w:hAnsi="Book Antiqua" w:cs="Arial"/>
          <w:b/>
        </w:rPr>
        <w:t xml:space="preserve">: </w:t>
      </w:r>
      <w:r w:rsidR="00E96F21">
        <w:rPr>
          <w:rFonts w:ascii="Book Antiqua" w:hAnsi="Book Antiqua" w:cs="Arial"/>
          <w:b/>
        </w:rPr>
        <w:tab/>
      </w:r>
      <w:r w:rsidR="00D22581">
        <w:rPr>
          <w:rFonts w:ascii="Book Antiqua" w:hAnsi="Book Antiqua" w:cs="Arial"/>
          <w:b/>
        </w:rPr>
        <w:t xml:space="preserve">Mr </w:t>
      </w:r>
      <w:r w:rsidR="00921874">
        <w:rPr>
          <w:rFonts w:ascii="Book Antiqua" w:hAnsi="Book Antiqua" w:cs="Arial"/>
          <w:b/>
        </w:rPr>
        <w:t xml:space="preserve">Bates, </w:t>
      </w:r>
      <w:r w:rsidR="00921874" w:rsidRPr="009D726D">
        <w:rPr>
          <w:rFonts w:ascii="Book Antiqua" w:hAnsi="Book Antiqua" w:cs="Arial"/>
          <w:b/>
        </w:rPr>
        <w:t>Senior</w:t>
      </w:r>
      <w:r w:rsidR="00921874">
        <w:rPr>
          <w:rFonts w:ascii="Book Antiqua" w:hAnsi="Book Antiqua" w:cs="Arial"/>
          <w:b/>
        </w:rPr>
        <w:t xml:space="preserve"> Home Office Presenting Officer</w:t>
      </w:r>
      <w:r w:rsidR="00921874">
        <w:rPr>
          <w:rFonts w:ascii="Book Antiqua" w:hAnsi="Book Antiqua" w:cs="Arial"/>
          <w:b/>
        </w:rPr>
        <w:tab/>
      </w:r>
    </w:p>
    <w:p w14:paraId="04B9B045" w14:textId="77777777" w:rsidR="00D22581" w:rsidRDefault="00D22581" w:rsidP="00473C4B">
      <w:pPr>
        <w:rPr>
          <w:rFonts w:ascii="Book Antiqua" w:hAnsi="Book Antiqua" w:cs="Arial"/>
          <w:b/>
        </w:rPr>
      </w:pPr>
    </w:p>
    <w:p w14:paraId="62ABF05A" w14:textId="77777777" w:rsidR="00921874" w:rsidRDefault="00921874" w:rsidP="00473C4B">
      <w:pPr>
        <w:rPr>
          <w:rFonts w:ascii="Book Antiqua" w:hAnsi="Book Antiqua" w:cs="Arial"/>
          <w:b/>
        </w:rPr>
      </w:pPr>
    </w:p>
    <w:p w14:paraId="793089C1" w14:textId="77777777" w:rsidR="00C766AA" w:rsidRPr="00800967" w:rsidRDefault="00D5667E" w:rsidP="00D5667E">
      <w:pPr>
        <w:tabs>
          <w:tab w:val="left" w:pos="2520"/>
        </w:tabs>
        <w:jc w:val="center"/>
        <w:outlineLvl w:val="0"/>
        <w:rPr>
          <w:rFonts w:ascii="Book Antiqua" w:hAnsi="Book Antiqua" w:cs="Arial"/>
          <w:b/>
          <w:u w:val="single"/>
        </w:rPr>
      </w:pPr>
      <w:r w:rsidRPr="002F0E4A">
        <w:rPr>
          <w:rFonts w:ascii="Book Antiqua" w:hAnsi="Book Antiqua" w:cs="Arial"/>
          <w:b/>
          <w:u w:val="single"/>
        </w:rPr>
        <w:t>DETERMINATION AND REASONS</w:t>
      </w:r>
    </w:p>
    <w:p w14:paraId="5621A1E1" w14:textId="77777777" w:rsidR="006F4E5F" w:rsidRPr="00BB0BED" w:rsidRDefault="006F4E5F" w:rsidP="00503887">
      <w:pPr>
        <w:tabs>
          <w:tab w:val="left" w:pos="2520"/>
        </w:tabs>
        <w:ind w:right="567"/>
        <w:jc w:val="both"/>
        <w:rPr>
          <w:rFonts w:ascii="Book Antiqua" w:hAnsi="Book Antiqua" w:cs="Arial"/>
        </w:rPr>
      </w:pPr>
    </w:p>
    <w:p w14:paraId="634C1CD0" w14:textId="77777777" w:rsidR="00921874" w:rsidRPr="00D722FD" w:rsidRDefault="0019206C" w:rsidP="00D722FD">
      <w:pPr>
        <w:numPr>
          <w:ilvl w:val="0"/>
          <w:numId w:val="1"/>
        </w:numPr>
        <w:tabs>
          <w:tab w:val="left" w:pos="567"/>
        </w:tabs>
        <w:ind w:left="567" w:right="567"/>
        <w:jc w:val="both"/>
        <w:rPr>
          <w:rFonts w:ascii="Book Antiqua" w:hAnsi="Book Antiqua" w:cs="Arial"/>
        </w:rPr>
      </w:pPr>
      <w:r w:rsidRPr="007C1FC3">
        <w:rPr>
          <w:rFonts w:ascii="Book Antiqua" w:hAnsi="Book Antiqua" w:cs="Arial"/>
        </w:rPr>
        <w:t xml:space="preserve">The </w:t>
      </w:r>
      <w:r w:rsidR="00921874">
        <w:rPr>
          <w:rFonts w:ascii="Book Antiqua" w:hAnsi="Book Antiqua" w:cs="Arial"/>
        </w:rPr>
        <w:t>Appellant</w:t>
      </w:r>
      <w:r w:rsidR="00D722FD">
        <w:rPr>
          <w:rFonts w:ascii="Book Antiqua" w:hAnsi="Book Antiqua" w:cs="Arial"/>
        </w:rPr>
        <w:t xml:space="preserve"> claims to be an undocumented ‘Bidoon’ from Kuwait. As such he claims to be stateless. He was born in 1984. </w:t>
      </w:r>
      <w:r w:rsidR="007C1FC3" w:rsidRPr="00D722FD">
        <w:rPr>
          <w:rFonts w:ascii="Book Antiqua" w:hAnsi="Book Antiqua" w:cs="Arial"/>
        </w:rPr>
        <w:t xml:space="preserve"> </w:t>
      </w:r>
      <w:r w:rsidR="00921874" w:rsidRPr="00D722FD">
        <w:rPr>
          <w:rFonts w:ascii="Book Antiqua" w:hAnsi="Book Antiqua" w:cs="Arial"/>
        </w:rPr>
        <w:t>He appeals with permission</w:t>
      </w:r>
      <w:r w:rsidR="00BF2B1F">
        <w:rPr>
          <w:rStyle w:val="FootnoteReference"/>
          <w:rFonts w:ascii="Book Antiqua" w:hAnsi="Book Antiqua"/>
        </w:rPr>
        <w:footnoteReference w:id="1"/>
      </w:r>
      <w:r w:rsidR="00921874" w:rsidRPr="00D722FD">
        <w:rPr>
          <w:rFonts w:ascii="Book Antiqua" w:hAnsi="Book Antiqua" w:cs="Arial"/>
        </w:rPr>
        <w:t xml:space="preserve"> the decision of the First-tier Tribunal (Judge </w:t>
      </w:r>
      <w:r w:rsidR="00D722FD">
        <w:rPr>
          <w:rFonts w:ascii="Book Antiqua" w:hAnsi="Book Antiqua" w:cs="Arial"/>
        </w:rPr>
        <w:t>G. Tobin</w:t>
      </w:r>
      <w:r w:rsidR="00921874" w:rsidRPr="00D722FD">
        <w:rPr>
          <w:rFonts w:ascii="Book Antiqua" w:hAnsi="Book Antiqua" w:cs="Arial"/>
        </w:rPr>
        <w:t xml:space="preserve">), dated the </w:t>
      </w:r>
      <w:r w:rsidR="00D722FD">
        <w:rPr>
          <w:rFonts w:ascii="Book Antiqua" w:hAnsi="Book Antiqua" w:cs="Arial"/>
        </w:rPr>
        <w:t>25</w:t>
      </w:r>
      <w:r w:rsidR="00921874" w:rsidRPr="00D722FD">
        <w:rPr>
          <w:rFonts w:ascii="Book Antiqua" w:hAnsi="Book Antiqua" w:cs="Arial"/>
          <w:vertAlign w:val="superscript"/>
        </w:rPr>
        <w:t>th</w:t>
      </w:r>
      <w:r w:rsidR="00921874" w:rsidRPr="00D722FD">
        <w:rPr>
          <w:rFonts w:ascii="Book Antiqua" w:hAnsi="Book Antiqua" w:cs="Arial"/>
        </w:rPr>
        <w:t xml:space="preserve"> </w:t>
      </w:r>
      <w:r w:rsidR="00D722FD">
        <w:rPr>
          <w:rFonts w:ascii="Book Antiqua" w:hAnsi="Book Antiqua" w:cs="Arial"/>
        </w:rPr>
        <w:t>July</w:t>
      </w:r>
      <w:r w:rsidR="00921874" w:rsidRPr="00D722FD">
        <w:rPr>
          <w:rFonts w:ascii="Book Antiqua" w:hAnsi="Book Antiqua" w:cs="Arial"/>
        </w:rPr>
        <w:t xml:space="preserve"> </w:t>
      </w:r>
      <w:r w:rsidR="00C47D8E" w:rsidRPr="00D722FD">
        <w:rPr>
          <w:rFonts w:ascii="Book Antiqua" w:hAnsi="Book Antiqua" w:cs="Arial"/>
        </w:rPr>
        <w:t>2017, to</w:t>
      </w:r>
      <w:r w:rsidR="00921874" w:rsidRPr="00D722FD">
        <w:rPr>
          <w:rFonts w:ascii="Book Antiqua" w:hAnsi="Book Antiqua" w:cs="Arial"/>
        </w:rPr>
        <w:t xml:space="preserve"> dismiss his protection appeal.</w:t>
      </w:r>
    </w:p>
    <w:p w14:paraId="79FA3CDD" w14:textId="77777777" w:rsidR="00921874" w:rsidRDefault="00921874" w:rsidP="00921874">
      <w:pPr>
        <w:tabs>
          <w:tab w:val="left" w:pos="567"/>
        </w:tabs>
        <w:ind w:left="567" w:right="567"/>
        <w:jc w:val="both"/>
        <w:rPr>
          <w:rFonts w:ascii="Book Antiqua" w:hAnsi="Book Antiqua" w:cs="Arial"/>
        </w:rPr>
      </w:pPr>
    </w:p>
    <w:p w14:paraId="0FFDDA4E" w14:textId="77777777" w:rsidR="00D722FD" w:rsidRPr="00BF2B1F" w:rsidRDefault="00921874" w:rsidP="00D722FD">
      <w:pPr>
        <w:numPr>
          <w:ilvl w:val="0"/>
          <w:numId w:val="1"/>
        </w:numPr>
        <w:tabs>
          <w:tab w:val="left" w:pos="567"/>
        </w:tabs>
        <w:ind w:left="567" w:right="567"/>
        <w:jc w:val="both"/>
        <w:rPr>
          <w:rFonts w:ascii="Book Antiqua" w:hAnsi="Book Antiqua" w:cs="Arial"/>
        </w:rPr>
      </w:pPr>
      <w:r>
        <w:rPr>
          <w:rFonts w:ascii="Book Antiqua" w:hAnsi="Book Antiqua" w:cs="Arial"/>
        </w:rPr>
        <w:lastRenderedPageBreak/>
        <w:t>The substance of the appeal before the First-tier Tribunal was that the Appellant has</w:t>
      </w:r>
      <w:r w:rsidR="00D722FD">
        <w:rPr>
          <w:rFonts w:ascii="Book Antiqua" w:hAnsi="Book Antiqua" w:cs="Arial"/>
        </w:rPr>
        <w:t>, in relation to Kuwait,</w:t>
      </w:r>
      <w:r>
        <w:rPr>
          <w:rFonts w:ascii="Book Antiqua" w:hAnsi="Book Antiqua" w:cs="Arial"/>
        </w:rPr>
        <w:t xml:space="preserve"> a well-founded fear of </w:t>
      </w:r>
      <w:r w:rsidR="00D722FD">
        <w:rPr>
          <w:rFonts w:ascii="Book Antiqua" w:hAnsi="Book Antiqua" w:cs="Arial"/>
        </w:rPr>
        <w:t xml:space="preserve">systematic discrimination, denial of basic rights and physical ill-treatment amounting to persecution. Although the Appellant advanced an account of political involvement prior to his having left Kuwait, it was common ground that the appeal did not turn on whether or not that account was true. The real question was whether the Appellant is in fact an ‘undocumented Bidoon’. If he is, then he is entitled to refugee status in accordance with the extant country guidance: </w:t>
      </w:r>
      <w:r w:rsidR="00D722FD" w:rsidRPr="00D722FD">
        <w:rPr>
          <w:rFonts w:ascii="Book Antiqua" w:hAnsi="Book Antiqua" w:cs="Arial"/>
          <w:u w:val="single"/>
        </w:rPr>
        <w:t>HE (Bidoon – statelessness – risk of persecution</w:t>
      </w:r>
      <w:r w:rsidR="00D722FD" w:rsidRPr="00D722FD">
        <w:rPr>
          <w:rFonts w:ascii="Book Antiqua" w:hAnsi="Book Antiqua" w:cs="Arial"/>
        </w:rPr>
        <w:t xml:space="preserve">) Kuwait CG [2006] UKAIT </w:t>
      </w:r>
      <w:r w:rsidR="00C47D8E" w:rsidRPr="00D722FD">
        <w:rPr>
          <w:rFonts w:ascii="Book Antiqua" w:hAnsi="Book Antiqua" w:cs="Arial"/>
        </w:rPr>
        <w:t>00051</w:t>
      </w:r>
      <w:r w:rsidR="00C47D8E">
        <w:rPr>
          <w:rFonts w:ascii="Book Antiqua" w:hAnsi="Book Antiqua" w:cs="Arial"/>
        </w:rPr>
        <w:t xml:space="preserve">, </w:t>
      </w:r>
      <w:r w:rsidR="00C47D8E" w:rsidRPr="00D722FD">
        <w:rPr>
          <w:rFonts w:ascii="Book Antiqua" w:hAnsi="Book Antiqua" w:cs="Arial"/>
        </w:rPr>
        <w:t>NM</w:t>
      </w:r>
      <w:r w:rsidR="00D722FD" w:rsidRPr="00D722FD">
        <w:rPr>
          <w:rFonts w:ascii="Book Antiqua" w:hAnsi="Book Antiqua"/>
          <w:u w:val="single"/>
        </w:rPr>
        <w:t xml:space="preserve"> (documented/undocumented Bidoon: risk</w:t>
      </w:r>
      <w:r w:rsidR="00D722FD" w:rsidRPr="00D722FD">
        <w:rPr>
          <w:rFonts w:ascii="Book Antiqua" w:hAnsi="Book Antiqua"/>
        </w:rPr>
        <w:t>) Kuwait CG [2013] UKUT 00356</w:t>
      </w:r>
      <w:r w:rsidR="00BF2B1F">
        <w:rPr>
          <w:rFonts w:ascii="Book Antiqua" w:hAnsi="Book Antiqua"/>
        </w:rPr>
        <w:t xml:space="preserve"> </w:t>
      </w:r>
      <w:r w:rsidR="00D722FD" w:rsidRPr="00D722FD">
        <w:rPr>
          <w:rFonts w:ascii="Book Antiqua" w:hAnsi="Book Antiqua"/>
        </w:rPr>
        <w:t>(IAC)</w:t>
      </w:r>
      <w:r w:rsidR="00BF2B1F">
        <w:rPr>
          <w:rFonts w:ascii="Book Antiqua" w:hAnsi="Book Antiqua"/>
        </w:rPr>
        <w:t>.  It is perhaps evident from the foregoing that the only matter of substance in issue before the First-tier Tribunal was whether the Appellant so qualified.</w:t>
      </w:r>
    </w:p>
    <w:p w14:paraId="18ACAB18" w14:textId="77777777" w:rsidR="00BF2B1F" w:rsidRDefault="00BF2B1F" w:rsidP="00BF2B1F">
      <w:pPr>
        <w:pStyle w:val="ListParagraph"/>
        <w:rPr>
          <w:rFonts w:ascii="Book Antiqua" w:hAnsi="Book Antiqua" w:cs="Arial"/>
        </w:rPr>
      </w:pPr>
    </w:p>
    <w:p w14:paraId="332C7982" w14:textId="77777777" w:rsidR="00BF2B1F" w:rsidRDefault="00BF2B1F" w:rsidP="00D722FD">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First-tier Tribunal heard evidence from the Appellant and had placed before it various country background reports, the relevant country guidance, and a report by Dr Aman </w:t>
      </w:r>
      <w:proofErr w:type="spellStart"/>
      <w:r>
        <w:rPr>
          <w:rFonts w:ascii="Book Antiqua" w:hAnsi="Book Antiqua" w:cs="Arial"/>
        </w:rPr>
        <w:t>Durrani</w:t>
      </w:r>
      <w:proofErr w:type="spellEnd"/>
      <w:r>
        <w:rPr>
          <w:rFonts w:ascii="Book Antiqua" w:hAnsi="Book Antiqua" w:cs="Arial"/>
        </w:rPr>
        <w:t xml:space="preserve">, a Psychiatrist who had seen the </w:t>
      </w:r>
      <w:r w:rsidR="00CC6A16">
        <w:rPr>
          <w:rFonts w:ascii="Book Antiqua" w:hAnsi="Book Antiqua" w:cs="Arial"/>
        </w:rPr>
        <w:t>Appellant on one occasion, in October 2016</w:t>
      </w:r>
      <w:r w:rsidR="006B0EF8">
        <w:rPr>
          <w:rFonts w:ascii="Book Antiqua" w:hAnsi="Book Antiqua" w:cs="Arial"/>
        </w:rPr>
        <w:t>.</w:t>
      </w:r>
      <w:r>
        <w:rPr>
          <w:rFonts w:ascii="Book Antiqua" w:hAnsi="Book Antiqua" w:cs="Arial"/>
        </w:rPr>
        <w:t xml:space="preserve">  </w:t>
      </w:r>
      <w:r w:rsidR="00CC6A16">
        <w:rPr>
          <w:rFonts w:ascii="Book Antiqua" w:hAnsi="Book Antiqua" w:cs="Arial"/>
        </w:rPr>
        <w:t xml:space="preserve">Dr </w:t>
      </w:r>
      <w:proofErr w:type="spellStart"/>
      <w:r w:rsidR="00CC6A16">
        <w:rPr>
          <w:rFonts w:ascii="Book Antiqua" w:hAnsi="Book Antiqua" w:cs="Arial"/>
        </w:rPr>
        <w:t>Durrani</w:t>
      </w:r>
      <w:proofErr w:type="spellEnd"/>
      <w:r w:rsidR="00CC6A16">
        <w:rPr>
          <w:rFonts w:ascii="Book Antiqua" w:hAnsi="Book Antiqua" w:cs="Arial"/>
        </w:rPr>
        <w:t xml:space="preserve"> concluded that the Appellant was suffering from Generalised Anxiety Disorder. The Appellant further relied on the evidence of a witness, a Mr A. Mr A has been recognised as a refugee on the grounds that he is an undocumented Bidoon</w:t>
      </w:r>
      <w:r w:rsidR="00351D2D">
        <w:rPr>
          <w:rFonts w:ascii="Book Antiqua" w:hAnsi="Book Antiqua" w:cs="Arial"/>
        </w:rPr>
        <w:t xml:space="preserve">. Mr A avers that he is the Appellant’s </w:t>
      </w:r>
      <w:proofErr w:type="gramStart"/>
      <w:r w:rsidR="00C47D8E">
        <w:rPr>
          <w:rFonts w:ascii="Book Antiqua" w:hAnsi="Book Antiqua" w:cs="Arial"/>
        </w:rPr>
        <w:t>cousin, and</w:t>
      </w:r>
      <w:proofErr w:type="gramEnd"/>
      <w:r w:rsidR="00CC6A16">
        <w:rPr>
          <w:rFonts w:ascii="Book Antiqua" w:hAnsi="Book Antiqua" w:cs="Arial"/>
        </w:rPr>
        <w:t xml:space="preserve"> </w:t>
      </w:r>
      <w:r w:rsidR="00351D2D">
        <w:rPr>
          <w:rFonts w:ascii="Book Antiqua" w:hAnsi="Book Antiqua" w:cs="Arial"/>
        </w:rPr>
        <w:t xml:space="preserve">produced </w:t>
      </w:r>
      <w:r w:rsidR="00CC6A16">
        <w:rPr>
          <w:rFonts w:ascii="Book Antiqua" w:hAnsi="Book Antiqua" w:cs="Arial"/>
        </w:rPr>
        <w:t xml:space="preserve">a DNA profiling report which indicated that </w:t>
      </w:r>
      <w:r w:rsidR="00351D2D">
        <w:rPr>
          <w:rFonts w:ascii="Book Antiqua" w:hAnsi="Book Antiqua" w:cs="Arial"/>
        </w:rPr>
        <w:t>Mr A and the Appellant were indeed related as claimed</w:t>
      </w:r>
      <w:r w:rsidR="00CC6A16">
        <w:rPr>
          <w:rFonts w:ascii="Book Antiqua" w:hAnsi="Book Antiqua" w:cs="Arial"/>
        </w:rPr>
        <w:t>.</w:t>
      </w:r>
      <w:r w:rsidR="006B0EF8">
        <w:rPr>
          <w:rFonts w:ascii="Book Antiqua" w:hAnsi="Book Antiqua" w:cs="Arial"/>
        </w:rPr>
        <w:t xml:space="preserve">  It was part of the A</w:t>
      </w:r>
      <w:r w:rsidR="00351D2D">
        <w:rPr>
          <w:rFonts w:ascii="Book Antiqua" w:hAnsi="Book Antiqua" w:cs="Arial"/>
        </w:rPr>
        <w:t>ppellant’s claim and that he and Mr A had both attended the same demonstration in 2014 which led the Appellant to flee Kuwait.</w:t>
      </w:r>
    </w:p>
    <w:p w14:paraId="4C3E3622" w14:textId="77777777" w:rsidR="00CC6A16" w:rsidRDefault="00CC6A16" w:rsidP="00CC6A16">
      <w:pPr>
        <w:pStyle w:val="ListParagraph"/>
        <w:rPr>
          <w:rFonts w:ascii="Book Antiqua" w:hAnsi="Book Antiqua" w:cs="Arial"/>
        </w:rPr>
      </w:pPr>
    </w:p>
    <w:p w14:paraId="09AFA240" w14:textId="77777777" w:rsidR="00CC6A16" w:rsidRDefault="006B0EF8" w:rsidP="00CC6A16">
      <w:pPr>
        <w:numPr>
          <w:ilvl w:val="0"/>
          <w:numId w:val="1"/>
        </w:numPr>
        <w:tabs>
          <w:tab w:val="left" w:pos="567"/>
        </w:tabs>
        <w:ind w:left="567" w:right="567"/>
        <w:jc w:val="both"/>
        <w:rPr>
          <w:rFonts w:ascii="Book Antiqua" w:hAnsi="Book Antiqua" w:cs="Arial"/>
        </w:rPr>
      </w:pPr>
      <w:r>
        <w:rPr>
          <w:rFonts w:ascii="Book Antiqua" w:hAnsi="Book Antiqua" w:cs="Arial"/>
        </w:rPr>
        <w:t>Having had regard to that evidence the</w:t>
      </w:r>
      <w:r w:rsidR="00CC6A16">
        <w:rPr>
          <w:rFonts w:ascii="Book Antiqua" w:hAnsi="Book Antiqua" w:cs="Arial"/>
        </w:rPr>
        <w:t xml:space="preserve"> First-tier Tribunal gave several reasons for rejecting the Appellant’s credibility as a witness:</w:t>
      </w:r>
    </w:p>
    <w:p w14:paraId="31F03A4E" w14:textId="77777777" w:rsidR="00CC6A16" w:rsidRDefault="00CC6A16" w:rsidP="00CC6A16">
      <w:pPr>
        <w:pStyle w:val="ListParagraph"/>
        <w:rPr>
          <w:rFonts w:ascii="Book Antiqua" w:hAnsi="Book Antiqua" w:cs="Arial"/>
        </w:rPr>
      </w:pPr>
    </w:p>
    <w:p w14:paraId="67F99FFF" w14:textId="77777777" w:rsidR="00DA781F" w:rsidRDefault="00DA781F" w:rsidP="00CC6A16">
      <w:pPr>
        <w:numPr>
          <w:ilvl w:val="0"/>
          <w:numId w:val="13"/>
        </w:numPr>
        <w:tabs>
          <w:tab w:val="left" w:pos="567"/>
        </w:tabs>
        <w:ind w:right="567"/>
        <w:jc w:val="both"/>
        <w:rPr>
          <w:rFonts w:ascii="Book Antiqua" w:hAnsi="Book Antiqua" w:cs="Arial"/>
        </w:rPr>
      </w:pPr>
      <w:r>
        <w:rPr>
          <w:rFonts w:ascii="Book Antiqua" w:hAnsi="Book Antiqua" w:cs="Arial"/>
        </w:rPr>
        <w:t>The Respondent had identified several errors/lacunae in the Appellant’s knowledge of the Bidoon;</w:t>
      </w:r>
    </w:p>
    <w:p w14:paraId="6E7BD56C" w14:textId="77777777" w:rsidR="00DA781F" w:rsidRDefault="00DA781F" w:rsidP="00DA781F">
      <w:pPr>
        <w:tabs>
          <w:tab w:val="left" w:pos="567"/>
        </w:tabs>
        <w:ind w:left="2163" w:right="567"/>
        <w:jc w:val="both"/>
        <w:rPr>
          <w:rFonts w:ascii="Book Antiqua" w:hAnsi="Book Antiqua" w:cs="Arial"/>
        </w:rPr>
      </w:pPr>
    </w:p>
    <w:p w14:paraId="1FB77DA2" w14:textId="77777777" w:rsidR="00CC6A16" w:rsidRDefault="00CC6A16" w:rsidP="00CC6A16">
      <w:pPr>
        <w:numPr>
          <w:ilvl w:val="0"/>
          <w:numId w:val="13"/>
        </w:numPr>
        <w:tabs>
          <w:tab w:val="left" w:pos="567"/>
        </w:tabs>
        <w:ind w:right="567"/>
        <w:jc w:val="both"/>
        <w:rPr>
          <w:rFonts w:ascii="Book Antiqua" w:hAnsi="Book Antiqua" w:cs="Arial"/>
        </w:rPr>
      </w:pPr>
      <w:r>
        <w:rPr>
          <w:rFonts w:ascii="Book Antiqua" w:hAnsi="Book Antiqua" w:cs="Arial"/>
        </w:rPr>
        <w:t>He had given inconsistent evidence about what relatives he had in Kuwait;</w:t>
      </w:r>
    </w:p>
    <w:p w14:paraId="5D5B6AD2" w14:textId="77777777" w:rsidR="00CC6A16" w:rsidRDefault="00CC6A16" w:rsidP="00CC6A16">
      <w:pPr>
        <w:tabs>
          <w:tab w:val="left" w:pos="567"/>
        </w:tabs>
        <w:ind w:left="2163" w:right="567"/>
        <w:jc w:val="both"/>
        <w:rPr>
          <w:rFonts w:ascii="Book Antiqua" w:hAnsi="Book Antiqua" w:cs="Arial"/>
        </w:rPr>
      </w:pPr>
    </w:p>
    <w:p w14:paraId="171DD242" w14:textId="77777777" w:rsidR="00CC6A16" w:rsidRDefault="00CC6A16" w:rsidP="00CC6A16">
      <w:pPr>
        <w:numPr>
          <w:ilvl w:val="0"/>
          <w:numId w:val="13"/>
        </w:numPr>
        <w:tabs>
          <w:tab w:val="left" w:pos="567"/>
        </w:tabs>
        <w:ind w:right="567"/>
        <w:jc w:val="both"/>
        <w:rPr>
          <w:rFonts w:ascii="Book Antiqua" w:hAnsi="Book Antiqua" w:cs="Arial"/>
        </w:rPr>
      </w:pPr>
      <w:r>
        <w:rPr>
          <w:rFonts w:ascii="Book Antiqua" w:hAnsi="Book Antiqua" w:cs="Arial"/>
        </w:rPr>
        <w:t>His account of attending the demonstration at the invitation of a friend was not convincing and sounded “odd”</w:t>
      </w:r>
      <w:r w:rsidR="00351D2D">
        <w:rPr>
          <w:rFonts w:ascii="Book Antiqua" w:hAnsi="Book Antiqua" w:cs="Arial"/>
        </w:rPr>
        <w:t>;</w:t>
      </w:r>
    </w:p>
    <w:p w14:paraId="6E17EAE4" w14:textId="77777777" w:rsidR="00351D2D" w:rsidRDefault="00351D2D" w:rsidP="00351D2D">
      <w:pPr>
        <w:pStyle w:val="ListParagraph"/>
        <w:rPr>
          <w:rFonts w:ascii="Book Antiqua" w:hAnsi="Book Antiqua" w:cs="Arial"/>
        </w:rPr>
      </w:pPr>
    </w:p>
    <w:p w14:paraId="269B2085" w14:textId="77777777" w:rsidR="00351D2D" w:rsidRDefault="00351D2D" w:rsidP="00CC6A16">
      <w:pPr>
        <w:numPr>
          <w:ilvl w:val="0"/>
          <w:numId w:val="13"/>
        </w:numPr>
        <w:tabs>
          <w:tab w:val="left" w:pos="567"/>
        </w:tabs>
        <w:ind w:right="567"/>
        <w:jc w:val="both"/>
        <w:rPr>
          <w:rFonts w:ascii="Book Antiqua" w:hAnsi="Book Antiqua" w:cs="Arial"/>
        </w:rPr>
      </w:pPr>
      <w:r>
        <w:rPr>
          <w:rFonts w:ascii="Book Antiqua" w:hAnsi="Book Antiqua" w:cs="Arial"/>
        </w:rPr>
        <w:t>He and Mr A had been vague and inconsistent about whether they had seen each other on the demonstration;</w:t>
      </w:r>
    </w:p>
    <w:p w14:paraId="283B532D" w14:textId="77777777" w:rsidR="00351D2D" w:rsidRDefault="00351D2D" w:rsidP="00351D2D">
      <w:pPr>
        <w:pStyle w:val="ListParagraph"/>
        <w:rPr>
          <w:rFonts w:ascii="Book Antiqua" w:hAnsi="Book Antiqua" w:cs="Arial"/>
        </w:rPr>
      </w:pPr>
    </w:p>
    <w:p w14:paraId="06F2BC6B" w14:textId="77777777" w:rsidR="00351D2D" w:rsidRDefault="00351D2D" w:rsidP="00CC6A16">
      <w:pPr>
        <w:numPr>
          <w:ilvl w:val="0"/>
          <w:numId w:val="13"/>
        </w:numPr>
        <w:tabs>
          <w:tab w:val="left" w:pos="567"/>
        </w:tabs>
        <w:ind w:right="567"/>
        <w:jc w:val="both"/>
        <w:rPr>
          <w:rFonts w:ascii="Book Antiqua" w:hAnsi="Book Antiqua" w:cs="Arial"/>
        </w:rPr>
      </w:pPr>
      <w:r>
        <w:rPr>
          <w:rFonts w:ascii="Book Antiqua" w:hAnsi="Book Antiqua" w:cs="Arial"/>
        </w:rPr>
        <w:t>It was not credible or convincing that after the Appellant fled police he managed to hide in some sheep pens for 1 year 3 months without being detected, particularly when the authorities came and searched those pens;</w:t>
      </w:r>
    </w:p>
    <w:p w14:paraId="29330AE5" w14:textId="77777777" w:rsidR="00351D2D" w:rsidRDefault="00351D2D" w:rsidP="00351D2D">
      <w:pPr>
        <w:pStyle w:val="ListParagraph"/>
        <w:rPr>
          <w:rFonts w:ascii="Book Antiqua" w:hAnsi="Book Antiqua" w:cs="Arial"/>
        </w:rPr>
      </w:pPr>
    </w:p>
    <w:p w14:paraId="2635CB9C" w14:textId="77777777" w:rsidR="00351D2D" w:rsidRDefault="00351D2D" w:rsidP="00CC6A16">
      <w:pPr>
        <w:numPr>
          <w:ilvl w:val="0"/>
          <w:numId w:val="13"/>
        </w:numPr>
        <w:tabs>
          <w:tab w:val="left" w:pos="567"/>
        </w:tabs>
        <w:ind w:right="567"/>
        <w:jc w:val="both"/>
        <w:rPr>
          <w:rFonts w:ascii="Book Antiqua" w:hAnsi="Book Antiqua" w:cs="Arial"/>
        </w:rPr>
      </w:pPr>
      <w:r>
        <w:rPr>
          <w:rFonts w:ascii="Book Antiqua" w:hAnsi="Book Antiqua" w:cs="Arial"/>
        </w:rPr>
        <w:lastRenderedPageBreak/>
        <w:t>Nor was it credible or convincing that Mr A and the Appellant were both hiding in the same set of sheep pens for such an extended period and yet never saw each other there</w:t>
      </w:r>
      <w:r w:rsidR="0086393D">
        <w:rPr>
          <w:rFonts w:ascii="Book Antiqua" w:hAnsi="Book Antiqua" w:cs="Arial"/>
        </w:rPr>
        <w:t>. This story was implausible and unbelievable;</w:t>
      </w:r>
    </w:p>
    <w:p w14:paraId="78D0E008" w14:textId="77777777" w:rsidR="0086393D" w:rsidRDefault="0086393D" w:rsidP="0086393D">
      <w:pPr>
        <w:pStyle w:val="ListParagraph"/>
        <w:rPr>
          <w:rFonts w:ascii="Book Antiqua" w:hAnsi="Book Antiqua" w:cs="Arial"/>
        </w:rPr>
      </w:pPr>
    </w:p>
    <w:p w14:paraId="002F943D" w14:textId="77777777" w:rsidR="0086393D" w:rsidRDefault="0086393D" w:rsidP="00CC6A16">
      <w:pPr>
        <w:numPr>
          <w:ilvl w:val="0"/>
          <w:numId w:val="13"/>
        </w:numPr>
        <w:tabs>
          <w:tab w:val="left" w:pos="567"/>
        </w:tabs>
        <w:ind w:right="567"/>
        <w:jc w:val="both"/>
        <w:rPr>
          <w:rFonts w:ascii="Book Antiqua" w:hAnsi="Book Antiqua" w:cs="Arial"/>
        </w:rPr>
      </w:pPr>
      <w:r>
        <w:rPr>
          <w:rFonts w:ascii="Book Antiqua" w:hAnsi="Book Antiqua" w:cs="Arial"/>
        </w:rPr>
        <w:t>The Appellant had failed to claim asylum in a safe third country;</w:t>
      </w:r>
    </w:p>
    <w:p w14:paraId="3C56890E" w14:textId="77777777" w:rsidR="0086393D" w:rsidRDefault="0086393D" w:rsidP="0086393D">
      <w:pPr>
        <w:pStyle w:val="ListParagraph"/>
        <w:rPr>
          <w:rFonts w:ascii="Book Antiqua" w:hAnsi="Book Antiqua" w:cs="Arial"/>
        </w:rPr>
      </w:pPr>
    </w:p>
    <w:p w14:paraId="5ED4ADF6" w14:textId="77777777" w:rsidR="0086393D" w:rsidRDefault="0086393D" w:rsidP="00CC6A16">
      <w:pPr>
        <w:numPr>
          <w:ilvl w:val="0"/>
          <w:numId w:val="13"/>
        </w:numPr>
        <w:tabs>
          <w:tab w:val="left" w:pos="567"/>
        </w:tabs>
        <w:ind w:right="567"/>
        <w:jc w:val="both"/>
        <w:rPr>
          <w:rFonts w:ascii="Book Antiqua" w:hAnsi="Book Antiqua" w:cs="Arial"/>
        </w:rPr>
      </w:pPr>
      <w:r>
        <w:rPr>
          <w:rFonts w:ascii="Book Antiqua" w:hAnsi="Book Antiqua" w:cs="Arial"/>
        </w:rPr>
        <w:t>The Appellant’s evidence was evasive and unconvincing;</w:t>
      </w:r>
    </w:p>
    <w:p w14:paraId="2022905C" w14:textId="77777777" w:rsidR="0086393D" w:rsidRDefault="0086393D" w:rsidP="0086393D">
      <w:pPr>
        <w:pStyle w:val="ListParagraph"/>
        <w:rPr>
          <w:rFonts w:ascii="Book Antiqua" w:hAnsi="Book Antiqua" w:cs="Arial"/>
        </w:rPr>
      </w:pPr>
    </w:p>
    <w:p w14:paraId="6908D2AA" w14:textId="77777777" w:rsidR="006B0EF8" w:rsidRDefault="0086393D" w:rsidP="00CC6A16">
      <w:pPr>
        <w:numPr>
          <w:ilvl w:val="0"/>
          <w:numId w:val="13"/>
        </w:numPr>
        <w:tabs>
          <w:tab w:val="left" w:pos="567"/>
        </w:tabs>
        <w:ind w:right="567"/>
        <w:jc w:val="both"/>
        <w:rPr>
          <w:rFonts w:ascii="Book Antiqua" w:hAnsi="Book Antiqua" w:cs="Arial"/>
        </w:rPr>
      </w:pPr>
      <w:r>
        <w:rPr>
          <w:rFonts w:ascii="Book Antiqua" w:hAnsi="Book Antiqua" w:cs="Arial"/>
        </w:rPr>
        <w:t>The DNA report could not be relied upon since the report itself acknowledged that the samples had not been collected under a strict chain of custody by a neutral third-party</w:t>
      </w:r>
      <w:r w:rsidR="006B0EF8">
        <w:rPr>
          <w:rFonts w:ascii="Book Antiqua" w:hAnsi="Book Antiqua" w:cs="Arial"/>
        </w:rPr>
        <w:t>;</w:t>
      </w:r>
    </w:p>
    <w:p w14:paraId="1286BB46" w14:textId="77777777" w:rsidR="006B0EF8" w:rsidRDefault="006B0EF8" w:rsidP="006B0EF8">
      <w:pPr>
        <w:pStyle w:val="ListParagraph"/>
        <w:rPr>
          <w:rFonts w:ascii="Book Antiqua" w:hAnsi="Book Antiqua" w:cs="Arial"/>
        </w:rPr>
      </w:pPr>
    </w:p>
    <w:p w14:paraId="55CB150A" w14:textId="77777777" w:rsidR="0086393D" w:rsidRPr="00CC6A16" w:rsidRDefault="006B0EF8" w:rsidP="00CC6A16">
      <w:pPr>
        <w:numPr>
          <w:ilvl w:val="0"/>
          <w:numId w:val="13"/>
        </w:numPr>
        <w:tabs>
          <w:tab w:val="left" w:pos="567"/>
        </w:tabs>
        <w:ind w:right="567"/>
        <w:jc w:val="both"/>
        <w:rPr>
          <w:rFonts w:ascii="Book Antiqua" w:hAnsi="Book Antiqua" w:cs="Arial"/>
        </w:rPr>
      </w:pPr>
      <w:r>
        <w:rPr>
          <w:rFonts w:ascii="Book Antiqua" w:hAnsi="Book Antiqua" w:cs="Arial"/>
        </w:rPr>
        <w:t xml:space="preserve">Dr </w:t>
      </w:r>
      <w:proofErr w:type="spellStart"/>
      <w:r>
        <w:rPr>
          <w:rFonts w:ascii="Book Antiqua" w:hAnsi="Book Antiqua" w:cs="Arial"/>
        </w:rPr>
        <w:t>Durrani’s</w:t>
      </w:r>
      <w:proofErr w:type="spellEnd"/>
      <w:r>
        <w:rPr>
          <w:rFonts w:ascii="Book Antiqua" w:hAnsi="Book Antiqua" w:cs="Arial"/>
        </w:rPr>
        <w:t xml:space="preserve"> “rather perfunctory” medical report was of limited assistance</w:t>
      </w:r>
      <w:r w:rsidR="0086393D">
        <w:rPr>
          <w:rFonts w:ascii="Book Antiqua" w:hAnsi="Book Antiqua" w:cs="Arial"/>
        </w:rPr>
        <w:t>.</w:t>
      </w:r>
      <w:r w:rsidR="00457E28">
        <w:rPr>
          <w:rFonts w:ascii="Book Antiqua" w:hAnsi="Book Antiqua" w:cs="Arial"/>
        </w:rPr>
        <w:t xml:space="preserve"> </w:t>
      </w:r>
    </w:p>
    <w:p w14:paraId="6AF30BB4" w14:textId="77777777" w:rsidR="00CC6A16" w:rsidRDefault="00CC6A16" w:rsidP="00CC6A16">
      <w:pPr>
        <w:pStyle w:val="ListParagraph"/>
        <w:rPr>
          <w:rFonts w:ascii="Book Antiqua" w:hAnsi="Book Antiqua" w:cs="Arial"/>
        </w:rPr>
      </w:pPr>
    </w:p>
    <w:p w14:paraId="0914E7E3" w14:textId="77777777" w:rsidR="00CC6A16" w:rsidRDefault="006B0EF8" w:rsidP="00D722FD">
      <w:pPr>
        <w:numPr>
          <w:ilvl w:val="0"/>
          <w:numId w:val="1"/>
        </w:numPr>
        <w:tabs>
          <w:tab w:val="left" w:pos="567"/>
        </w:tabs>
        <w:ind w:left="567" w:right="567"/>
        <w:jc w:val="both"/>
        <w:rPr>
          <w:rFonts w:ascii="Book Antiqua" w:hAnsi="Book Antiqua" w:cs="Arial"/>
        </w:rPr>
      </w:pPr>
      <w:r>
        <w:rPr>
          <w:rFonts w:ascii="Book Antiqua" w:hAnsi="Book Antiqua" w:cs="Arial"/>
        </w:rPr>
        <w:t>The Tribunal dismisses the appeal, concluding at paragraph 32: “his lack of knowledge of the recent experiences of the Bidoons in Kuwait, as set out in the reasons for refusal letter, convinces me that the appellant is not a Bidoon”.</w:t>
      </w:r>
    </w:p>
    <w:p w14:paraId="0210ADBC" w14:textId="77777777" w:rsidR="006B0EF8" w:rsidRDefault="006B0EF8" w:rsidP="006B0EF8">
      <w:pPr>
        <w:tabs>
          <w:tab w:val="left" w:pos="567"/>
        </w:tabs>
        <w:ind w:left="567" w:right="567"/>
        <w:jc w:val="both"/>
        <w:rPr>
          <w:rFonts w:ascii="Book Antiqua" w:hAnsi="Book Antiqua" w:cs="Arial"/>
        </w:rPr>
      </w:pPr>
    </w:p>
    <w:p w14:paraId="54E5B699" w14:textId="77777777" w:rsidR="00BF2B1F" w:rsidRDefault="00BF2B1F" w:rsidP="00D722FD">
      <w:pPr>
        <w:numPr>
          <w:ilvl w:val="0"/>
          <w:numId w:val="1"/>
        </w:numPr>
        <w:tabs>
          <w:tab w:val="left" w:pos="567"/>
        </w:tabs>
        <w:ind w:left="567" w:right="567"/>
        <w:jc w:val="both"/>
        <w:rPr>
          <w:rFonts w:ascii="Book Antiqua" w:hAnsi="Book Antiqua" w:cs="Arial"/>
        </w:rPr>
      </w:pPr>
      <w:r>
        <w:rPr>
          <w:rFonts w:ascii="Book Antiqua" w:hAnsi="Book Antiqua" w:cs="Arial"/>
        </w:rPr>
        <w:t>The Appellant now contends that the decision of the First-tier Tribunal is flawed for the following material errors in law:</w:t>
      </w:r>
    </w:p>
    <w:p w14:paraId="0B9AF95C" w14:textId="77777777" w:rsidR="00BF2B1F" w:rsidRDefault="00BF2B1F" w:rsidP="00BF2B1F">
      <w:pPr>
        <w:tabs>
          <w:tab w:val="left" w:pos="567"/>
        </w:tabs>
        <w:ind w:left="567" w:right="567"/>
        <w:jc w:val="both"/>
        <w:rPr>
          <w:rFonts w:ascii="Book Antiqua" w:hAnsi="Book Antiqua" w:cs="Arial"/>
        </w:rPr>
      </w:pPr>
    </w:p>
    <w:p w14:paraId="535CE682" w14:textId="77777777" w:rsidR="00BF2B1F" w:rsidRDefault="0023498C" w:rsidP="00BF2B1F">
      <w:pPr>
        <w:numPr>
          <w:ilvl w:val="0"/>
          <w:numId w:val="12"/>
        </w:numPr>
        <w:tabs>
          <w:tab w:val="left" w:pos="567"/>
        </w:tabs>
        <w:ind w:right="567"/>
        <w:jc w:val="both"/>
        <w:rPr>
          <w:rFonts w:ascii="Book Antiqua" w:hAnsi="Book Antiqua" w:cs="Arial"/>
        </w:rPr>
      </w:pPr>
      <w:r>
        <w:rPr>
          <w:rFonts w:ascii="Book Antiqua" w:hAnsi="Book Antiqua" w:cs="Arial"/>
        </w:rPr>
        <w:t>Failure to make findings/ give reasons on the core matter in issue, namely whether the Appellant is an undocumented Bidoon;</w:t>
      </w:r>
    </w:p>
    <w:p w14:paraId="2E03E9E3" w14:textId="77777777" w:rsidR="0023498C" w:rsidRDefault="0023498C" w:rsidP="0023498C">
      <w:pPr>
        <w:tabs>
          <w:tab w:val="left" w:pos="567"/>
        </w:tabs>
        <w:ind w:left="2163" w:right="567"/>
        <w:jc w:val="both"/>
        <w:rPr>
          <w:rFonts w:ascii="Book Antiqua" w:hAnsi="Book Antiqua" w:cs="Arial"/>
        </w:rPr>
      </w:pPr>
    </w:p>
    <w:p w14:paraId="67306914" w14:textId="77777777" w:rsidR="0023498C" w:rsidRDefault="0023498C" w:rsidP="00BF2B1F">
      <w:pPr>
        <w:numPr>
          <w:ilvl w:val="0"/>
          <w:numId w:val="12"/>
        </w:numPr>
        <w:tabs>
          <w:tab w:val="left" w:pos="567"/>
        </w:tabs>
        <w:ind w:right="567"/>
        <w:jc w:val="both"/>
        <w:rPr>
          <w:rFonts w:ascii="Book Antiqua" w:hAnsi="Book Antiqua" w:cs="Arial"/>
        </w:rPr>
      </w:pPr>
      <w:r>
        <w:rPr>
          <w:rFonts w:ascii="Book Antiqua" w:hAnsi="Book Antiqua" w:cs="Arial"/>
        </w:rPr>
        <w:t>Failure to give adequate reasons for negative credibility findings;</w:t>
      </w:r>
    </w:p>
    <w:p w14:paraId="473C0646" w14:textId="77777777" w:rsidR="00D11A7E" w:rsidRDefault="00D11A7E" w:rsidP="00D11A7E">
      <w:pPr>
        <w:pStyle w:val="ListParagraph"/>
        <w:rPr>
          <w:rFonts w:ascii="Book Antiqua" w:hAnsi="Book Antiqua" w:cs="Arial"/>
        </w:rPr>
      </w:pPr>
    </w:p>
    <w:p w14:paraId="64C97562" w14:textId="77777777" w:rsidR="00D11A7E" w:rsidRDefault="00D11A7E" w:rsidP="00BF2B1F">
      <w:pPr>
        <w:numPr>
          <w:ilvl w:val="0"/>
          <w:numId w:val="12"/>
        </w:numPr>
        <w:tabs>
          <w:tab w:val="left" w:pos="567"/>
        </w:tabs>
        <w:ind w:right="567"/>
        <w:jc w:val="both"/>
        <w:rPr>
          <w:rFonts w:ascii="Book Antiqua" w:hAnsi="Book Antiqua" w:cs="Arial"/>
        </w:rPr>
      </w:pPr>
      <w:r>
        <w:rPr>
          <w:rFonts w:ascii="Book Antiqua" w:hAnsi="Book Antiqua" w:cs="Arial"/>
        </w:rPr>
        <w:t>Failure to consider the Appellant’s evidence/submissions in the round;</w:t>
      </w:r>
    </w:p>
    <w:p w14:paraId="1FA91528" w14:textId="77777777" w:rsidR="0023498C" w:rsidRDefault="0023498C" w:rsidP="0023498C">
      <w:pPr>
        <w:tabs>
          <w:tab w:val="left" w:pos="567"/>
        </w:tabs>
        <w:ind w:left="2163" w:right="567"/>
        <w:jc w:val="both"/>
        <w:rPr>
          <w:rFonts w:ascii="Book Antiqua" w:hAnsi="Book Antiqua" w:cs="Arial"/>
        </w:rPr>
      </w:pPr>
    </w:p>
    <w:p w14:paraId="349D703B" w14:textId="77777777" w:rsidR="0023498C" w:rsidRDefault="0023498C" w:rsidP="00BF2B1F">
      <w:pPr>
        <w:numPr>
          <w:ilvl w:val="0"/>
          <w:numId w:val="12"/>
        </w:numPr>
        <w:tabs>
          <w:tab w:val="left" w:pos="567"/>
        </w:tabs>
        <w:ind w:right="567"/>
        <w:jc w:val="both"/>
        <w:rPr>
          <w:rFonts w:ascii="Book Antiqua" w:hAnsi="Book Antiqua" w:cs="Arial"/>
        </w:rPr>
      </w:pPr>
      <w:r>
        <w:rPr>
          <w:rFonts w:ascii="Book Antiqua" w:hAnsi="Book Antiqua" w:cs="Arial"/>
        </w:rPr>
        <w:t xml:space="preserve">Basing its negative credibility </w:t>
      </w:r>
      <w:r w:rsidR="00D11A7E">
        <w:rPr>
          <w:rFonts w:ascii="Book Antiqua" w:hAnsi="Book Antiqua" w:cs="Arial"/>
        </w:rPr>
        <w:t>findings on plausibility.</w:t>
      </w:r>
    </w:p>
    <w:p w14:paraId="16E752F7" w14:textId="77777777" w:rsidR="0023498C" w:rsidRDefault="0023498C" w:rsidP="0023498C">
      <w:pPr>
        <w:tabs>
          <w:tab w:val="left" w:pos="567"/>
        </w:tabs>
        <w:ind w:left="2163" w:right="567"/>
        <w:jc w:val="both"/>
        <w:rPr>
          <w:rFonts w:ascii="Book Antiqua" w:hAnsi="Book Antiqua" w:cs="Arial"/>
        </w:rPr>
      </w:pPr>
    </w:p>
    <w:p w14:paraId="436684CE" w14:textId="77777777" w:rsidR="0023498C" w:rsidRDefault="0023498C" w:rsidP="00BF2B1F">
      <w:pPr>
        <w:tabs>
          <w:tab w:val="left" w:pos="567"/>
        </w:tabs>
        <w:ind w:left="567" w:right="567"/>
        <w:jc w:val="both"/>
        <w:rPr>
          <w:rFonts w:ascii="Book Antiqua" w:hAnsi="Book Antiqua" w:cs="Arial"/>
        </w:rPr>
      </w:pPr>
    </w:p>
    <w:p w14:paraId="4F0199B8" w14:textId="77777777" w:rsidR="00BF2B1F" w:rsidRPr="0023498C" w:rsidRDefault="0023498C" w:rsidP="00BF2B1F">
      <w:pPr>
        <w:tabs>
          <w:tab w:val="left" w:pos="567"/>
        </w:tabs>
        <w:ind w:left="567" w:right="567"/>
        <w:jc w:val="both"/>
        <w:rPr>
          <w:rFonts w:ascii="Book Antiqua" w:hAnsi="Book Antiqua" w:cs="Arial"/>
          <w:b/>
        </w:rPr>
      </w:pPr>
      <w:r w:rsidRPr="0023498C">
        <w:rPr>
          <w:rFonts w:ascii="Book Antiqua" w:hAnsi="Book Antiqua" w:cs="Arial"/>
          <w:b/>
        </w:rPr>
        <w:t>Discussion and Findings</w:t>
      </w:r>
    </w:p>
    <w:p w14:paraId="0B72FB3E" w14:textId="77777777" w:rsidR="0023498C" w:rsidRDefault="0023498C" w:rsidP="00BF2B1F">
      <w:pPr>
        <w:tabs>
          <w:tab w:val="left" w:pos="567"/>
        </w:tabs>
        <w:ind w:left="567" w:right="567"/>
        <w:jc w:val="both"/>
        <w:rPr>
          <w:rFonts w:ascii="Book Antiqua" w:hAnsi="Book Antiqua" w:cs="Arial"/>
        </w:rPr>
      </w:pPr>
    </w:p>
    <w:p w14:paraId="551D335E" w14:textId="77777777" w:rsidR="00D11A7E" w:rsidRDefault="00DA781F" w:rsidP="00D722FD">
      <w:pPr>
        <w:numPr>
          <w:ilvl w:val="0"/>
          <w:numId w:val="1"/>
        </w:numPr>
        <w:tabs>
          <w:tab w:val="left" w:pos="567"/>
        </w:tabs>
        <w:ind w:left="567" w:right="567"/>
        <w:jc w:val="both"/>
        <w:rPr>
          <w:rFonts w:ascii="Book Antiqua" w:hAnsi="Book Antiqua" w:cs="Arial"/>
        </w:rPr>
      </w:pPr>
      <w:r>
        <w:rPr>
          <w:rFonts w:ascii="Book Antiqua" w:hAnsi="Book Antiqua" w:cs="Arial"/>
        </w:rPr>
        <w:t xml:space="preserve">Judge Grubb was prepared to grant permission in this case because he considered it arguable that the Tribunal had erred in relying </w:t>
      </w:r>
      <w:r w:rsidRPr="00DA781F">
        <w:rPr>
          <w:rFonts w:ascii="Book Antiqua" w:hAnsi="Book Antiqua" w:cs="Arial"/>
          <w:i/>
        </w:rPr>
        <w:t>in extenso</w:t>
      </w:r>
      <w:r>
        <w:rPr>
          <w:rFonts w:ascii="Book Antiqua" w:hAnsi="Book Antiqua" w:cs="Arial"/>
        </w:rPr>
        <w:t xml:space="preserve"> on the Respondent’s reasons for refusal (in respect of the Appellant’s alleged lack of knowledge about Bidoon affairs) without, apparently, having any regard to the Appellant’s explanations (s</w:t>
      </w:r>
      <w:r w:rsidR="00D11A7E">
        <w:rPr>
          <w:rFonts w:ascii="Book Antiqua" w:hAnsi="Book Antiqua" w:cs="Arial"/>
        </w:rPr>
        <w:t>et out in the witness statement</w:t>
      </w:r>
      <w:r>
        <w:rPr>
          <w:rFonts w:ascii="Book Antiqua" w:hAnsi="Book Antiqua" w:cs="Arial"/>
        </w:rPr>
        <w:t xml:space="preserve">), or the submissions made on his behalf (for which I am referred to Mr Sadiq’s skeleton argument before the First-tier Tribunal).  </w:t>
      </w:r>
      <w:r w:rsidR="00D11A7E">
        <w:rPr>
          <w:rFonts w:ascii="Book Antiqua" w:hAnsi="Book Antiqua" w:cs="Arial"/>
        </w:rPr>
        <w:t xml:space="preserve">Mr Bates for the Respondent acknowledged that the determination has not expressly summarised the Appellant’s evidence about these matters or addressed the submissions made, but he asked me to find that </w:t>
      </w:r>
      <w:r w:rsidR="00D11A7E">
        <w:rPr>
          <w:rFonts w:ascii="Book Antiqua" w:hAnsi="Book Antiqua" w:cs="Arial"/>
        </w:rPr>
        <w:lastRenderedPageBreak/>
        <w:t>in the context of the decision overall any such omission was not material. The determination read as a whole was sustainable.</w:t>
      </w:r>
    </w:p>
    <w:p w14:paraId="5C487FAE" w14:textId="77777777" w:rsidR="00D11A7E" w:rsidRDefault="00D11A7E" w:rsidP="00D11A7E">
      <w:pPr>
        <w:tabs>
          <w:tab w:val="left" w:pos="567"/>
        </w:tabs>
        <w:ind w:left="567" w:right="567"/>
        <w:jc w:val="both"/>
        <w:rPr>
          <w:rFonts w:ascii="Book Antiqua" w:hAnsi="Book Antiqua" w:cs="Arial"/>
        </w:rPr>
      </w:pPr>
    </w:p>
    <w:p w14:paraId="64570A94" w14:textId="77777777" w:rsidR="00BF2B1F" w:rsidRPr="000C2AF3" w:rsidRDefault="00DA781F" w:rsidP="000C2AF3">
      <w:pPr>
        <w:numPr>
          <w:ilvl w:val="0"/>
          <w:numId w:val="1"/>
        </w:numPr>
        <w:tabs>
          <w:tab w:val="left" w:pos="567"/>
        </w:tabs>
        <w:ind w:left="567" w:right="567"/>
        <w:jc w:val="both"/>
        <w:rPr>
          <w:rFonts w:ascii="Book Antiqua" w:hAnsi="Book Antiqua" w:cs="Arial"/>
        </w:rPr>
      </w:pPr>
      <w:r>
        <w:rPr>
          <w:rFonts w:ascii="Book Antiqua" w:hAnsi="Book Antiqua" w:cs="Arial"/>
        </w:rPr>
        <w:t>Mr</w:t>
      </w:r>
      <w:r w:rsidR="00D11A7E">
        <w:rPr>
          <w:rFonts w:ascii="Book Antiqua" w:hAnsi="Book Antiqua" w:cs="Arial"/>
        </w:rPr>
        <w:t xml:space="preserve"> Sadiq pointed to the skeleton argument he had lodged with the First-tier Tribunal. This explores in some detail what it calls the “profound flaws” in the Respondent’s reasoning. It suffices to give only two examples here. The Respondent had drawn negative inference from the Appellant’s lack of knowledge about the education available to Bidoons in 1987; since he was only three at the time it is difficult to see what negative inference could be drawn. Secondly the Respondent had rejected the</w:t>
      </w:r>
      <w:r w:rsidR="000C2AF3">
        <w:rPr>
          <w:rFonts w:ascii="Book Antiqua" w:hAnsi="Book Antiqua" w:cs="Arial"/>
        </w:rPr>
        <w:t xml:space="preserve"> Appellant’s evidence that tear gas and water cannon had been used at the demonstration, whereas the Appellant’s representative produced evidence relating to both which corroborated the Appellant’s account.  Mr Sadiq directed me to paragraph 32 of the decision in which the Tribunal makes clear that it is the Appellant’s alleged lack of knowledge about the Bidoon which leads it to reject his claimed ethnicity [see my §5 above]. He submitted that the error was plainly material and asked me to evaluate the </w:t>
      </w:r>
      <w:r w:rsidRPr="000C2AF3">
        <w:rPr>
          <w:rFonts w:ascii="Book Antiqua" w:hAnsi="Book Antiqua" w:cs="Arial"/>
        </w:rPr>
        <w:t xml:space="preserve">ground </w:t>
      </w:r>
      <w:r w:rsidR="00D11A7E" w:rsidRPr="000C2AF3">
        <w:rPr>
          <w:rFonts w:ascii="Book Antiqua" w:hAnsi="Book Antiqua" w:cs="Arial"/>
        </w:rPr>
        <w:t xml:space="preserve">of appeal </w:t>
      </w:r>
      <w:r w:rsidRPr="000C2AF3">
        <w:rPr>
          <w:rFonts w:ascii="Book Antiqua" w:hAnsi="Book Antiqua" w:cs="Arial"/>
        </w:rPr>
        <w:t>in light of the following matters:</w:t>
      </w:r>
    </w:p>
    <w:p w14:paraId="7A3DBDD5" w14:textId="77777777" w:rsidR="00DA781F" w:rsidRDefault="00DA781F" w:rsidP="00DA781F">
      <w:pPr>
        <w:tabs>
          <w:tab w:val="left" w:pos="567"/>
        </w:tabs>
        <w:ind w:left="567" w:right="567"/>
        <w:jc w:val="both"/>
        <w:rPr>
          <w:rFonts w:ascii="Book Antiqua" w:hAnsi="Book Antiqua" w:cs="Arial"/>
        </w:rPr>
      </w:pPr>
    </w:p>
    <w:p w14:paraId="2DA88E10" w14:textId="77777777" w:rsidR="00DA781F" w:rsidRPr="00D11A7E" w:rsidRDefault="00DA781F" w:rsidP="00D11A7E">
      <w:pPr>
        <w:numPr>
          <w:ilvl w:val="0"/>
          <w:numId w:val="14"/>
        </w:numPr>
        <w:tabs>
          <w:tab w:val="left" w:pos="567"/>
        </w:tabs>
        <w:ind w:right="567"/>
        <w:jc w:val="both"/>
        <w:rPr>
          <w:rFonts w:ascii="Book Antiqua" w:hAnsi="Book Antiqua" w:cs="Arial"/>
        </w:rPr>
      </w:pPr>
      <w:r>
        <w:rPr>
          <w:rFonts w:ascii="Book Antiqua" w:hAnsi="Book Antiqua" w:cs="Arial"/>
        </w:rPr>
        <w:t>Most of the</w:t>
      </w:r>
      <w:r w:rsidR="00D11A7E">
        <w:rPr>
          <w:rFonts w:ascii="Book Antiqua" w:hAnsi="Book Antiqua" w:cs="Arial"/>
        </w:rPr>
        <w:t xml:space="preserve"> First-tier Tribunal’s</w:t>
      </w:r>
      <w:r w:rsidRPr="00D11A7E">
        <w:rPr>
          <w:rFonts w:ascii="Book Antiqua" w:hAnsi="Book Antiqua" w:cs="Arial"/>
        </w:rPr>
        <w:t xml:space="preserve"> reasoning was concerned with whether the Appellant attended a demonstration and thereafter spent some 15 months in hiding in a sheep pen in the desert;</w:t>
      </w:r>
    </w:p>
    <w:p w14:paraId="365ED50E" w14:textId="77777777" w:rsidR="00DA781F" w:rsidRDefault="00DA781F" w:rsidP="00DA781F">
      <w:pPr>
        <w:tabs>
          <w:tab w:val="left" w:pos="567"/>
        </w:tabs>
        <w:ind w:left="1803" w:right="567"/>
        <w:jc w:val="both"/>
        <w:rPr>
          <w:rFonts w:ascii="Book Antiqua" w:hAnsi="Book Antiqua" w:cs="Arial"/>
        </w:rPr>
      </w:pPr>
    </w:p>
    <w:p w14:paraId="6F203A5F" w14:textId="77777777" w:rsidR="00DA781F" w:rsidRDefault="00DA781F" w:rsidP="00DA781F">
      <w:pPr>
        <w:numPr>
          <w:ilvl w:val="0"/>
          <w:numId w:val="14"/>
        </w:numPr>
        <w:tabs>
          <w:tab w:val="left" w:pos="567"/>
        </w:tabs>
        <w:ind w:right="567"/>
        <w:jc w:val="both"/>
        <w:rPr>
          <w:rFonts w:ascii="Book Antiqua" w:hAnsi="Book Antiqua" w:cs="Arial"/>
        </w:rPr>
      </w:pPr>
      <w:r>
        <w:rPr>
          <w:rFonts w:ascii="Book Antiqua" w:hAnsi="Book Antiqua" w:cs="Arial"/>
        </w:rPr>
        <w:t>All of that could have properly been rejected but it did not dispense with the central issue of the Appellant’s ethnicity/civil status in Kuwait;</w:t>
      </w:r>
    </w:p>
    <w:p w14:paraId="426C48DF" w14:textId="77777777" w:rsidR="00DA781F" w:rsidRDefault="00DA781F" w:rsidP="00DA781F">
      <w:pPr>
        <w:tabs>
          <w:tab w:val="left" w:pos="567"/>
        </w:tabs>
        <w:ind w:left="1803" w:right="567"/>
        <w:jc w:val="both"/>
        <w:rPr>
          <w:rFonts w:ascii="Book Antiqua" w:hAnsi="Book Antiqua" w:cs="Arial"/>
        </w:rPr>
      </w:pPr>
    </w:p>
    <w:p w14:paraId="4F345E50" w14:textId="77777777" w:rsidR="00DA781F" w:rsidRDefault="00DA781F" w:rsidP="00DA781F">
      <w:pPr>
        <w:numPr>
          <w:ilvl w:val="0"/>
          <w:numId w:val="14"/>
        </w:numPr>
        <w:tabs>
          <w:tab w:val="left" w:pos="567"/>
        </w:tabs>
        <w:ind w:right="567"/>
        <w:jc w:val="both"/>
        <w:rPr>
          <w:rFonts w:ascii="Book Antiqua" w:hAnsi="Book Antiqua" w:cs="Arial"/>
        </w:rPr>
      </w:pPr>
      <w:r>
        <w:rPr>
          <w:rFonts w:ascii="Book Antiqua" w:hAnsi="Book Antiqua" w:cs="Arial"/>
        </w:rPr>
        <w:t>Had the Tribunal specifically directed its mind to that issue it would have had to weigh in the balance the Appellant’</w:t>
      </w:r>
      <w:r w:rsidR="00D11A7E">
        <w:rPr>
          <w:rFonts w:ascii="Book Antiqua" w:hAnsi="Book Antiqua" w:cs="Arial"/>
        </w:rPr>
        <w:t>s response to the Respondent’s</w:t>
      </w:r>
      <w:r>
        <w:rPr>
          <w:rFonts w:ascii="Book Antiqua" w:hAnsi="Book Antiqua" w:cs="Arial"/>
        </w:rPr>
        <w:t xml:space="preserve"> reasoning</w:t>
      </w:r>
      <w:r w:rsidR="00D11A7E">
        <w:rPr>
          <w:rFonts w:ascii="Book Antiqua" w:hAnsi="Book Antiqua" w:cs="Arial"/>
        </w:rPr>
        <w:t xml:space="preserve"> and his representative’s objective rebuttal of the points made in the refusal letter.</w:t>
      </w:r>
    </w:p>
    <w:p w14:paraId="271311F5" w14:textId="77777777" w:rsidR="000C2AF3" w:rsidRDefault="000C2AF3" w:rsidP="000C2AF3">
      <w:pPr>
        <w:tabs>
          <w:tab w:val="left" w:pos="567"/>
        </w:tabs>
        <w:ind w:left="567" w:right="567"/>
        <w:jc w:val="both"/>
        <w:rPr>
          <w:rFonts w:ascii="Book Antiqua" w:hAnsi="Book Antiqua" w:cs="Arial"/>
        </w:rPr>
      </w:pPr>
    </w:p>
    <w:p w14:paraId="21A4B740" w14:textId="77777777" w:rsidR="00390D53" w:rsidRDefault="000C2AF3" w:rsidP="00D722FD">
      <w:pPr>
        <w:numPr>
          <w:ilvl w:val="0"/>
          <w:numId w:val="1"/>
        </w:numPr>
        <w:tabs>
          <w:tab w:val="left" w:pos="567"/>
        </w:tabs>
        <w:ind w:left="567" w:right="567"/>
        <w:jc w:val="both"/>
        <w:rPr>
          <w:rFonts w:ascii="Book Antiqua" w:hAnsi="Book Antiqua" w:cs="Arial"/>
        </w:rPr>
      </w:pPr>
      <w:r>
        <w:rPr>
          <w:rFonts w:ascii="Book Antiqua" w:hAnsi="Book Antiqua" w:cs="Arial"/>
        </w:rPr>
        <w:t>I am satisfied that this ground must be made out. The skeleton argument (read with the witness statement) constitutes a point-by-point response to the ‘reasons for refusal letter’.   The determination indicates that it is the Tribunal’s uncritical adoption of the Respondent’s reasoning which has led it to reject the Appellant’s evidence on the core issue of his ethnicity</w:t>
      </w:r>
      <w:r w:rsidR="00390D53">
        <w:rPr>
          <w:rFonts w:ascii="Book Antiqua" w:hAnsi="Book Antiqua" w:cs="Arial"/>
        </w:rPr>
        <w:t>. Even if Mr Bates is correct in his assumption that in fact the Tribunal must have weighed in the balance all those other negative findings, the omission is such that the error is made out regardless</w:t>
      </w:r>
      <w:r w:rsidR="00406102">
        <w:rPr>
          <w:rFonts w:ascii="Book Antiqua" w:hAnsi="Book Antiqua" w:cs="Arial"/>
        </w:rPr>
        <w:t>, because the Tribunal failed to weigh all of the evidence in the round.</w:t>
      </w:r>
    </w:p>
    <w:p w14:paraId="4716E485" w14:textId="77777777" w:rsidR="00390D53" w:rsidRDefault="00390D53" w:rsidP="00390D53">
      <w:pPr>
        <w:tabs>
          <w:tab w:val="left" w:pos="567"/>
        </w:tabs>
        <w:ind w:left="567" w:right="567"/>
        <w:jc w:val="both"/>
        <w:rPr>
          <w:rFonts w:ascii="Book Antiqua" w:hAnsi="Book Antiqua" w:cs="Arial"/>
        </w:rPr>
      </w:pPr>
    </w:p>
    <w:p w14:paraId="5449AD17" w14:textId="77777777" w:rsidR="00DA781F" w:rsidRDefault="00390D53" w:rsidP="00D722FD">
      <w:pPr>
        <w:numPr>
          <w:ilvl w:val="0"/>
          <w:numId w:val="1"/>
        </w:numPr>
        <w:tabs>
          <w:tab w:val="left" w:pos="567"/>
        </w:tabs>
        <w:ind w:left="567" w:right="567"/>
        <w:jc w:val="both"/>
        <w:rPr>
          <w:rFonts w:ascii="Book Antiqua" w:hAnsi="Book Antiqua" w:cs="Arial"/>
        </w:rPr>
      </w:pPr>
      <w:r>
        <w:rPr>
          <w:rFonts w:ascii="Book Antiqua" w:hAnsi="Book Antiqua" w:cs="Arial"/>
        </w:rPr>
        <w:t xml:space="preserve">It follows that I need not address the remaining grounds in any detail but I would say this. The determination repeatedly makes reference to the Tribunal needing to be “convinced” of matters advanced on behalf of the Appellant. This is an unfortunate expression apt to giving the impression that the Tribunal has applied a </w:t>
      </w:r>
      <w:r w:rsidR="00406102">
        <w:rPr>
          <w:rFonts w:ascii="Book Antiqua" w:hAnsi="Book Antiqua" w:cs="Arial"/>
        </w:rPr>
        <w:t xml:space="preserve">far </w:t>
      </w:r>
      <w:r>
        <w:rPr>
          <w:rFonts w:ascii="Book Antiqua" w:hAnsi="Book Antiqua" w:cs="Arial"/>
        </w:rPr>
        <w:t>high</w:t>
      </w:r>
      <w:r w:rsidR="00406102">
        <w:rPr>
          <w:rFonts w:ascii="Book Antiqua" w:hAnsi="Book Antiqua" w:cs="Arial"/>
        </w:rPr>
        <w:t>er</w:t>
      </w:r>
      <w:r>
        <w:rPr>
          <w:rFonts w:ascii="Book Antiqua" w:hAnsi="Book Antiqua" w:cs="Arial"/>
        </w:rPr>
        <w:t xml:space="preserve"> standard of proof</w:t>
      </w:r>
      <w:r w:rsidR="00406102">
        <w:rPr>
          <w:rFonts w:ascii="Book Antiqua" w:hAnsi="Book Antiqua" w:cs="Arial"/>
        </w:rPr>
        <w:t xml:space="preserve"> than that which was appropriate here. The </w:t>
      </w:r>
      <w:r w:rsidR="00406102">
        <w:rPr>
          <w:rFonts w:ascii="Book Antiqua" w:hAnsi="Book Antiqua" w:cs="Arial"/>
        </w:rPr>
        <w:lastRenderedPageBreak/>
        <w:t>Tribunal did not have to be convinced of anything. It had to be satisfied to the lower standard of proof.</w:t>
      </w:r>
      <w:r>
        <w:rPr>
          <w:rFonts w:ascii="Book Antiqua" w:hAnsi="Book Antiqua" w:cs="Arial"/>
        </w:rPr>
        <w:t xml:space="preserve"> </w:t>
      </w:r>
    </w:p>
    <w:p w14:paraId="29821EFA" w14:textId="77777777" w:rsidR="001B461B" w:rsidRDefault="001B461B" w:rsidP="001B461B">
      <w:pPr>
        <w:pStyle w:val="ListParagraph"/>
        <w:rPr>
          <w:rFonts w:ascii="Book Antiqua" w:hAnsi="Book Antiqua" w:cs="Arial"/>
        </w:rPr>
      </w:pPr>
    </w:p>
    <w:p w14:paraId="7FEB2B91" w14:textId="77777777" w:rsidR="005919AD" w:rsidRDefault="005919AD" w:rsidP="001B461B">
      <w:pPr>
        <w:pStyle w:val="ListParagraph"/>
        <w:rPr>
          <w:rFonts w:ascii="Book Antiqua" w:hAnsi="Book Antiqua" w:cs="Arial"/>
        </w:rPr>
      </w:pPr>
    </w:p>
    <w:p w14:paraId="7BF35634" w14:textId="77777777" w:rsidR="005919AD" w:rsidRPr="00077465" w:rsidRDefault="005919AD" w:rsidP="005919AD">
      <w:pPr>
        <w:tabs>
          <w:tab w:val="left" w:pos="567"/>
        </w:tabs>
        <w:ind w:left="567" w:right="567"/>
        <w:jc w:val="both"/>
        <w:rPr>
          <w:rFonts w:ascii="Book Antiqua" w:hAnsi="Book Antiqua" w:cs="Arial"/>
          <w:b/>
        </w:rPr>
      </w:pPr>
      <w:r w:rsidRPr="00077465">
        <w:rPr>
          <w:rFonts w:ascii="Book Antiqua" w:hAnsi="Book Antiqua" w:cs="Arial"/>
          <w:b/>
        </w:rPr>
        <w:t>Anonymity Order</w:t>
      </w:r>
    </w:p>
    <w:p w14:paraId="413F04E6" w14:textId="77777777" w:rsidR="005919AD" w:rsidRDefault="005919AD" w:rsidP="005919AD">
      <w:pPr>
        <w:pStyle w:val="ListParagraph"/>
        <w:rPr>
          <w:rFonts w:ascii="Book Antiqua" w:hAnsi="Book Antiqua" w:cs="Arial"/>
        </w:rPr>
      </w:pPr>
    </w:p>
    <w:p w14:paraId="29ABB6B6" w14:textId="77777777" w:rsidR="005919AD" w:rsidRPr="00742C45" w:rsidRDefault="005919AD" w:rsidP="005919AD">
      <w:pPr>
        <w:numPr>
          <w:ilvl w:val="0"/>
          <w:numId w:val="1"/>
        </w:numPr>
        <w:tabs>
          <w:tab w:val="left" w:pos="567"/>
        </w:tabs>
        <w:ind w:left="567" w:right="567"/>
        <w:jc w:val="both"/>
        <w:rPr>
          <w:rFonts w:ascii="Book Antiqua" w:hAnsi="Book Antiqua" w:cs="Arial"/>
        </w:rPr>
      </w:pPr>
      <w:r>
        <w:rPr>
          <w:rFonts w:ascii="Book Antiqua" w:hAnsi="Book Antiqua" w:cs="Arial"/>
        </w:rPr>
        <w:t xml:space="preserve">This appeal concerns the Refugee Convention.  </w:t>
      </w:r>
      <w:r w:rsidRPr="00742C45">
        <w:rPr>
          <w:rFonts w:ascii="Book Antiqua" w:hAnsi="Book Antiqua" w:cs="Arial"/>
        </w:rPr>
        <w:t xml:space="preserve">Having had regard to Rule 14 of the Tribunal Procedure (Upper Tribunal) Rules 2008 and the Presidential Guidance Note No 1 of 2013: Anonymity Orders I therefore consider it appropriate to make an order in the following terms: </w:t>
      </w:r>
    </w:p>
    <w:p w14:paraId="3B8D1EB6" w14:textId="77777777" w:rsidR="005919AD" w:rsidRDefault="005919AD" w:rsidP="005919AD">
      <w:pPr>
        <w:ind w:left="1080" w:right="1134"/>
        <w:jc w:val="both"/>
        <w:rPr>
          <w:rFonts w:ascii="Book Antiqua" w:hAnsi="Book Antiqua" w:cs="Arial"/>
        </w:rPr>
      </w:pPr>
    </w:p>
    <w:p w14:paraId="2FE0079B" w14:textId="77777777" w:rsidR="005919AD" w:rsidRPr="00A011FA" w:rsidRDefault="005919AD" w:rsidP="005919AD">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w:t>
      </w:r>
      <w:r>
        <w:rPr>
          <w:rFonts w:ascii="Book Antiqua" w:hAnsi="Book Antiqua"/>
        </w:rPr>
        <w:t xml:space="preserve"> Appellant is</w:t>
      </w:r>
      <w:r w:rsidRPr="00A011FA">
        <w:rPr>
          <w:rFonts w:ascii="Book Antiqua" w:hAnsi="Book Antiqua"/>
        </w:rPr>
        <w:t xml:space="preserve"> granted anonymity.  No report of these proceedings shall directly or indirectly ide</w:t>
      </w:r>
      <w:r>
        <w:rPr>
          <w:rFonts w:ascii="Book Antiqua" w:hAnsi="Book Antiqua"/>
        </w:rPr>
        <w:t>ntify him or any member of his</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14:paraId="409096D5" w14:textId="77777777" w:rsidR="001B461B" w:rsidRPr="00D722FD" w:rsidRDefault="001B461B" w:rsidP="005919AD">
      <w:pPr>
        <w:tabs>
          <w:tab w:val="left" w:pos="567"/>
        </w:tabs>
        <w:ind w:left="567" w:right="567"/>
        <w:jc w:val="both"/>
        <w:rPr>
          <w:rFonts w:ascii="Book Antiqua" w:hAnsi="Book Antiqua" w:cs="Arial"/>
        </w:rPr>
      </w:pPr>
    </w:p>
    <w:p w14:paraId="05F734D6" w14:textId="77777777" w:rsidR="007E648A" w:rsidRDefault="007E648A" w:rsidP="00C47D8E">
      <w:pPr>
        <w:tabs>
          <w:tab w:val="left" w:pos="567"/>
        </w:tabs>
        <w:ind w:right="567"/>
        <w:jc w:val="both"/>
        <w:rPr>
          <w:rFonts w:ascii="Book Antiqua" w:hAnsi="Book Antiqua" w:cs="Arial"/>
          <w:b/>
        </w:rPr>
      </w:pPr>
    </w:p>
    <w:p w14:paraId="77B2A5D8" w14:textId="77777777" w:rsidR="00EB3F83" w:rsidRPr="00050C6C" w:rsidRDefault="00FD4A9F" w:rsidP="00EB3F83">
      <w:pPr>
        <w:tabs>
          <w:tab w:val="left" w:pos="567"/>
        </w:tabs>
        <w:ind w:left="567" w:right="567"/>
        <w:jc w:val="both"/>
        <w:rPr>
          <w:rFonts w:ascii="Book Antiqua" w:hAnsi="Book Antiqua" w:cs="Arial"/>
          <w:b/>
        </w:rPr>
      </w:pPr>
      <w:r>
        <w:rPr>
          <w:rFonts w:ascii="Book Antiqua" w:hAnsi="Book Antiqua" w:cs="Arial"/>
          <w:b/>
        </w:rPr>
        <w:t>Decision</w:t>
      </w:r>
    </w:p>
    <w:p w14:paraId="1B9140D6" w14:textId="77777777" w:rsidR="00EB3F83" w:rsidRDefault="00EB3F83" w:rsidP="00EB3F83">
      <w:pPr>
        <w:tabs>
          <w:tab w:val="left" w:pos="567"/>
        </w:tabs>
        <w:ind w:left="567" w:right="567"/>
        <w:jc w:val="both"/>
        <w:rPr>
          <w:rFonts w:ascii="Book Antiqua" w:hAnsi="Book Antiqua" w:cs="Arial"/>
        </w:rPr>
      </w:pPr>
    </w:p>
    <w:p w14:paraId="2E7124D7" w14:textId="77777777" w:rsidR="00FD4A9F" w:rsidRDefault="00EB3F83" w:rsidP="00EB3F83">
      <w:pPr>
        <w:numPr>
          <w:ilvl w:val="0"/>
          <w:numId w:val="1"/>
        </w:numPr>
        <w:tabs>
          <w:tab w:val="left" w:pos="567"/>
        </w:tabs>
        <w:ind w:left="567" w:right="567"/>
        <w:jc w:val="both"/>
        <w:rPr>
          <w:rFonts w:ascii="Book Antiqua" w:hAnsi="Book Antiqua" w:cs="Arial"/>
        </w:rPr>
      </w:pPr>
      <w:r>
        <w:rPr>
          <w:rFonts w:ascii="Book Antiqua" w:hAnsi="Book Antiqua" w:cs="Arial"/>
        </w:rPr>
        <w:t>For the reasons set out above I am</w:t>
      </w:r>
      <w:r w:rsidR="00406102">
        <w:rPr>
          <w:rFonts w:ascii="Book Antiqua" w:hAnsi="Book Antiqua" w:cs="Arial"/>
        </w:rPr>
        <w:t xml:space="preserve"> </w:t>
      </w:r>
      <w:r>
        <w:rPr>
          <w:rFonts w:ascii="Book Antiqua" w:hAnsi="Book Antiqua" w:cs="Arial"/>
        </w:rPr>
        <w:t xml:space="preserve">satisfied that the decision of the </w:t>
      </w:r>
      <w:r w:rsidR="00D02B21" w:rsidRPr="00EB3F83">
        <w:rPr>
          <w:rFonts w:ascii="Book Antiqua" w:hAnsi="Book Antiqua" w:cs="Arial"/>
        </w:rPr>
        <w:t>First-tier Tribunal contai</w:t>
      </w:r>
      <w:r>
        <w:rPr>
          <w:rFonts w:ascii="Book Antiqua" w:hAnsi="Book Antiqua" w:cs="Arial"/>
        </w:rPr>
        <w:t xml:space="preserve">ns </w:t>
      </w:r>
      <w:r w:rsidR="00FD4A9F">
        <w:rPr>
          <w:rFonts w:ascii="Book Antiqua" w:hAnsi="Book Antiqua" w:cs="Arial"/>
        </w:rPr>
        <w:t xml:space="preserve">a </w:t>
      </w:r>
      <w:r w:rsidR="00D02B21" w:rsidRPr="00EB3F83">
        <w:rPr>
          <w:rFonts w:ascii="Book Antiqua" w:hAnsi="Book Antiqua" w:cs="Arial"/>
        </w:rPr>
        <w:t>material error of law</w:t>
      </w:r>
      <w:r w:rsidR="00406102">
        <w:rPr>
          <w:rFonts w:ascii="Book Antiqua" w:hAnsi="Book Antiqua" w:cs="Arial"/>
        </w:rPr>
        <w:t>. The decision is set aside.</w:t>
      </w:r>
    </w:p>
    <w:p w14:paraId="459F1071" w14:textId="77777777" w:rsidR="00406102" w:rsidRDefault="00406102" w:rsidP="00406102">
      <w:pPr>
        <w:tabs>
          <w:tab w:val="left" w:pos="567"/>
        </w:tabs>
        <w:ind w:left="567" w:right="567"/>
        <w:jc w:val="both"/>
        <w:rPr>
          <w:rFonts w:ascii="Book Antiqua" w:hAnsi="Book Antiqua" w:cs="Arial"/>
        </w:rPr>
      </w:pPr>
    </w:p>
    <w:p w14:paraId="02468BB5" w14:textId="77777777" w:rsidR="00406102" w:rsidRDefault="00406102" w:rsidP="00406102">
      <w:pPr>
        <w:numPr>
          <w:ilvl w:val="0"/>
          <w:numId w:val="1"/>
        </w:numPr>
        <w:tabs>
          <w:tab w:val="left" w:pos="567"/>
        </w:tabs>
        <w:ind w:left="567" w:right="567"/>
        <w:jc w:val="both"/>
        <w:rPr>
          <w:rFonts w:ascii="Book Antiqua" w:hAnsi="Book Antiqua" w:cs="Arial"/>
        </w:rPr>
      </w:pPr>
      <w:r>
        <w:rPr>
          <w:rFonts w:ascii="Book Antiqua" w:hAnsi="Book Antiqua" w:cs="Arial"/>
        </w:rPr>
        <w:t xml:space="preserve">The decision in the appeal is to be re-made following </w:t>
      </w:r>
      <w:r w:rsidRPr="008A3005">
        <w:rPr>
          <w:rFonts w:ascii="Book Antiqua" w:hAnsi="Book Antiqua" w:cs="Arial"/>
          <w:i/>
        </w:rPr>
        <w:t>de novo</w:t>
      </w:r>
      <w:r>
        <w:rPr>
          <w:rFonts w:ascii="Book Antiqua" w:hAnsi="Book Antiqua" w:cs="Arial"/>
        </w:rPr>
        <w:t xml:space="preserve"> hearing in the First-tier Tribunal, in light of the extensive </w:t>
      </w:r>
      <w:r w:rsidRPr="00406102">
        <w:rPr>
          <w:rFonts w:ascii="Book Antiqua" w:hAnsi="Book Antiqua" w:cs="Arial"/>
        </w:rPr>
        <w:t>finding</w:t>
      </w:r>
      <w:r>
        <w:rPr>
          <w:rFonts w:ascii="Book Antiqua" w:hAnsi="Book Antiqua" w:cs="Arial"/>
        </w:rPr>
        <w:t>s of fact that must</w:t>
      </w:r>
      <w:r w:rsidRPr="00406102">
        <w:rPr>
          <w:rFonts w:ascii="Book Antiqua" w:hAnsi="Book Antiqua" w:cs="Arial"/>
        </w:rPr>
        <w:t xml:space="preserve"> be made</w:t>
      </w:r>
      <w:r>
        <w:rPr>
          <w:rFonts w:ascii="Book Antiqua" w:hAnsi="Book Antiqua" w:cs="Arial"/>
        </w:rPr>
        <w:t>.</w:t>
      </w:r>
    </w:p>
    <w:p w14:paraId="676A4B42" w14:textId="77777777" w:rsidR="00406102" w:rsidRDefault="00406102" w:rsidP="00406102">
      <w:pPr>
        <w:pStyle w:val="ListParagraph"/>
        <w:rPr>
          <w:rFonts w:ascii="Book Antiqua" w:hAnsi="Book Antiqua" w:cs="Arial"/>
        </w:rPr>
      </w:pPr>
    </w:p>
    <w:p w14:paraId="73D61F22" w14:textId="77777777" w:rsidR="00406102" w:rsidRPr="00406102" w:rsidRDefault="00406102" w:rsidP="00406102">
      <w:pPr>
        <w:numPr>
          <w:ilvl w:val="0"/>
          <w:numId w:val="1"/>
        </w:numPr>
        <w:tabs>
          <w:tab w:val="left" w:pos="567"/>
        </w:tabs>
        <w:ind w:left="567" w:right="567"/>
        <w:jc w:val="both"/>
        <w:rPr>
          <w:rFonts w:ascii="Book Antiqua" w:hAnsi="Book Antiqua" w:cs="Arial"/>
        </w:rPr>
      </w:pPr>
      <w:r>
        <w:rPr>
          <w:rFonts w:ascii="Book Antiqua" w:hAnsi="Book Antiqua" w:cs="Arial"/>
        </w:rPr>
        <w:t>There is an order for anonymity.</w:t>
      </w:r>
      <w:r w:rsidRPr="00406102">
        <w:rPr>
          <w:rFonts w:ascii="Book Antiqua" w:hAnsi="Book Antiqua" w:cs="Arial"/>
        </w:rPr>
        <w:t xml:space="preserve"> </w:t>
      </w:r>
    </w:p>
    <w:p w14:paraId="78754B5E" w14:textId="77777777" w:rsidR="00EB3F83" w:rsidRDefault="00EB3F83" w:rsidP="00EB3F83">
      <w:pPr>
        <w:pStyle w:val="ListParagraph"/>
        <w:rPr>
          <w:rFonts w:ascii="Book Antiqua" w:hAnsi="Book Antiqua" w:cs="Arial"/>
        </w:rPr>
      </w:pPr>
    </w:p>
    <w:p w14:paraId="46D94444" w14:textId="77777777" w:rsidR="00EB3F83" w:rsidRDefault="00EB3F83" w:rsidP="00EB3F83">
      <w:pPr>
        <w:pStyle w:val="ListParagraph"/>
        <w:rPr>
          <w:rFonts w:ascii="Book Antiqua" w:hAnsi="Book Antiqua" w:cs="Arial"/>
        </w:rPr>
      </w:pPr>
    </w:p>
    <w:p w14:paraId="181CCCEE" w14:textId="77777777" w:rsidR="002D121B" w:rsidRDefault="002D121B" w:rsidP="00050C6C">
      <w:pPr>
        <w:pStyle w:val="ListParagraph"/>
        <w:rPr>
          <w:rFonts w:ascii="Book Antiqua" w:hAnsi="Book Antiqua" w:cs="Arial"/>
        </w:rPr>
      </w:pPr>
    </w:p>
    <w:p w14:paraId="23EE9357" w14:textId="77777777" w:rsidR="002D121B" w:rsidRDefault="002D121B" w:rsidP="00050C6C">
      <w:pPr>
        <w:pStyle w:val="ListParagraph"/>
        <w:rPr>
          <w:rFonts w:ascii="Book Antiqua" w:hAnsi="Book Antiqua" w:cs="Arial"/>
        </w:rPr>
      </w:pPr>
    </w:p>
    <w:p w14:paraId="12973205" w14:textId="77777777" w:rsidR="002D121B" w:rsidRDefault="002D121B" w:rsidP="00050C6C">
      <w:pPr>
        <w:pStyle w:val="ListParagraph"/>
        <w:rPr>
          <w:rFonts w:ascii="Book Antiqua" w:hAnsi="Book Antiqua" w:cs="Arial"/>
        </w:rPr>
      </w:pPr>
    </w:p>
    <w:p w14:paraId="4D66B33F" w14:textId="77777777" w:rsidR="00050C6C" w:rsidRDefault="00050C6C" w:rsidP="00122A22">
      <w:pPr>
        <w:tabs>
          <w:tab w:val="left" w:pos="567"/>
        </w:tabs>
        <w:ind w:left="567" w:right="567"/>
        <w:jc w:val="both"/>
        <w:rPr>
          <w:rFonts w:ascii="Book Antiqua" w:hAnsi="Book Antiqua" w:cs="Arial"/>
        </w:rPr>
      </w:pPr>
    </w:p>
    <w:p w14:paraId="77F75206" w14:textId="77777777"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14:paraId="66129DB9" w14:textId="77777777" w:rsidR="00122A22" w:rsidRDefault="006A7B92" w:rsidP="00122A22">
      <w:pPr>
        <w:tabs>
          <w:tab w:val="left" w:pos="567"/>
        </w:tabs>
        <w:ind w:left="567" w:right="567"/>
        <w:jc w:val="right"/>
        <w:rPr>
          <w:rFonts w:ascii="Book Antiqua" w:hAnsi="Book Antiqua" w:cs="Arial"/>
        </w:rPr>
      </w:pPr>
      <w:r>
        <w:rPr>
          <w:rFonts w:ascii="Book Antiqua" w:hAnsi="Book Antiqua" w:cs="Arial"/>
        </w:rPr>
        <w:t>2</w:t>
      </w:r>
      <w:r w:rsidRPr="006A7B92">
        <w:rPr>
          <w:rFonts w:ascii="Book Antiqua" w:hAnsi="Book Antiqua" w:cs="Arial"/>
          <w:vertAlign w:val="superscript"/>
        </w:rPr>
        <w:t>nd</w:t>
      </w:r>
      <w:r>
        <w:rPr>
          <w:rFonts w:ascii="Book Antiqua" w:hAnsi="Book Antiqua" w:cs="Arial"/>
        </w:rPr>
        <w:t xml:space="preserve"> June 2018</w:t>
      </w:r>
    </w:p>
    <w:p w14:paraId="7339B19F" w14:textId="77777777" w:rsidR="00D219F1" w:rsidRPr="008C6613"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B7FB0">
        <w:rPr>
          <w:rFonts w:ascii="Book Antiqua" w:hAnsi="Book Antiqua" w:cs="Arial"/>
        </w:rPr>
        <w:t xml:space="preserve">           </w:t>
      </w:r>
      <w:r w:rsidR="00107DD5">
        <w:rPr>
          <w:rFonts w:ascii="Book Antiqua" w:hAnsi="Book Antiqua" w:cs="Arial"/>
        </w:rPr>
        <w:t xml:space="preserve">  </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1D340" w14:textId="77777777" w:rsidR="000F27E6" w:rsidRDefault="000F27E6">
      <w:r>
        <w:separator/>
      </w:r>
    </w:p>
  </w:endnote>
  <w:endnote w:type="continuationSeparator" w:id="0">
    <w:p w14:paraId="0E76EB5D" w14:textId="77777777" w:rsidR="000F27E6" w:rsidRDefault="000F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9DA32" w14:textId="77777777" w:rsidR="00A577A8" w:rsidRPr="00593795" w:rsidRDefault="00A577A8"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3116F">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28E7" w14:textId="77777777" w:rsidR="00A577A8" w:rsidRPr="00090CF9" w:rsidRDefault="00A577A8" w:rsidP="00256F9B">
    <w:pPr>
      <w:jc w:val="center"/>
      <w:rPr>
        <w:rFonts w:ascii="Arial" w:hAnsi="Arial" w:cs="Arial"/>
        <w:b/>
      </w:rPr>
    </w:pPr>
    <w:r w:rsidRPr="00090CF9">
      <w:rPr>
        <w:rFonts w:ascii="Arial" w:hAnsi="Arial" w:cs="Arial"/>
        <w:b/>
        <w:spacing w:val="-6"/>
      </w:rPr>
      <w:t>©</w:t>
    </w:r>
    <w:r>
      <w:rPr>
        <w:rFonts w:ascii="Arial" w:hAnsi="Arial" w:cs="Arial"/>
        <w:b/>
      </w:rPr>
      <w:t xml:space="preserve"> CROWN </w:t>
    </w:r>
    <w:r w:rsidR="00921874">
      <w:rPr>
        <w:rFonts w:ascii="Arial" w:hAnsi="Arial" w:cs="Arial"/>
        <w:b/>
      </w:rPr>
      <w:t>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24FC9" w14:textId="77777777" w:rsidR="000F27E6" w:rsidRDefault="000F27E6">
      <w:r>
        <w:separator/>
      </w:r>
    </w:p>
  </w:footnote>
  <w:footnote w:type="continuationSeparator" w:id="0">
    <w:p w14:paraId="0E592AED" w14:textId="77777777" w:rsidR="000F27E6" w:rsidRDefault="000F27E6">
      <w:r>
        <w:continuationSeparator/>
      </w:r>
    </w:p>
  </w:footnote>
  <w:footnote w:id="1">
    <w:p w14:paraId="441D31CE" w14:textId="77777777" w:rsidR="00BF2B1F" w:rsidRDefault="00BF2B1F">
      <w:pPr>
        <w:pStyle w:val="FootnoteText"/>
      </w:pPr>
      <w:r>
        <w:rPr>
          <w:rStyle w:val="FootnoteReference"/>
        </w:rPr>
        <w:footnoteRef/>
      </w:r>
      <w:r>
        <w:t xml:space="preserve"> </w:t>
      </w:r>
      <w:r w:rsidRPr="00BF2B1F">
        <w:rPr>
          <w:rFonts w:ascii="Book Antiqua" w:hAnsi="Book Antiqua"/>
          <w:sz w:val="20"/>
          <w:szCs w:val="20"/>
        </w:rPr>
        <w:t>Permission was refused on the 19</w:t>
      </w:r>
      <w:r w:rsidRPr="00BF2B1F">
        <w:rPr>
          <w:rFonts w:ascii="Book Antiqua" w:hAnsi="Book Antiqua"/>
          <w:sz w:val="20"/>
          <w:szCs w:val="20"/>
          <w:vertAlign w:val="superscript"/>
        </w:rPr>
        <w:t>th</w:t>
      </w:r>
      <w:r w:rsidRPr="00BF2B1F">
        <w:rPr>
          <w:rFonts w:ascii="Book Antiqua" w:hAnsi="Book Antiqua"/>
          <w:sz w:val="20"/>
          <w:szCs w:val="20"/>
        </w:rPr>
        <w:t xml:space="preserve"> October 2017 by First-tier Tribunal (Judge Pedro) but was granted upon renewed application by Upper Tribunal Grubb on the 18 December 2017.</w:t>
      </w:r>
    </w:p>
    <w:p w14:paraId="2F0C7EA2" w14:textId="77777777" w:rsidR="00BF2B1F" w:rsidRDefault="00BF2B1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2D252" w14:textId="77777777" w:rsidR="00A577A8" w:rsidRPr="00FE1BCE" w:rsidRDefault="00921874"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PA</w:t>
    </w:r>
    <w:r w:rsidR="00BF2B1F">
      <w:rPr>
        <w:rFonts w:ascii="Book Antiqua" w:hAnsi="Book Antiqua" w:cs="Arial"/>
        <w:color w:val="000000"/>
        <w:sz w:val="20"/>
        <w:szCs w:val="20"/>
      </w:rPr>
      <w:t>//13407/16</w:t>
    </w:r>
  </w:p>
  <w:p w14:paraId="16AB5A26" w14:textId="77777777" w:rsidR="00A577A8" w:rsidRPr="00D25E1A" w:rsidRDefault="00A577A8" w:rsidP="00FE1BCE">
    <w:pPr>
      <w:pStyle w:val="Header"/>
      <w:rPr>
        <w:rFonts w:ascii="Book Antiqua" w:hAnsi="Book Antiqua"/>
        <w:sz w:val="20"/>
        <w:szCs w:val="20"/>
      </w:rPr>
    </w:pPr>
  </w:p>
  <w:p w14:paraId="46AE2CC9" w14:textId="77777777" w:rsidR="00A577A8" w:rsidRPr="00850A1F" w:rsidRDefault="00A577A8" w:rsidP="00850A1F">
    <w:pPr>
      <w:pStyle w:val="Header"/>
      <w:jc w:val="right"/>
      <w:rPr>
        <w:rFonts w:ascii="Book Antiqua" w:hAnsi="Book Antiqua"/>
        <w:sz w:val="16"/>
        <w:szCs w:val="16"/>
      </w:rPr>
    </w:pPr>
  </w:p>
  <w:p w14:paraId="22F8F1B7" w14:textId="77777777" w:rsidR="00A577A8" w:rsidRPr="003C5CE5" w:rsidRDefault="00A577A8"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564F5" w14:textId="77777777" w:rsidR="00A577A8" w:rsidRPr="00FE1BCE" w:rsidRDefault="00A577A8"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14:paraId="7A6EFA58" w14:textId="77777777" w:rsidR="00A577A8" w:rsidRPr="00D25E1A" w:rsidRDefault="00A577A8"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36"/>
    <w:multiLevelType w:val="hybridMultilevel"/>
    <w:tmpl w:val="5F50F23E"/>
    <w:lvl w:ilvl="0" w:tplc="458EB30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07353688"/>
    <w:multiLevelType w:val="hybridMultilevel"/>
    <w:tmpl w:val="FB1E6A98"/>
    <w:lvl w:ilvl="0" w:tplc="5A84D6D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7841662"/>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3" w15:restartNumberingAfterBreak="0">
    <w:nsid w:val="172E776B"/>
    <w:multiLevelType w:val="hybridMultilevel"/>
    <w:tmpl w:val="35EAA2C6"/>
    <w:lvl w:ilvl="0" w:tplc="3A2AE5A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79D20F4"/>
    <w:multiLevelType w:val="hybridMultilevel"/>
    <w:tmpl w:val="0A2815C4"/>
    <w:lvl w:ilvl="0" w:tplc="71D218F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3164C2"/>
    <w:multiLevelType w:val="hybridMultilevel"/>
    <w:tmpl w:val="2E783F1C"/>
    <w:lvl w:ilvl="0" w:tplc="8EE2FA20">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4964E89"/>
    <w:multiLevelType w:val="hybridMultilevel"/>
    <w:tmpl w:val="2996AC1C"/>
    <w:lvl w:ilvl="0" w:tplc="0A3E33F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7" w15:restartNumberingAfterBreak="0">
    <w:nsid w:val="27366E64"/>
    <w:multiLevelType w:val="hybridMultilevel"/>
    <w:tmpl w:val="52DC1970"/>
    <w:lvl w:ilvl="0" w:tplc="E33282FA">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5704D43"/>
    <w:multiLevelType w:val="hybridMultilevel"/>
    <w:tmpl w:val="15CC71B4"/>
    <w:lvl w:ilvl="0" w:tplc="A07402D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57C3245A"/>
    <w:multiLevelType w:val="hybridMultilevel"/>
    <w:tmpl w:val="19308E7C"/>
    <w:lvl w:ilvl="0" w:tplc="07D6FBA2">
      <w:start w:val="3"/>
      <w:numFmt w:val="lowerRoman"/>
      <w:lvlText w:val="(%1)"/>
      <w:lvlJc w:val="left"/>
      <w:pPr>
        <w:tabs>
          <w:tab w:val="num" w:pos="1290"/>
        </w:tabs>
        <w:ind w:left="1290" w:hanging="720"/>
      </w:pPr>
    </w:lvl>
    <w:lvl w:ilvl="1" w:tplc="08090019">
      <w:start w:val="1"/>
      <w:numFmt w:val="lowerLetter"/>
      <w:lvlText w:val="%2."/>
      <w:lvlJc w:val="left"/>
      <w:pPr>
        <w:tabs>
          <w:tab w:val="num" w:pos="1650"/>
        </w:tabs>
        <w:ind w:left="1650" w:hanging="360"/>
      </w:pPr>
    </w:lvl>
    <w:lvl w:ilvl="2" w:tplc="0809001B">
      <w:start w:val="1"/>
      <w:numFmt w:val="lowerRoman"/>
      <w:lvlText w:val="%3."/>
      <w:lvlJc w:val="right"/>
      <w:pPr>
        <w:tabs>
          <w:tab w:val="num" w:pos="2370"/>
        </w:tabs>
        <w:ind w:left="2370" w:hanging="180"/>
      </w:pPr>
    </w:lvl>
    <w:lvl w:ilvl="3" w:tplc="0809000F">
      <w:start w:val="1"/>
      <w:numFmt w:val="decimal"/>
      <w:lvlText w:val="%4."/>
      <w:lvlJc w:val="left"/>
      <w:pPr>
        <w:tabs>
          <w:tab w:val="num" w:pos="3090"/>
        </w:tabs>
        <w:ind w:left="3090" w:hanging="360"/>
      </w:pPr>
    </w:lvl>
    <w:lvl w:ilvl="4" w:tplc="08090019">
      <w:start w:val="1"/>
      <w:numFmt w:val="lowerLetter"/>
      <w:lvlText w:val="%5."/>
      <w:lvlJc w:val="left"/>
      <w:pPr>
        <w:tabs>
          <w:tab w:val="num" w:pos="3810"/>
        </w:tabs>
        <w:ind w:left="3810" w:hanging="360"/>
      </w:pPr>
    </w:lvl>
    <w:lvl w:ilvl="5" w:tplc="0809001B">
      <w:start w:val="1"/>
      <w:numFmt w:val="lowerRoman"/>
      <w:lvlText w:val="%6."/>
      <w:lvlJc w:val="right"/>
      <w:pPr>
        <w:tabs>
          <w:tab w:val="num" w:pos="4530"/>
        </w:tabs>
        <w:ind w:left="4530" w:hanging="180"/>
      </w:pPr>
    </w:lvl>
    <w:lvl w:ilvl="6" w:tplc="0809000F">
      <w:start w:val="1"/>
      <w:numFmt w:val="decimal"/>
      <w:lvlText w:val="%7."/>
      <w:lvlJc w:val="left"/>
      <w:pPr>
        <w:tabs>
          <w:tab w:val="num" w:pos="5250"/>
        </w:tabs>
        <w:ind w:left="5250" w:hanging="360"/>
      </w:pPr>
    </w:lvl>
    <w:lvl w:ilvl="7" w:tplc="08090019">
      <w:start w:val="1"/>
      <w:numFmt w:val="lowerLetter"/>
      <w:lvlText w:val="%8."/>
      <w:lvlJc w:val="left"/>
      <w:pPr>
        <w:tabs>
          <w:tab w:val="num" w:pos="5970"/>
        </w:tabs>
        <w:ind w:left="5970" w:hanging="360"/>
      </w:pPr>
    </w:lvl>
    <w:lvl w:ilvl="8" w:tplc="0809001B">
      <w:start w:val="1"/>
      <w:numFmt w:val="lowerRoman"/>
      <w:lvlText w:val="%9."/>
      <w:lvlJc w:val="right"/>
      <w:pPr>
        <w:tabs>
          <w:tab w:val="num" w:pos="6690"/>
        </w:tabs>
        <w:ind w:left="6690" w:hanging="180"/>
      </w:pPr>
    </w:lvl>
  </w:abstractNum>
  <w:abstractNum w:abstractNumId="11" w15:restartNumberingAfterBreak="0">
    <w:nsid w:val="6B630C72"/>
    <w:multiLevelType w:val="hybridMultilevel"/>
    <w:tmpl w:val="BA40C942"/>
    <w:lvl w:ilvl="0" w:tplc="C3C25B86">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7F8D2917"/>
    <w:multiLevelType w:val="hybridMultilevel"/>
    <w:tmpl w:val="C7324514"/>
    <w:lvl w:ilvl="0" w:tplc="0150A14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num w:numId="1">
    <w:abstractNumId w:val="8"/>
  </w:num>
  <w:num w:numId="2">
    <w:abstractNumId w:val="6"/>
  </w:num>
  <w:num w:numId="3">
    <w:abstractNumId w:val="3"/>
  </w:num>
  <w:num w:numId="4">
    <w:abstractNumId w:val="0"/>
  </w:num>
  <w:num w:numId="5">
    <w:abstractNumId w:val="11"/>
  </w:num>
  <w:num w:numId="6">
    <w:abstractNumId w:val="7"/>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
  </w:num>
  <w:num w:numId="10">
    <w:abstractNumId w:val="1"/>
  </w:num>
  <w:num w:numId="11">
    <w:abstractNumId w:val="12"/>
  </w:num>
  <w:num w:numId="12">
    <w:abstractNumId w:val="9"/>
  </w:num>
  <w:num w:numId="13">
    <w:abstractNumId w:val="4"/>
  </w:num>
  <w:num w:numId="14">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6CCD9A5-45D6-442E-B896-9EF082610EE5}"/>
    <w:docVar w:name="dgnword-eventsink" w:val="651745328"/>
  </w:docVars>
  <w:rsids>
    <w:rsidRoot w:val="00503887"/>
    <w:rsid w:val="000001D8"/>
    <w:rsid w:val="00002895"/>
    <w:rsid w:val="00002B9F"/>
    <w:rsid w:val="000047C3"/>
    <w:rsid w:val="00010DD4"/>
    <w:rsid w:val="00010F16"/>
    <w:rsid w:val="0001157F"/>
    <w:rsid w:val="0001581F"/>
    <w:rsid w:val="0001755E"/>
    <w:rsid w:val="000303CD"/>
    <w:rsid w:val="000306E4"/>
    <w:rsid w:val="00030A29"/>
    <w:rsid w:val="000359E1"/>
    <w:rsid w:val="000367D1"/>
    <w:rsid w:val="00050C6C"/>
    <w:rsid w:val="0005475F"/>
    <w:rsid w:val="000573C1"/>
    <w:rsid w:val="000603B5"/>
    <w:rsid w:val="00060416"/>
    <w:rsid w:val="00061DAB"/>
    <w:rsid w:val="00062F11"/>
    <w:rsid w:val="00063897"/>
    <w:rsid w:val="000703D5"/>
    <w:rsid w:val="000724F8"/>
    <w:rsid w:val="00073EC4"/>
    <w:rsid w:val="00074353"/>
    <w:rsid w:val="00077FD6"/>
    <w:rsid w:val="00080881"/>
    <w:rsid w:val="00080EAB"/>
    <w:rsid w:val="0008143E"/>
    <w:rsid w:val="000826B0"/>
    <w:rsid w:val="000828AC"/>
    <w:rsid w:val="000840CD"/>
    <w:rsid w:val="00085742"/>
    <w:rsid w:val="00090CF9"/>
    <w:rsid w:val="0009125E"/>
    <w:rsid w:val="00094C92"/>
    <w:rsid w:val="00095218"/>
    <w:rsid w:val="0009524D"/>
    <w:rsid w:val="00095273"/>
    <w:rsid w:val="000A0053"/>
    <w:rsid w:val="000A4723"/>
    <w:rsid w:val="000A48CD"/>
    <w:rsid w:val="000B4061"/>
    <w:rsid w:val="000B62F5"/>
    <w:rsid w:val="000C2A47"/>
    <w:rsid w:val="000C2AF3"/>
    <w:rsid w:val="000C4611"/>
    <w:rsid w:val="000D5781"/>
    <w:rsid w:val="000E1274"/>
    <w:rsid w:val="000E2DE4"/>
    <w:rsid w:val="000F27E6"/>
    <w:rsid w:val="000F53DF"/>
    <w:rsid w:val="000F7213"/>
    <w:rsid w:val="001072D3"/>
    <w:rsid w:val="00107AFB"/>
    <w:rsid w:val="00107DD5"/>
    <w:rsid w:val="00110E66"/>
    <w:rsid w:val="0011297E"/>
    <w:rsid w:val="00114635"/>
    <w:rsid w:val="00114FC1"/>
    <w:rsid w:val="00115B62"/>
    <w:rsid w:val="00120ACC"/>
    <w:rsid w:val="00121965"/>
    <w:rsid w:val="00122A22"/>
    <w:rsid w:val="001257BB"/>
    <w:rsid w:val="00125F39"/>
    <w:rsid w:val="001343F7"/>
    <w:rsid w:val="00137136"/>
    <w:rsid w:val="0014095B"/>
    <w:rsid w:val="001432F0"/>
    <w:rsid w:val="00150B50"/>
    <w:rsid w:val="001515D9"/>
    <w:rsid w:val="001526BE"/>
    <w:rsid w:val="001552EA"/>
    <w:rsid w:val="0015610E"/>
    <w:rsid w:val="001604C0"/>
    <w:rsid w:val="00162D9C"/>
    <w:rsid w:val="001737E8"/>
    <w:rsid w:val="00176367"/>
    <w:rsid w:val="0018031B"/>
    <w:rsid w:val="001835EF"/>
    <w:rsid w:val="00187C19"/>
    <w:rsid w:val="0019206C"/>
    <w:rsid w:val="0019638F"/>
    <w:rsid w:val="001A4307"/>
    <w:rsid w:val="001B026B"/>
    <w:rsid w:val="001B461B"/>
    <w:rsid w:val="001B7FB0"/>
    <w:rsid w:val="001C1BBC"/>
    <w:rsid w:val="001D0A72"/>
    <w:rsid w:val="001D6175"/>
    <w:rsid w:val="001E0004"/>
    <w:rsid w:val="001E2BF6"/>
    <w:rsid w:val="001E4A2B"/>
    <w:rsid w:val="001F0771"/>
    <w:rsid w:val="001F2745"/>
    <w:rsid w:val="001F2D22"/>
    <w:rsid w:val="00200B97"/>
    <w:rsid w:val="00202103"/>
    <w:rsid w:val="0021355E"/>
    <w:rsid w:val="0021520B"/>
    <w:rsid w:val="00230487"/>
    <w:rsid w:val="0023116F"/>
    <w:rsid w:val="00233926"/>
    <w:rsid w:val="0023493B"/>
    <w:rsid w:val="0023498C"/>
    <w:rsid w:val="00235A0B"/>
    <w:rsid w:val="00237E82"/>
    <w:rsid w:val="002438F7"/>
    <w:rsid w:val="0024659B"/>
    <w:rsid w:val="0025455C"/>
    <w:rsid w:val="00254594"/>
    <w:rsid w:val="00256F9B"/>
    <w:rsid w:val="002621B2"/>
    <w:rsid w:val="0026298A"/>
    <w:rsid w:val="002641D7"/>
    <w:rsid w:val="002648D3"/>
    <w:rsid w:val="00265B9A"/>
    <w:rsid w:val="00266A8E"/>
    <w:rsid w:val="00270B84"/>
    <w:rsid w:val="00271A15"/>
    <w:rsid w:val="00284D54"/>
    <w:rsid w:val="00291970"/>
    <w:rsid w:val="00292E49"/>
    <w:rsid w:val="0029559E"/>
    <w:rsid w:val="002965A3"/>
    <w:rsid w:val="002A093D"/>
    <w:rsid w:val="002A2EA9"/>
    <w:rsid w:val="002A363E"/>
    <w:rsid w:val="002A37A8"/>
    <w:rsid w:val="002A3DC1"/>
    <w:rsid w:val="002A4453"/>
    <w:rsid w:val="002A75C1"/>
    <w:rsid w:val="002B4614"/>
    <w:rsid w:val="002B591E"/>
    <w:rsid w:val="002B649D"/>
    <w:rsid w:val="002C0DB8"/>
    <w:rsid w:val="002C3376"/>
    <w:rsid w:val="002C6905"/>
    <w:rsid w:val="002C703C"/>
    <w:rsid w:val="002D121B"/>
    <w:rsid w:val="002D6068"/>
    <w:rsid w:val="002D7C57"/>
    <w:rsid w:val="002D7D6C"/>
    <w:rsid w:val="002E3BAE"/>
    <w:rsid w:val="002E3FAD"/>
    <w:rsid w:val="002E6B4A"/>
    <w:rsid w:val="002E6F61"/>
    <w:rsid w:val="002E6FC1"/>
    <w:rsid w:val="002F0807"/>
    <w:rsid w:val="002F0836"/>
    <w:rsid w:val="002F0E4A"/>
    <w:rsid w:val="00302AE1"/>
    <w:rsid w:val="0030356D"/>
    <w:rsid w:val="003069DF"/>
    <w:rsid w:val="003136C6"/>
    <w:rsid w:val="003139B3"/>
    <w:rsid w:val="0031473D"/>
    <w:rsid w:val="00317ACD"/>
    <w:rsid w:val="003222CB"/>
    <w:rsid w:val="00323C1A"/>
    <w:rsid w:val="00326F1B"/>
    <w:rsid w:val="0032748C"/>
    <w:rsid w:val="00331032"/>
    <w:rsid w:val="00334C01"/>
    <w:rsid w:val="00337B01"/>
    <w:rsid w:val="00342564"/>
    <w:rsid w:val="00343950"/>
    <w:rsid w:val="003447F8"/>
    <w:rsid w:val="00346DB0"/>
    <w:rsid w:val="00351D2D"/>
    <w:rsid w:val="00352A26"/>
    <w:rsid w:val="00353CF1"/>
    <w:rsid w:val="003554AD"/>
    <w:rsid w:val="00362425"/>
    <w:rsid w:val="00362DDF"/>
    <w:rsid w:val="00363022"/>
    <w:rsid w:val="003631B2"/>
    <w:rsid w:val="00363205"/>
    <w:rsid w:val="00365F83"/>
    <w:rsid w:val="00372DE9"/>
    <w:rsid w:val="0037354C"/>
    <w:rsid w:val="00373D18"/>
    <w:rsid w:val="00380BB4"/>
    <w:rsid w:val="003816CC"/>
    <w:rsid w:val="003839E0"/>
    <w:rsid w:val="00390BCC"/>
    <w:rsid w:val="00390D53"/>
    <w:rsid w:val="003950D6"/>
    <w:rsid w:val="00396522"/>
    <w:rsid w:val="00396E14"/>
    <w:rsid w:val="003A781E"/>
    <w:rsid w:val="003B04BA"/>
    <w:rsid w:val="003B41AD"/>
    <w:rsid w:val="003C5CE5"/>
    <w:rsid w:val="003D0A31"/>
    <w:rsid w:val="003D0A9F"/>
    <w:rsid w:val="003D0CC1"/>
    <w:rsid w:val="003D6C95"/>
    <w:rsid w:val="003D7E4B"/>
    <w:rsid w:val="003E0238"/>
    <w:rsid w:val="003E0433"/>
    <w:rsid w:val="003F0437"/>
    <w:rsid w:val="003F1EF2"/>
    <w:rsid w:val="003F25C0"/>
    <w:rsid w:val="003F3816"/>
    <w:rsid w:val="003F6281"/>
    <w:rsid w:val="004055F5"/>
    <w:rsid w:val="00406102"/>
    <w:rsid w:val="00406999"/>
    <w:rsid w:val="00414BBF"/>
    <w:rsid w:val="00425740"/>
    <w:rsid w:val="00430E49"/>
    <w:rsid w:val="0044120F"/>
    <w:rsid w:val="00445B82"/>
    <w:rsid w:val="00455650"/>
    <w:rsid w:val="00456174"/>
    <w:rsid w:val="00457E28"/>
    <w:rsid w:val="00461BBB"/>
    <w:rsid w:val="004629B3"/>
    <w:rsid w:val="00466720"/>
    <w:rsid w:val="00466F97"/>
    <w:rsid w:val="00473C4B"/>
    <w:rsid w:val="004806F7"/>
    <w:rsid w:val="0048104E"/>
    <w:rsid w:val="00485CCA"/>
    <w:rsid w:val="00490CEC"/>
    <w:rsid w:val="00494224"/>
    <w:rsid w:val="0049587A"/>
    <w:rsid w:val="004A0A2C"/>
    <w:rsid w:val="004A1354"/>
    <w:rsid w:val="004A2C8D"/>
    <w:rsid w:val="004B501C"/>
    <w:rsid w:val="004C177B"/>
    <w:rsid w:val="004D12F7"/>
    <w:rsid w:val="004D34E4"/>
    <w:rsid w:val="004E180C"/>
    <w:rsid w:val="004E2BB1"/>
    <w:rsid w:val="004E3787"/>
    <w:rsid w:val="004E4E2E"/>
    <w:rsid w:val="004E5313"/>
    <w:rsid w:val="004F0D19"/>
    <w:rsid w:val="004F4817"/>
    <w:rsid w:val="004F60D7"/>
    <w:rsid w:val="00500FFF"/>
    <w:rsid w:val="005031FA"/>
    <w:rsid w:val="00503887"/>
    <w:rsid w:val="00503D82"/>
    <w:rsid w:val="00505059"/>
    <w:rsid w:val="005061F2"/>
    <w:rsid w:val="00512E56"/>
    <w:rsid w:val="005145ED"/>
    <w:rsid w:val="00515521"/>
    <w:rsid w:val="005156F2"/>
    <w:rsid w:val="005216EC"/>
    <w:rsid w:val="0052338D"/>
    <w:rsid w:val="00524664"/>
    <w:rsid w:val="00532FF8"/>
    <w:rsid w:val="00533FBE"/>
    <w:rsid w:val="005371B6"/>
    <w:rsid w:val="00560249"/>
    <w:rsid w:val="00565414"/>
    <w:rsid w:val="0056622B"/>
    <w:rsid w:val="0058247C"/>
    <w:rsid w:val="005856F3"/>
    <w:rsid w:val="0058575E"/>
    <w:rsid w:val="005919AD"/>
    <w:rsid w:val="005925A3"/>
    <w:rsid w:val="0059261D"/>
    <w:rsid w:val="00592BE6"/>
    <w:rsid w:val="00593795"/>
    <w:rsid w:val="00593ABD"/>
    <w:rsid w:val="005941D9"/>
    <w:rsid w:val="00594CEF"/>
    <w:rsid w:val="00597F1D"/>
    <w:rsid w:val="005A4826"/>
    <w:rsid w:val="005A7B23"/>
    <w:rsid w:val="005B67E3"/>
    <w:rsid w:val="005B74F3"/>
    <w:rsid w:val="005B75C6"/>
    <w:rsid w:val="005C6730"/>
    <w:rsid w:val="005D3C8B"/>
    <w:rsid w:val="005E1ED6"/>
    <w:rsid w:val="005E51B0"/>
    <w:rsid w:val="005E674F"/>
    <w:rsid w:val="005F69C1"/>
    <w:rsid w:val="005F7CE5"/>
    <w:rsid w:val="00600892"/>
    <w:rsid w:val="006033D6"/>
    <w:rsid w:val="00604B27"/>
    <w:rsid w:val="00604B2F"/>
    <w:rsid w:val="00611A62"/>
    <w:rsid w:val="006127AB"/>
    <w:rsid w:val="00614229"/>
    <w:rsid w:val="00615376"/>
    <w:rsid w:val="006167D5"/>
    <w:rsid w:val="006170AF"/>
    <w:rsid w:val="006300DC"/>
    <w:rsid w:val="006358B6"/>
    <w:rsid w:val="00651814"/>
    <w:rsid w:val="006576AB"/>
    <w:rsid w:val="00657CAB"/>
    <w:rsid w:val="00662B43"/>
    <w:rsid w:val="00667A06"/>
    <w:rsid w:val="006863E4"/>
    <w:rsid w:val="00686518"/>
    <w:rsid w:val="00694C65"/>
    <w:rsid w:val="00695D72"/>
    <w:rsid w:val="006A17DA"/>
    <w:rsid w:val="006A2440"/>
    <w:rsid w:val="006A5B71"/>
    <w:rsid w:val="006A7B92"/>
    <w:rsid w:val="006B0EF8"/>
    <w:rsid w:val="006B14FA"/>
    <w:rsid w:val="006B153F"/>
    <w:rsid w:val="006B1DF9"/>
    <w:rsid w:val="006B6119"/>
    <w:rsid w:val="006C1A0A"/>
    <w:rsid w:val="006C1C86"/>
    <w:rsid w:val="006C5B23"/>
    <w:rsid w:val="006D3255"/>
    <w:rsid w:val="006E5178"/>
    <w:rsid w:val="006E555E"/>
    <w:rsid w:val="006F04C5"/>
    <w:rsid w:val="006F4E5F"/>
    <w:rsid w:val="006F6311"/>
    <w:rsid w:val="006F67CA"/>
    <w:rsid w:val="0070210A"/>
    <w:rsid w:val="00703A83"/>
    <w:rsid w:val="0070501C"/>
    <w:rsid w:val="00705639"/>
    <w:rsid w:val="00705A76"/>
    <w:rsid w:val="007065FA"/>
    <w:rsid w:val="00706926"/>
    <w:rsid w:val="00707C2D"/>
    <w:rsid w:val="0072580E"/>
    <w:rsid w:val="007406E4"/>
    <w:rsid w:val="007453E2"/>
    <w:rsid w:val="007536DE"/>
    <w:rsid w:val="007574AC"/>
    <w:rsid w:val="00760441"/>
    <w:rsid w:val="0076387F"/>
    <w:rsid w:val="00764A18"/>
    <w:rsid w:val="00765AD5"/>
    <w:rsid w:val="00766F15"/>
    <w:rsid w:val="00770912"/>
    <w:rsid w:val="00773D2E"/>
    <w:rsid w:val="00775502"/>
    <w:rsid w:val="00782B90"/>
    <w:rsid w:val="00784A12"/>
    <w:rsid w:val="0078605C"/>
    <w:rsid w:val="00787920"/>
    <w:rsid w:val="007923D1"/>
    <w:rsid w:val="00792770"/>
    <w:rsid w:val="0079546D"/>
    <w:rsid w:val="00795F95"/>
    <w:rsid w:val="007977D5"/>
    <w:rsid w:val="007A22FF"/>
    <w:rsid w:val="007A4592"/>
    <w:rsid w:val="007B110F"/>
    <w:rsid w:val="007B30C6"/>
    <w:rsid w:val="007B4090"/>
    <w:rsid w:val="007B6685"/>
    <w:rsid w:val="007C1FC3"/>
    <w:rsid w:val="007C344C"/>
    <w:rsid w:val="007C3E9C"/>
    <w:rsid w:val="007C422B"/>
    <w:rsid w:val="007C6EC2"/>
    <w:rsid w:val="007D2AD0"/>
    <w:rsid w:val="007D4BB1"/>
    <w:rsid w:val="007D6EA5"/>
    <w:rsid w:val="007E2269"/>
    <w:rsid w:val="007E3E26"/>
    <w:rsid w:val="007E4B90"/>
    <w:rsid w:val="007E648A"/>
    <w:rsid w:val="007E7D61"/>
    <w:rsid w:val="007F42AD"/>
    <w:rsid w:val="007F5B43"/>
    <w:rsid w:val="00800967"/>
    <w:rsid w:val="0080500E"/>
    <w:rsid w:val="008057DE"/>
    <w:rsid w:val="0080705C"/>
    <w:rsid w:val="00816297"/>
    <w:rsid w:val="00822B6E"/>
    <w:rsid w:val="0083121B"/>
    <w:rsid w:val="00835D03"/>
    <w:rsid w:val="0083601A"/>
    <w:rsid w:val="00841009"/>
    <w:rsid w:val="00842F69"/>
    <w:rsid w:val="00843020"/>
    <w:rsid w:val="00843837"/>
    <w:rsid w:val="00850A1F"/>
    <w:rsid w:val="00860257"/>
    <w:rsid w:val="00862503"/>
    <w:rsid w:val="0086393D"/>
    <w:rsid w:val="0086511A"/>
    <w:rsid w:val="00865602"/>
    <w:rsid w:val="00865722"/>
    <w:rsid w:val="0087176C"/>
    <w:rsid w:val="00875182"/>
    <w:rsid w:val="00880492"/>
    <w:rsid w:val="008819F7"/>
    <w:rsid w:val="00883BC7"/>
    <w:rsid w:val="00883D7A"/>
    <w:rsid w:val="00887DBA"/>
    <w:rsid w:val="00890DFD"/>
    <w:rsid w:val="0089340E"/>
    <w:rsid w:val="008963DD"/>
    <w:rsid w:val="0089795C"/>
    <w:rsid w:val="008A3005"/>
    <w:rsid w:val="008A312E"/>
    <w:rsid w:val="008A66D0"/>
    <w:rsid w:val="008B0098"/>
    <w:rsid w:val="008B1F9A"/>
    <w:rsid w:val="008B472E"/>
    <w:rsid w:val="008B63CD"/>
    <w:rsid w:val="008C1448"/>
    <w:rsid w:val="008C2756"/>
    <w:rsid w:val="008C5D92"/>
    <w:rsid w:val="008C6262"/>
    <w:rsid w:val="008C6613"/>
    <w:rsid w:val="008D2AA6"/>
    <w:rsid w:val="008D6F05"/>
    <w:rsid w:val="008E26B2"/>
    <w:rsid w:val="008E3E13"/>
    <w:rsid w:val="008E7314"/>
    <w:rsid w:val="008F1984"/>
    <w:rsid w:val="00901ED1"/>
    <w:rsid w:val="0090357B"/>
    <w:rsid w:val="00903D7E"/>
    <w:rsid w:val="009041D9"/>
    <w:rsid w:val="00915989"/>
    <w:rsid w:val="00920C3E"/>
    <w:rsid w:val="00921874"/>
    <w:rsid w:val="00926CFA"/>
    <w:rsid w:val="0093283E"/>
    <w:rsid w:val="00932CE3"/>
    <w:rsid w:val="009330F5"/>
    <w:rsid w:val="00940FF9"/>
    <w:rsid w:val="00941832"/>
    <w:rsid w:val="009468E7"/>
    <w:rsid w:val="00947856"/>
    <w:rsid w:val="00951123"/>
    <w:rsid w:val="009521DF"/>
    <w:rsid w:val="009555F0"/>
    <w:rsid w:val="0096131A"/>
    <w:rsid w:val="00963540"/>
    <w:rsid w:val="00963BE5"/>
    <w:rsid w:val="009641FD"/>
    <w:rsid w:val="00967518"/>
    <w:rsid w:val="009705A4"/>
    <w:rsid w:val="00971AC9"/>
    <w:rsid w:val="00972A0B"/>
    <w:rsid w:val="00980249"/>
    <w:rsid w:val="0098660F"/>
    <w:rsid w:val="00992AA1"/>
    <w:rsid w:val="009A0C65"/>
    <w:rsid w:val="009A229B"/>
    <w:rsid w:val="009A33E5"/>
    <w:rsid w:val="009B7E6D"/>
    <w:rsid w:val="009C05E1"/>
    <w:rsid w:val="009C7831"/>
    <w:rsid w:val="009C7D5E"/>
    <w:rsid w:val="009D0CFE"/>
    <w:rsid w:val="009D64E8"/>
    <w:rsid w:val="009D726D"/>
    <w:rsid w:val="009E27B2"/>
    <w:rsid w:val="009E53A1"/>
    <w:rsid w:val="009F223E"/>
    <w:rsid w:val="009F71CF"/>
    <w:rsid w:val="009F74FE"/>
    <w:rsid w:val="00A01777"/>
    <w:rsid w:val="00A02099"/>
    <w:rsid w:val="00A051DA"/>
    <w:rsid w:val="00A05EFA"/>
    <w:rsid w:val="00A10684"/>
    <w:rsid w:val="00A145A7"/>
    <w:rsid w:val="00A1557E"/>
    <w:rsid w:val="00A16179"/>
    <w:rsid w:val="00A22C41"/>
    <w:rsid w:val="00A23505"/>
    <w:rsid w:val="00A24454"/>
    <w:rsid w:val="00A32AF9"/>
    <w:rsid w:val="00A351BE"/>
    <w:rsid w:val="00A36B01"/>
    <w:rsid w:val="00A40021"/>
    <w:rsid w:val="00A418D6"/>
    <w:rsid w:val="00A42C80"/>
    <w:rsid w:val="00A463C0"/>
    <w:rsid w:val="00A46C64"/>
    <w:rsid w:val="00A50AB5"/>
    <w:rsid w:val="00A510E7"/>
    <w:rsid w:val="00A54F8B"/>
    <w:rsid w:val="00A577A8"/>
    <w:rsid w:val="00A74CBA"/>
    <w:rsid w:val="00A74F81"/>
    <w:rsid w:val="00A762C6"/>
    <w:rsid w:val="00A7647F"/>
    <w:rsid w:val="00A82F90"/>
    <w:rsid w:val="00A83C17"/>
    <w:rsid w:val="00A840FD"/>
    <w:rsid w:val="00A936B9"/>
    <w:rsid w:val="00A95CE6"/>
    <w:rsid w:val="00AA7821"/>
    <w:rsid w:val="00AB176C"/>
    <w:rsid w:val="00AB2694"/>
    <w:rsid w:val="00AB7E32"/>
    <w:rsid w:val="00AB7E58"/>
    <w:rsid w:val="00AC0EBB"/>
    <w:rsid w:val="00AC4DD4"/>
    <w:rsid w:val="00AC5228"/>
    <w:rsid w:val="00AC694F"/>
    <w:rsid w:val="00AC7467"/>
    <w:rsid w:val="00AD29BD"/>
    <w:rsid w:val="00AD44AB"/>
    <w:rsid w:val="00AD5EC2"/>
    <w:rsid w:val="00AE0983"/>
    <w:rsid w:val="00AE4515"/>
    <w:rsid w:val="00B02B9C"/>
    <w:rsid w:val="00B169D7"/>
    <w:rsid w:val="00B205E2"/>
    <w:rsid w:val="00B20C29"/>
    <w:rsid w:val="00B2408F"/>
    <w:rsid w:val="00B24E03"/>
    <w:rsid w:val="00B3406D"/>
    <w:rsid w:val="00B35CD6"/>
    <w:rsid w:val="00B35D97"/>
    <w:rsid w:val="00B401CC"/>
    <w:rsid w:val="00B41690"/>
    <w:rsid w:val="00B42D5A"/>
    <w:rsid w:val="00B444E9"/>
    <w:rsid w:val="00B4492F"/>
    <w:rsid w:val="00B44AE1"/>
    <w:rsid w:val="00B5019A"/>
    <w:rsid w:val="00B539AF"/>
    <w:rsid w:val="00B555FE"/>
    <w:rsid w:val="00B62EF0"/>
    <w:rsid w:val="00B630C0"/>
    <w:rsid w:val="00B65EBB"/>
    <w:rsid w:val="00B66576"/>
    <w:rsid w:val="00B740FB"/>
    <w:rsid w:val="00B754AD"/>
    <w:rsid w:val="00B84E76"/>
    <w:rsid w:val="00B8776D"/>
    <w:rsid w:val="00B908CC"/>
    <w:rsid w:val="00B92DD8"/>
    <w:rsid w:val="00B942E3"/>
    <w:rsid w:val="00B958AC"/>
    <w:rsid w:val="00BA1997"/>
    <w:rsid w:val="00BA601E"/>
    <w:rsid w:val="00BB0BED"/>
    <w:rsid w:val="00BC3EF5"/>
    <w:rsid w:val="00BC7132"/>
    <w:rsid w:val="00BC7D84"/>
    <w:rsid w:val="00BD31C7"/>
    <w:rsid w:val="00BD7BAD"/>
    <w:rsid w:val="00BE2005"/>
    <w:rsid w:val="00BE3664"/>
    <w:rsid w:val="00BE3DFF"/>
    <w:rsid w:val="00BF2B1F"/>
    <w:rsid w:val="00BF68D0"/>
    <w:rsid w:val="00BF7C7D"/>
    <w:rsid w:val="00C03009"/>
    <w:rsid w:val="00C065D6"/>
    <w:rsid w:val="00C07D2D"/>
    <w:rsid w:val="00C141C5"/>
    <w:rsid w:val="00C15791"/>
    <w:rsid w:val="00C15B27"/>
    <w:rsid w:val="00C20821"/>
    <w:rsid w:val="00C2165D"/>
    <w:rsid w:val="00C21FC7"/>
    <w:rsid w:val="00C225A0"/>
    <w:rsid w:val="00C22F56"/>
    <w:rsid w:val="00C2313A"/>
    <w:rsid w:val="00C2553B"/>
    <w:rsid w:val="00C25708"/>
    <w:rsid w:val="00C25E0C"/>
    <w:rsid w:val="00C32979"/>
    <w:rsid w:val="00C33717"/>
    <w:rsid w:val="00C36DDB"/>
    <w:rsid w:val="00C47D8E"/>
    <w:rsid w:val="00C565B6"/>
    <w:rsid w:val="00C66600"/>
    <w:rsid w:val="00C736F2"/>
    <w:rsid w:val="00C766AA"/>
    <w:rsid w:val="00C837D6"/>
    <w:rsid w:val="00C8535C"/>
    <w:rsid w:val="00C85E53"/>
    <w:rsid w:val="00C87BD2"/>
    <w:rsid w:val="00C924BC"/>
    <w:rsid w:val="00C94463"/>
    <w:rsid w:val="00C9596E"/>
    <w:rsid w:val="00C97347"/>
    <w:rsid w:val="00CA3C86"/>
    <w:rsid w:val="00CA53B7"/>
    <w:rsid w:val="00CA647C"/>
    <w:rsid w:val="00CA7A46"/>
    <w:rsid w:val="00CB0A42"/>
    <w:rsid w:val="00CC5A56"/>
    <w:rsid w:val="00CC6A16"/>
    <w:rsid w:val="00CC71E2"/>
    <w:rsid w:val="00CD3D71"/>
    <w:rsid w:val="00CD7808"/>
    <w:rsid w:val="00CE4856"/>
    <w:rsid w:val="00CE6DB2"/>
    <w:rsid w:val="00CF00A1"/>
    <w:rsid w:val="00CF325C"/>
    <w:rsid w:val="00CF334F"/>
    <w:rsid w:val="00CF3D62"/>
    <w:rsid w:val="00CF4F17"/>
    <w:rsid w:val="00CF5614"/>
    <w:rsid w:val="00D00A54"/>
    <w:rsid w:val="00D01B3B"/>
    <w:rsid w:val="00D01F79"/>
    <w:rsid w:val="00D02B21"/>
    <w:rsid w:val="00D038BD"/>
    <w:rsid w:val="00D1099C"/>
    <w:rsid w:val="00D11A7E"/>
    <w:rsid w:val="00D1200E"/>
    <w:rsid w:val="00D1415A"/>
    <w:rsid w:val="00D219F1"/>
    <w:rsid w:val="00D22581"/>
    <w:rsid w:val="00D25155"/>
    <w:rsid w:val="00D25506"/>
    <w:rsid w:val="00D25E1A"/>
    <w:rsid w:val="00D30A1B"/>
    <w:rsid w:val="00D346B2"/>
    <w:rsid w:val="00D35454"/>
    <w:rsid w:val="00D40585"/>
    <w:rsid w:val="00D466BC"/>
    <w:rsid w:val="00D51CE6"/>
    <w:rsid w:val="00D5246B"/>
    <w:rsid w:val="00D5667E"/>
    <w:rsid w:val="00D57C07"/>
    <w:rsid w:val="00D600E0"/>
    <w:rsid w:val="00D61E5A"/>
    <w:rsid w:val="00D66004"/>
    <w:rsid w:val="00D66941"/>
    <w:rsid w:val="00D676BC"/>
    <w:rsid w:val="00D716F5"/>
    <w:rsid w:val="00D722FD"/>
    <w:rsid w:val="00D743A4"/>
    <w:rsid w:val="00D74572"/>
    <w:rsid w:val="00D7462C"/>
    <w:rsid w:val="00D80370"/>
    <w:rsid w:val="00D806C5"/>
    <w:rsid w:val="00D8417E"/>
    <w:rsid w:val="00D873D6"/>
    <w:rsid w:val="00DA0272"/>
    <w:rsid w:val="00DA454A"/>
    <w:rsid w:val="00DA6A1C"/>
    <w:rsid w:val="00DA77D9"/>
    <w:rsid w:val="00DA781F"/>
    <w:rsid w:val="00DB002A"/>
    <w:rsid w:val="00DB217C"/>
    <w:rsid w:val="00DB480A"/>
    <w:rsid w:val="00DC3931"/>
    <w:rsid w:val="00DC5A54"/>
    <w:rsid w:val="00DD0EB3"/>
    <w:rsid w:val="00DD1F79"/>
    <w:rsid w:val="00DD4B9F"/>
    <w:rsid w:val="00DD6FA2"/>
    <w:rsid w:val="00DD723F"/>
    <w:rsid w:val="00DE07E8"/>
    <w:rsid w:val="00DE25FF"/>
    <w:rsid w:val="00DE35A3"/>
    <w:rsid w:val="00DE3880"/>
    <w:rsid w:val="00DE5FA3"/>
    <w:rsid w:val="00DF1E13"/>
    <w:rsid w:val="00DF2E88"/>
    <w:rsid w:val="00DF6E1C"/>
    <w:rsid w:val="00E00941"/>
    <w:rsid w:val="00E10C73"/>
    <w:rsid w:val="00E13CEE"/>
    <w:rsid w:val="00E147CF"/>
    <w:rsid w:val="00E174ED"/>
    <w:rsid w:val="00E20AE6"/>
    <w:rsid w:val="00E248DA"/>
    <w:rsid w:val="00E31F3E"/>
    <w:rsid w:val="00E32DD6"/>
    <w:rsid w:val="00E33B66"/>
    <w:rsid w:val="00E33EA4"/>
    <w:rsid w:val="00E352E3"/>
    <w:rsid w:val="00E41A12"/>
    <w:rsid w:val="00E421CF"/>
    <w:rsid w:val="00E44F8D"/>
    <w:rsid w:val="00E55787"/>
    <w:rsid w:val="00E578A3"/>
    <w:rsid w:val="00E62B62"/>
    <w:rsid w:val="00E658C6"/>
    <w:rsid w:val="00E65A68"/>
    <w:rsid w:val="00E7302F"/>
    <w:rsid w:val="00E75986"/>
    <w:rsid w:val="00E82D8A"/>
    <w:rsid w:val="00E837B9"/>
    <w:rsid w:val="00E91542"/>
    <w:rsid w:val="00E91D95"/>
    <w:rsid w:val="00E92A87"/>
    <w:rsid w:val="00E96F21"/>
    <w:rsid w:val="00E97964"/>
    <w:rsid w:val="00EA332E"/>
    <w:rsid w:val="00EA778D"/>
    <w:rsid w:val="00EB19CE"/>
    <w:rsid w:val="00EB3D21"/>
    <w:rsid w:val="00EB3F83"/>
    <w:rsid w:val="00EC13DF"/>
    <w:rsid w:val="00EC35B3"/>
    <w:rsid w:val="00ED1A87"/>
    <w:rsid w:val="00ED2509"/>
    <w:rsid w:val="00ED7C3A"/>
    <w:rsid w:val="00EE05A8"/>
    <w:rsid w:val="00EE237B"/>
    <w:rsid w:val="00EF0245"/>
    <w:rsid w:val="00EF1AE3"/>
    <w:rsid w:val="00EF2367"/>
    <w:rsid w:val="00EF40EB"/>
    <w:rsid w:val="00F032E8"/>
    <w:rsid w:val="00F03917"/>
    <w:rsid w:val="00F1518B"/>
    <w:rsid w:val="00F205B2"/>
    <w:rsid w:val="00F22B04"/>
    <w:rsid w:val="00F250FA"/>
    <w:rsid w:val="00F257EE"/>
    <w:rsid w:val="00F2600D"/>
    <w:rsid w:val="00F27330"/>
    <w:rsid w:val="00F27506"/>
    <w:rsid w:val="00F27F90"/>
    <w:rsid w:val="00F33EF9"/>
    <w:rsid w:val="00F3749E"/>
    <w:rsid w:val="00F43764"/>
    <w:rsid w:val="00F43936"/>
    <w:rsid w:val="00F504EE"/>
    <w:rsid w:val="00F63A16"/>
    <w:rsid w:val="00F6716F"/>
    <w:rsid w:val="00F81530"/>
    <w:rsid w:val="00F81CDF"/>
    <w:rsid w:val="00F86DF2"/>
    <w:rsid w:val="00F94A95"/>
    <w:rsid w:val="00F97369"/>
    <w:rsid w:val="00F97A4A"/>
    <w:rsid w:val="00FB245A"/>
    <w:rsid w:val="00FB3A25"/>
    <w:rsid w:val="00FB537F"/>
    <w:rsid w:val="00FB6EEF"/>
    <w:rsid w:val="00FB7FFE"/>
    <w:rsid w:val="00FC1FDF"/>
    <w:rsid w:val="00FC3CB3"/>
    <w:rsid w:val="00FC3D7C"/>
    <w:rsid w:val="00FD2B63"/>
    <w:rsid w:val="00FD4A9F"/>
    <w:rsid w:val="00FD6447"/>
    <w:rsid w:val="00FD71BF"/>
    <w:rsid w:val="00FE1BCE"/>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9A6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7A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paragraph" w:customStyle="1" w:styleId="legp1paratext1">
    <w:name w:val="legp1paratext1"/>
    <w:basedOn w:val="Normal"/>
    <w:rsid w:val="00F63A16"/>
    <w:pPr>
      <w:shd w:val="clear" w:color="auto" w:fill="FFFFFF"/>
      <w:spacing w:after="120" w:line="360" w:lineRule="atLeast"/>
      <w:ind w:firstLine="240"/>
      <w:jc w:val="both"/>
    </w:pPr>
    <w:rPr>
      <w:color w:val="494949"/>
      <w:sz w:val="19"/>
      <w:szCs w:val="19"/>
    </w:rPr>
  </w:style>
  <w:style w:type="paragraph" w:customStyle="1" w:styleId="legp2paratext1">
    <w:name w:val="legp2paratext1"/>
    <w:basedOn w:val="Normal"/>
    <w:rsid w:val="00F63A16"/>
    <w:pPr>
      <w:shd w:val="clear" w:color="auto" w:fill="FFFFFF"/>
      <w:spacing w:after="120" w:line="360" w:lineRule="atLeast"/>
      <w:ind w:firstLine="240"/>
      <w:jc w:val="both"/>
    </w:pPr>
    <w:rPr>
      <w:color w:val="494949"/>
      <w:sz w:val="19"/>
      <w:szCs w:val="19"/>
    </w:rPr>
  </w:style>
  <w:style w:type="character" w:customStyle="1" w:styleId="ennote">
    <w:name w:val="ennote"/>
    <w:rsid w:val="00F63A16"/>
  </w:style>
  <w:style w:type="character" w:customStyle="1" w:styleId="legp1no3">
    <w:name w:val="legp1no3"/>
    <w:rsid w:val="00F63A16"/>
    <w:rPr>
      <w:b/>
      <w:bCs/>
    </w:rPr>
  </w:style>
  <w:style w:type="paragraph" w:customStyle="1" w:styleId="legclearfix2">
    <w:name w:val="legclearfix2"/>
    <w:basedOn w:val="Normal"/>
    <w:rsid w:val="00F63A16"/>
    <w:pPr>
      <w:shd w:val="clear" w:color="auto" w:fill="FFFFFF"/>
      <w:spacing w:after="120" w:line="360" w:lineRule="atLeast"/>
    </w:pPr>
    <w:rPr>
      <w:color w:val="494949"/>
      <w:sz w:val="19"/>
      <w:szCs w:val="19"/>
    </w:rPr>
  </w:style>
  <w:style w:type="character" w:customStyle="1" w:styleId="legds2">
    <w:name w:val="legds2"/>
    <w:rsid w:val="00F63A16"/>
    <w:rPr>
      <w:vanish w:val="0"/>
      <w:webHidden w:val="0"/>
      <w:specVanish w:val="0"/>
    </w:rPr>
  </w:style>
  <w:style w:type="character" w:styleId="HTMLAcronym">
    <w:name w:val="HTML Acronym"/>
    <w:uiPriority w:val="99"/>
    <w:semiHidden/>
    <w:unhideWhenUsed/>
    <w:rsid w:val="00705A76"/>
  </w:style>
  <w:style w:type="character" w:customStyle="1" w:styleId="legamendingtext">
    <w:name w:val="legamendingtext"/>
    <w:rsid w:val="00860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6561">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039221">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948">
      <w:bodyDiv w:val="1"/>
      <w:marLeft w:val="0"/>
      <w:marRight w:val="0"/>
      <w:marTop w:val="0"/>
      <w:marBottom w:val="0"/>
      <w:divBdr>
        <w:top w:val="none" w:sz="0" w:space="0" w:color="auto"/>
        <w:left w:val="none" w:sz="0" w:space="0" w:color="auto"/>
        <w:bottom w:val="none" w:sz="0" w:space="0" w:color="auto"/>
        <w:right w:val="none" w:sz="0" w:space="0" w:color="auto"/>
      </w:divBdr>
      <w:divsChild>
        <w:div w:id="500782731">
          <w:marLeft w:val="0"/>
          <w:marRight w:val="0"/>
          <w:marTop w:val="0"/>
          <w:marBottom w:val="0"/>
          <w:divBdr>
            <w:top w:val="none" w:sz="0" w:space="0" w:color="auto"/>
            <w:left w:val="none" w:sz="0" w:space="0" w:color="auto"/>
            <w:bottom w:val="none" w:sz="0" w:space="0" w:color="auto"/>
            <w:right w:val="none" w:sz="0" w:space="0" w:color="auto"/>
          </w:divBdr>
          <w:divsChild>
            <w:div w:id="1064108683">
              <w:marLeft w:val="0"/>
              <w:marRight w:val="0"/>
              <w:marTop w:val="0"/>
              <w:marBottom w:val="0"/>
              <w:divBdr>
                <w:top w:val="single" w:sz="2" w:space="0" w:color="FFFFFF"/>
                <w:left w:val="single" w:sz="6" w:space="0" w:color="FFFFFF"/>
                <w:bottom w:val="single" w:sz="6" w:space="0" w:color="FFFFFF"/>
                <w:right w:val="single" w:sz="6" w:space="0" w:color="FFFFFF"/>
              </w:divBdr>
              <w:divsChild>
                <w:div w:id="1614366153">
                  <w:marLeft w:val="0"/>
                  <w:marRight w:val="0"/>
                  <w:marTop w:val="0"/>
                  <w:marBottom w:val="0"/>
                  <w:divBdr>
                    <w:top w:val="single" w:sz="6" w:space="1" w:color="D3D3D3"/>
                    <w:left w:val="none" w:sz="0" w:space="0" w:color="auto"/>
                    <w:bottom w:val="none" w:sz="0" w:space="0" w:color="auto"/>
                    <w:right w:val="none" w:sz="0" w:space="0" w:color="auto"/>
                  </w:divBdr>
                  <w:divsChild>
                    <w:div w:id="302127525">
                      <w:marLeft w:val="0"/>
                      <w:marRight w:val="0"/>
                      <w:marTop w:val="0"/>
                      <w:marBottom w:val="0"/>
                      <w:divBdr>
                        <w:top w:val="none" w:sz="0" w:space="0" w:color="auto"/>
                        <w:left w:val="none" w:sz="0" w:space="0" w:color="auto"/>
                        <w:bottom w:val="none" w:sz="0" w:space="0" w:color="auto"/>
                        <w:right w:val="none" w:sz="0" w:space="0" w:color="auto"/>
                      </w:divBdr>
                      <w:divsChild>
                        <w:div w:id="1531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0231">
      <w:bodyDiv w:val="1"/>
      <w:marLeft w:val="0"/>
      <w:marRight w:val="0"/>
      <w:marTop w:val="0"/>
      <w:marBottom w:val="0"/>
      <w:divBdr>
        <w:top w:val="none" w:sz="0" w:space="0" w:color="auto"/>
        <w:left w:val="none" w:sz="0" w:space="0" w:color="auto"/>
        <w:bottom w:val="none" w:sz="0" w:space="0" w:color="auto"/>
        <w:right w:val="none" w:sz="0" w:space="0" w:color="auto"/>
      </w:divBdr>
      <w:divsChild>
        <w:div w:id="194195555">
          <w:marLeft w:val="0"/>
          <w:marRight w:val="0"/>
          <w:marTop w:val="0"/>
          <w:marBottom w:val="0"/>
          <w:divBdr>
            <w:top w:val="none" w:sz="0" w:space="0" w:color="auto"/>
            <w:left w:val="none" w:sz="0" w:space="0" w:color="auto"/>
            <w:bottom w:val="none" w:sz="0" w:space="0" w:color="auto"/>
            <w:right w:val="none" w:sz="0" w:space="0" w:color="auto"/>
          </w:divBdr>
          <w:divsChild>
            <w:div w:id="434793093">
              <w:marLeft w:val="0"/>
              <w:marRight w:val="0"/>
              <w:marTop w:val="0"/>
              <w:marBottom w:val="0"/>
              <w:divBdr>
                <w:top w:val="single" w:sz="2" w:space="0" w:color="FFFFFF"/>
                <w:left w:val="single" w:sz="6" w:space="0" w:color="FFFFFF"/>
                <w:bottom w:val="single" w:sz="6" w:space="0" w:color="FFFFFF"/>
                <w:right w:val="single" w:sz="6" w:space="0" w:color="FFFFFF"/>
              </w:divBdr>
              <w:divsChild>
                <w:div w:id="230116378">
                  <w:marLeft w:val="0"/>
                  <w:marRight w:val="0"/>
                  <w:marTop w:val="0"/>
                  <w:marBottom w:val="0"/>
                  <w:divBdr>
                    <w:top w:val="single" w:sz="6" w:space="1" w:color="D3D3D3"/>
                    <w:left w:val="none" w:sz="0" w:space="0" w:color="auto"/>
                    <w:bottom w:val="none" w:sz="0" w:space="0" w:color="auto"/>
                    <w:right w:val="none" w:sz="0" w:space="0" w:color="auto"/>
                  </w:divBdr>
                  <w:divsChild>
                    <w:div w:id="554436245">
                      <w:marLeft w:val="0"/>
                      <w:marRight w:val="0"/>
                      <w:marTop w:val="0"/>
                      <w:marBottom w:val="0"/>
                      <w:divBdr>
                        <w:top w:val="none" w:sz="0" w:space="0" w:color="auto"/>
                        <w:left w:val="none" w:sz="0" w:space="0" w:color="auto"/>
                        <w:bottom w:val="none" w:sz="0" w:space="0" w:color="auto"/>
                        <w:right w:val="none" w:sz="0" w:space="0" w:color="auto"/>
                      </w:divBdr>
                      <w:divsChild>
                        <w:div w:id="2385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17372">
      <w:bodyDiv w:val="1"/>
      <w:marLeft w:val="0"/>
      <w:marRight w:val="0"/>
      <w:marTop w:val="0"/>
      <w:marBottom w:val="0"/>
      <w:divBdr>
        <w:top w:val="none" w:sz="0" w:space="0" w:color="auto"/>
        <w:left w:val="none" w:sz="0" w:space="0" w:color="auto"/>
        <w:bottom w:val="none" w:sz="0" w:space="0" w:color="auto"/>
        <w:right w:val="none" w:sz="0" w:space="0" w:color="auto"/>
      </w:divBdr>
      <w:divsChild>
        <w:div w:id="393698333">
          <w:marLeft w:val="0"/>
          <w:marRight w:val="0"/>
          <w:marTop w:val="0"/>
          <w:marBottom w:val="0"/>
          <w:divBdr>
            <w:top w:val="none" w:sz="0" w:space="0" w:color="auto"/>
            <w:left w:val="none" w:sz="0" w:space="0" w:color="auto"/>
            <w:bottom w:val="none" w:sz="0" w:space="0" w:color="auto"/>
            <w:right w:val="none" w:sz="0" w:space="0" w:color="auto"/>
          </w:divBdr>
          <w:divsChild>
            <w:div w:id="509102733">
              <w:marLeft w:val="0"/>
              <w:marRight w:val="0"/>
              <w:marTop w:val="0"/>
              <w:marBottom w:val="0"/>
              <w:divBdr>
                <w:top w:val="single" w:sz="2" w:space="0" w:color="FFFFFF"/>
                <w:left w:val="single" w:sz="6" w:space="0" w:color="FFFFFF"/>
                <w:bottom w:val="single" w:sz="6" w:space="0" w:color="FFFFFF"/>
                <w:right w:val="single" w:sz="6" w:space="0" w:color="FFFFFF"/>
              </w:divBdr>
              <w:divsChild>
                <w:div w:id="937254746">
                  <w:marLeft w:val="0"/>
                  <w:marRight w:val="0"/>
                  <w:marTop w:val="0"/>
                  <w:marBottom w:val="0"/>
                  <w:divBdr>
                    <w:top w:val="single" w:sz="6" w:space="1" w:color="D3D3D3"/>
                    <w:left w:val="none" w:sz="0" w:space="0" w:color="auto"/>
                    <w:bottom w:val="none" w:sz="0" w:space="0" w:color="auto"/>
                    <w:right w:val="none" w:sz="0" w:space="0" w:color="auto"/>
                  </w:divBdr>
                  <w:divsChild>
                    <w:div w:id="85004764">
                      <w:marLeft w:val="0"/>
                      <w:marRight w:val="0"/>
                      <w:marTop w:val="0"/>
                      <w:marBottom w:val="0"/>
                      <w:divBdr>
                        <w:top w:val="none" w:sz="0" w:space="0" w:color="auto"/>
                        <w:left w:val="none" w:sz="0" w:space="0" w:color="auto"/>
                        <w:bottom w:val="none" w:sz="0" w:space="0" w:color="auto"/>
                        <w:right w:val="none" w:sz="0" w:space="0" w:color="auto"/>
                      </w:divBdr>
                      <w:divsChild>
                        <w:div w:id="888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32164">
      <w:bodyDiv w:val="1"/>
      <w:marLeft w:val="0"/>
      <w:marRight w:val="0"/>
      <w:marTop w:val="0"/>
      <w:marBottom w:val="0"/>
      <w:divBdr>
        <w:top w:val="none" w:sz="0" w:space="0" w:color="auto"/>
        <w:left w:val="none" w:sz="0" w:space="0" w:color="auto"/>
        <w:bottom w:val="none" w:sz="0" w:space="0" w:color="auto"/>
        <w:right w:val="none" w:sz="0" w:space="0" w:color="auto"/>
      </w:divBdr>
    </w:div>
    <w:div w:id="1679577019">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18A56-0292-4D0F-9786-25F00F1E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2018-07-17T13:39:00Z</dcterms:created>
  <dcterms:modified xsi:type="dcterms:W3CDTF">2018-07-17T13:39:00Z</dcterms:modified>
</cp:coreProperties>
</file>