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583883" w:rsidRDefault="00E57885" w:rsidP="00C321B5">
      <w:pPr>
        <w:jc w:val="center"/>
        <w:rPr>
          <w:rFonts w:ascii="Book Antiqua" w:hAnsi="Book Antiqua" w:cs="Arial"/>
          <w:sz w:val="16"/>
          <w:szCs w:val="16"/>
        </w:rPr>
      </w:pPr>
      <w:r w:rsidRPr="00583883">
        <w:rPr>
          <w:noProof/>
          <w:sz w:val="16"/>
          <w:szCs w:val="16"/>
        </w:rPr>
        <w:drawing>
          <wp:inline distT="0" distB="0" distL="0" distR="0">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rsidR="00D94AFC" w:rsidRPr="00583883" w:rsidRDefault="00D94AFC">
      <w:pPr>
        <w:rPr>
          <w:rFonts w:ascii="Book Antiqua" w:hAnsi="Book Antiqua" w:cs="Arial"/>
          <w:sz w:val="16"/>
          <w:szCs w:val="16"/>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1E1FB5">
        <w:rPr>
          <w:rFonts w:ascii="Book Antiqua" w:hAnsi="Book Antiqua" w:cs="Arial"/>
          <w:caps/>
        </w:rPr>
        <w:t>PA/13452/2016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F5664C" w:rsidTr="00362A39">
        <w:tc>
          <w:tcPr>
            <w:tcW w:w="495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1E1FB5">
              <w:rPr>
                <w:rFonts w:ascii="Book Antiqua" w:hAnsi="Book Antiqua" w:cs="Arial"/>
                <w:b/>
              </w:rPr>
              <w:t>Bradford</w:t>
            </w:r>
          </w:p>
        </w:tc>
        <w:tc>
          <w:tcPr>
            <w:tcW w:w="5051" w:type="dxa"/>
            <w:gridSpan w:val="2"/>
          </w:tcPr>
          <w:p w:rsidR="00D22636" w:rsidRPr="00F5664C" w:rsidRDefault="008508AD"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rsidTr="00362A39">
        <w:tc>
          <w:tcPr>
            <w:tcW w:w="4957" w:type="dxa"/>
          </w:tcPr>
          <w:p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1E1FB5">
              <w:rPr>
                <w:rFonts w:ascii="Book Antiqua" w:hAnsi="Book Antiqua" w:cs="Arial"/>
                <w:b/>
              </w:rPr>
              <w:t>12 June 2018</w:t>
            </w:r>
          </w:p>
        </w:tc>
        <w:tc>
          <w:tcPr>
            <w:tcW w:w="5051" w:type="dxa"/>
            <w:gridSpan w:val="2"/>
          </w:tcPr>
          <w:p w:rsidR="00D22636" w:rsidRPr="00F5664C" w:rsidRDefault="00362A39" w:rsidP="004A1848">
            <w:pPr>
              <w:jc w:val="both"/>
              <w:rPr>
                <w:rFonts w:ascii="Book Antiqua" w:hAnsi="Book Antiqua" w:cs="Arial"/>
                <w:b/>
              </w:rPr>
            </w:pPr>
            <w:r>
              <w:rPr>
                <w:rFonts w:ascii="Book Antiqua" w:hAnsi="Book Antiqua" w:cs="Arial"/>
                <w:b/>
              </w:rPr>
              <w:t xml:space="preserve">On 31 July 2018 </w:t>
            </w:r>
          </w:p>
        </w:tc>
      </w:tr>
      <w:tr w:rsidR="00362A39" w:rsidRPr="00F5664C" w:rsidTr="008508AD">
        <w:trPr>
          <w:gridAfter w:val="1"/>
          <w:wAfter w:w="3960" w:type="dxa"/>
        </w:trPr>
        <w:tc>
          <w:tcPr>
            <w:tcW w:w="6048" w:type="dxa"/>
            <w:gridSpan w:val="2"/>
          </w:tcPr>
          <w:p w:rsidR="00362A39" w:rsidRPr="00F5664C" w:rsidRDefault="00362A39" w:rsidP="004A1848">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rsidR="00B16F58" w:rsidRPr="00F5664C" w:rsidRDefault="00B16F58" w:rsidP="00A15234">
      <w:pPr>
        <w:jc w:val="center"/>
        <w:rPr>
          <w:rFonts w:ascii="Book Antiqua" w:hAnsi="Book Antiqua" w:cs="Arial"/>
          <w:b/>
        </w:rPr>
      </w:pPr>
    </w:p>
    <w:p w:rsidR="00583883" w:rsidRDefault="00583883"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Default="00A845DC" w:rsidP="00A15234">
      <w:pPr>
        <w:jc w:val="center"/>
        <w:rPr>
          <w:rFonts w:ascii="Book Antiqua" w:hAnsi="Book Antiqua" w:cs="Arial"/>
          <w:b/>
        </w:rPr>
      </w:pPr>
    </w:p>
    <w:p w:rsidR="001E1FB5" w:rsidRDefault="001E1FB5" w:rsidP="00A15234">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1E1FB5" w:rsidRDefault="001E1FB5" w:rsidP="001E1FB5">
      <w:pPr>
        <w:jc w:val="center"/>
        <w:rPr>
          <w:rFonts w:ascii="Book Antiqua" w:hAnsi="Book Antiqua" w:cs="Arial"/>
          <w:b/>
          <w:caps/>
        </w:rPr>
      </w:pPr>
      <w:r>
        <w:rPr>
          <w:rFonts w:ascii="Book Antiqua" w:hAnsi="Book Antiqua" w:cs="Arial"/>
          <w:b/>
          <w:caps/>
        </w:rPr>
        <w:t>A A</w:t>
      </w:r>
    </w:p>
    <w:p w:rsidR="00DD5071" w:rsidRPr="00F5664C" w:rsidRDefault="001E1FB5" w:rsidP="001E1FB5">
      <w:pPr>
        <w:jc w:val="center"/>
        <w:rPr>
          <w:rFonts w:ascii="Book Antiqua" w:hAnsi="Book Antiqua" w:cs="Arial"/>
          <w:b/>
          <w:caps/>
        </w:rPr>
      </w:pPr>
      <w:r w:rsidRPr="008508AD">
        <w:rPr>
          <w:rFonts w:ascii="Book Antiqua" w:hAnsi="Book Antiqua" w:cs="Arial"/>
          <w:b/>
          <w:caps/>
        </w:rPr>
        <w:t xml:space="preserve">(ANONYMITY DIRECTION </w:t>
      </w:r>
      <w:r w:rsidR="00195234">
        <w:rPr>
          <w:rFonts w:ascii="Book Antiqua" w:hAnsi="Book Antiqua" w:cs="Arial"/>
          <w:b/>
          <w:caps/>
        </w:rPr>
        <w:t>made</w:t>
      </w:r>
      <w:r w:rsidRPr="008508AD">
        <w:rPr>
          <w:rFonts w:ascii="Book Antiqua" w:hAnsi="Book Antiqua" w:cs="Arial"/>
          <w:b/>
          <w:caps/>
        </w:rPr>
        <w:t>)</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1E1FB5">
        <w:rPr>
          <w:rFonts w:ascii="Book Antiqua" w:hAnsi="Book Antiqua" w:cs="Arial"/>
        </w:rPr>
        <w:t>Mrs Pettersen, a Senior Home Office Presenting Officer</w:t>
      </w:r>
    </w:p>
    <w:p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1E1FB5">
        <w:rPr>
          <w:rFonts w:ascii="Book Antiqua" w:hAnsi="Book Antiqua" w:cs="Arial"/>
        </w:rPr>
        <w:t>Ms Naz, Fountain Solicitors</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0F76DE" w:rsidRDefault="001E1FB5" w:rsidP="00583883">
      <w:pPr>
        <w:numPr>
          <w:ilvl w:val="0"/>
          <w:numId w:val="3"/>
        </w:numPr>
        <w:spacing w:before="160"/>
        <w:jc w:val="both"/>
        <w:rPr>
          <w:rFonts w:ascii="Book Antiqua" w:hAnsi="Book Antiqua" w:cs="Arial"/>
        </w:rPr>
      </w:pPr>
      <w:r>
        <w:rPr>
          <w:rFonts w:ascii="Book Antiqua" w:hAnsi="Book Antiqua" w:cs="Arial"/>
        </w:rPr>
        <w:t>I shall refer to the appellant a</w:t>
      </w:r>
      <w:r w:rsidR="00E55224">
        <w:rPr>
          <w:rFonts w:ascii="Book Antiqua" w:hAnsi="Book Antiqua" w:cs="Arial"/>
        </w:rPr>
        <w:t>s</w:t>
      </w:r>
      <w:r>
        <w:rPr>
          <w:rFonts w:ascii="Book Antiqua" w:hAnsi="Book Antiqua" w:cs="Arial"/>
        </w:rPr>
        <w:t xml:space="preserve"> the respondent as the appellant (as they appeared respectively before the First-tier Tribunal).  The appellant, A</w:t>
      </w:r>
      <w:r w:rsidR="00195234">
        <w:rPr>
          <w:rFonts w:ascii="Book Antiqua" w:hAnsi="Book Antiqua" w:cs="Arial"/>
        </w:rPr>
        <w:t xml:space="preserve"> </w:t>
      </w:r>
      <w:r>
        <w:rPr>
          <w:rFonts w:ascii="Book Antiqua" w:hAnsi="Book Antiqua" w:cs="Arial"/>
        </w:rPr>
        <w:t xml:space="preserve">A, born in 1996 and claims to be an undocumented Kuwaiti Bidoon.  His application for asylum was refused by a decision made on 18 November 2016.  He appealed to the First-tier Tribunal (Judge Moran) which, in a decision promulgated on 21 August 2017, allowed the appeal.  The Secretary of State now appeals, with permission, to the Upper Tribunal.  </w:t>
      </w:r>
    </w:p>
    <w:p w:rsidR="001E1FB5" w:rsidRDefault="001E1FB5" w:rsidP="00583883">
      <w:pPr>
        <w:numPr>
          <w:ilvl w:val="0"/>
          <w:numId w:val="3"/>
        </w:numPr>
        <w:spacing w:before="160"/>
        <w:jc w:val="both"/>
        <w:rPr>
          <w:rFonts w:ascii="Book Antiqua" w:hAnsi="Book Antiqua" w:cs="Arial"/>
        </w:rPr>
      </w:pPr>
      <w:r>
        <w:rPr>
          <w:rFonts w:ascii="Book Antiqua" w:hAnsi="Book Antiqua" w:cs="Arial"/>
        </w:rPr>
        <w:t xml:space="preserve">Judge Moran found </w:t>
      </w:r>
      <w:r w:rsidR="00E55224">
        <w:rPr>
          <w:rFonts w:ascii="Book Antiqua" w:hAnsi="Book Antiqua" w:cs="Arial"/>
        </w:rPr>
        <w:t xml:space="preserve">that </w:t>
      </w:r>
      <w:r>
        <w:rPr>
          <w:rFonts w:ascii="Book Antiqua" w:hAnsi="Book Antiqua" w:cs="Arial"/>
        </w:rPr>
        <w:t>the appellant would face persecution upon return to Kuwait.  The judge found that the appellant’s brother (J) came to the United Kingdom in 2009 and had bee</w:t>
      </w:r>
      <w:r w:rsidR="008B6EBC">
        <w:rPr>
          <w:rFonts w:ascii="Book Antiqua" w:hAnsi="Book Antiqua" w:cs="Arial"/>
        </w:rPr>
        <w:t>n granted asylum.  The judge also noted</w:t>
      </w:r>
      <w:r>
        <w:rPr>
          <w:rFonts w:ascii="Book Antiqua" w:hAnsi="Book Antiqua" w:cs="Arial"/>
        </w:rPr>
        <w:t xml:space="preserve"> that the Secretary of State had </w:t>
      </w:r>
      <w:r>
        <w:rPr>
          <w:rFonts w:ascii="Book Antiqua" w:hAnsi="Book Antiqua" w:cs="Arial"/>
        </w:rPr>
        <w:lastRenderedPageBreak/>
        <w:t>accepted that the appellant’s brother J was an undocumented Bidoon.  The judge found that the appellant’s father had been involved in demonstrations from 2011 and had been detained following a demonstration in 2014.  The family had not seen the father since that date.  He found also that the appellant had attended a demonstration in Kuwai</w:t>
      </w:r>
      <w:r w:rsidR="00195234">
        <w:rPr>
          <w:rFonts w:ascii="Book Antiqua" w:hAnsi="Book Antiqua" w:cs="Arial"/>
        </w:rPr>
        <w:t>t</w:t>
      </w:r>
      <w:r>
        <w:rPr>
          <w:rFonts w:ascii="Book Antiqua" w:hAnsi="Book Antiqua" w:cs="Arial"/>
        </w:rPr>
        <w:t xml:space="preserve"> in April 2016.  That demonstration had been broken up by the authorities but the appellant had been detained and taken to a police station where he was mistreated.  Thereafter, the appellant </w:t>
      </w:r>
      <w:r w:rsidR="00E55224">
        <w:rPr>
          <w:rFonts w:ascii="Book Antiqua" w:hAnsi="Book Antiqua" w:cs="Arial"/>
        </w:rPr>
        <w:t>had fled</w:t>
      </w:r>
      <w:r>
        <w:rPr>
          <w:rFonts w:ascii="Book Antiqua" w:hAnsi="Book Antiqua" w:cs="Arial"/>
        </w:rPr>
        <w:t xml:space="preserve"> to the United Kingdom.</w:t>
      </w:r>
    </w:p>
    <w:p w:rsidR="001E1FB5" w:rsidRDefault="001E1FB5" w:rsidP="00583883">
      <w:pPr>
        <w:numPr>
          <w:ilvl w:val="0"/>
          <w:numId w:val="3"/>
        </w:numPr>
        <w:spacing w:before="160"/>
        <w:jc w:val="both"/>
        <w:rPr>
          <w:rFonts w:ascii="Book Antiqua" w:hAnsi="Book Antiqua" w:cs="Arial"/>
        </w:rPr>
      </w:pPr>
      <w:r>
        <w:rPr>
          <w:rFonts w:ascii="Book Antiqua" w:hAnsi="Book Antiqua" w:cs="Arial"/>
        </w:rPr>
        <w:t xml:space="preserve">The Secretary of State seeks to challenge Judge Moran’s decision on the basis that he gave inappropriate weight to the fact that the brother J had been granted asylum in the United Kingdom apparently on the basis that he is an undocumented Bidoon.  Both the First-tier Tribunal and the Secretary of State rely upon the country guidance of </w:t>
      </w:r>
      <w:r w:rsidRPr="00E55224">
        <w:rPr>
          <w:rFonts w:ascii="Book Antiqua" w:hAnsi="Book Antiqua" w:cs="Arial"/>
          <w:i/>
        </w:rPr>
        <w:t xml:space="preserve">NM </w:t>
      </w:r>
      <w:r w:rsidR="00E55224">
        <w:rPr>
          <w:rFonts w:ascii="Book Antiqua" w:hAnsi="Book Antiqua" w:cs="Arial"/>
          <w:i/>
        </w:rPr>
        <w:t>(</w:t>
      </w:r>
      <w:r w:rsidRPr="00E55224">
        <w:rPr>
          <w:rFonts w:ascii="Book Antiqua" w:hAnsi="Book Antiqua" w:cs="Arial"/>
          <w:i/>
        </w:rPr>
        <w:t>documented/undocumented Bidoon; risk) Kuwait CG</w:t>
      </w:r>
      <w:r w:rsidRPr="00E55224">
        <w:rPr>
          <w:rFonts w:ascii="Book Antiqua" w:hAnsi="Book Antiqua" w:cs="Arial"/>
        </w:rPr>
        <w:t xml:space="preserve"> [2013] UKUT 00356 (IAC)</w:t>
      </w:r>
      <w:r>
        <w:rPr>
          <w:rFonts w:ascii="Book Antiqua" w:hAnsi="Book Antiqua" w:cs="Arial"/>
        </w:rPr>
        <w:t xml:space="preserve">.  The headnote of </w:t>
      </w:r>
      <w:r w:rsidRPr="00E55224">
        <w:rPr>
          <w:rFonts w:ascii="Book Antiqua" w:hAnsi="Book Antiqua" w:cs="Arial"/>
          <w:i/>
        </w:rPr>
        <w:t>NM</w:t>
      </w:r>
      <w:r>
        <w:rPr>
          <w:rFonts w:ascii="Book Antiqua" w:hAnsi="Book Antiqua" w:cs="Arial"/>
        </w:rPr>
        <w:t xml:space="preserve"> reads as follows: </w:t>
      </w:r>
    </w:p>
    <w:p w:rsidR="008B6EBC" w:rsidRDefault="00583883" w:rsidP="00583883">
      <w:pPr>
        <w:tabs>
          <w:tab w:val="left" w:pos="1701"/>
        </w:tabs>
        <w:spacing w:before="120"/>
        <w:ind w:left="1134" w:right="567"/>
        <w:jc w:val="both"/>
        <w:rPr>
          <w:rFonts w:ascii="Book Antiqua" w:hAnsi="Book Antiqua" w:cs="Arial"/>
          <w:sz w:val="22"/>
          <w:szCs w:val="22"/>
        </w:rPr>
      </w:pPr>
      <w:r>
        <w:rPr>
          <w:rFonts w:ascii="Book Antiqua" w:hAnsi="Book Antiqua" w:cs="Arial"/>
          <w:sz w:val="22"/>
          <w:szCs w:val="22"/>
        </w:rPr>
        <w:t>“</w:t>
      </w:r>
      <w:r w:rsidR="008B6EBC" w:rsidRPr="008B6EBC">
        <w:rPr>
          <w:rFonts w:ascii="Book Antiqua" w:hAnsi="Book Antiqua" w:cs="Arial"/>
          <w:sz w:val="22"/>
          <w:szCs w:val="22"/>
        </w:rPr>
        <w:t>(1)</w:t>
      </w:r>
      <w:r>
        <w:rPr>
          <w:rFonts w:ascii="Book Antiqua" w:hAnsi="Book Antiqua" w:cs="Arial"/>
          <w:sz w:val="22"/>
          <w:szCs w:val="22"/>
        </w:rPr>
        <w:tab/>
      </w:r>
      <w:r w:rsidR="008B6EBC" w:rsidRPr="008B6EBC">
        <w:rPr>
          <w:rFonts w:ascii="Book Antiqua" w:hAnsi="Book Antiqua" w:cs="Arial"/>
          <w:sz w:val="22"/>
          <w:szCs w:val="22"/>
        </w:rPr>
        <w:t xml:space="preserve">The distinction made in previous country guidance in respect of Kuwaiti Bidoon, between those who are documented and those who are undocumented, is maintained, but the relevant crucial document, from possession of which a range of benefits depends, is the security card, rather than the “civil identification documents” referred to in the previous country guidance in HE [2006] UKAIT 00051. To that extent the guidance in HE is amended. </w:t>
      </w:r>
    </w:p>
    <w:p w:rsidR="008B6EBC" w:rsidRDefault="008B6EBC" w:rsidP="00583883">
      <w:pPr>
        <w:tabs>
          <w:tab w:val="left" w:pos="1701"/>
        </w:tabs>
        <w:spacing w:before="120"/>
        <w:ind w:left="1134" w:right="567"/>
        <w:jc w:val="both"/>
        <w:rPr>
          <w:rFonts w:ascii="Book Antiqua" w:hAnsi="Book Antiqua" w:cs="Arial"/>
          <w:sz w:val="22"/>
          <w:szCs w:val="22"/>
        </w:rPr>
      </w:pPr>
      <w:r w:rsidRPr="008B6EBC">
        <w:rPr>
          <w:rFonts w:ascii="Book Antiqua" w:hAnsi="Book Antiqua" w:cs="Arial"/>
          <w:sz w:val="22"/>
          <w:szCs w:val="22"/>
        </w:rPr>
        <w:t>(2)</w:t>
      </w:r>
      <w:r w:rsidR="00583883">
        <w:rPr>
          <w:rFonts w:ascii="Book Antiqua" w:hAnsi="Book Antiqua" w:cs="Arial"/>
          <w:sz w:val="22"/>
          <w:szCs w:val="22"/>
        </w:rPr>
        <w:tab/>
      </w:r>
      <w:r w:rsidRPr="008B6EBC">
        <w:rPr>
          <w:rFonts w:ascii="Book Antiqua" w:hAnsi="Book Antiqua" w:cs="Arial"/>
          <w:sz w:val="22"/>
          <w:szCs w:val="22"/>
        </w:rPr>
        <w:t>The evidence relating to the documented Bidoon does not show them to be at real risk of persecution or breach of their protected human rights.</w:t>
      </w:r>
    </w:p>
    <w:p w:rsidR="008B6EBC" w:rsidRDefault="008B6EBC" w:rsidP="00583883">
      <w:pPr>
        <w:tabs>
          <w:tab w:val="left" w:pos="1701"/>
        </w:tabs>
        <w:spacing w:before="120"/>
        <w:ind w:left="1134" w:right="567"/>
        <w:jc w:val="both"/>
        <w:rPr>
          <w:rFonts w:ascii="Book Antiqua" w:hAnsi="Book Antiqua" w:cs="Arial"/>
          <w:sz w:val="22"/>
          <w:szCs w:val="22"/>
        </w:rPr>
      </w:pPr>
      <w:r w:rsidRPr="008B6EBC">
        <w:rPr>
          <w:rFonts w:ascii="Book Antiqua" w:hAnsi="Book Antiqua" w:cs="Arial"/>
          <w:sz w:val="22"/>
          <w:szCs w:val="22"/>
        </w:rPr>
        <w:t>(3)</w:t>
      </w:r>
      <w:r w:rsidR="00583883">
        <w:rPr>
          <w:rFonts w:ascii="Book Antiqua" w:hAnsi="Book Antiqua" w:cs="Arial"/>
          <w:sz w:val="22"/>
          <w:szCs w:val="22"/>
        </w:rPr>
        <w:tab/>
      </w:r>
      <w:r w:rsidRPr="008B6EBC">
        <w:rPr>
          <w:rFonts w:ascii="Book Antiqua" w:hAnsi="Book Antiqua" w:cs="Arial"/>
          <w:sz w:val="22"/>
          <w:szCs w:val="22"/>
        </w:rPr>
        <w:t>The evidence concerning the undocumented Bidoon does show them to face a real risk of persecution or breach of their protected human rights.</w:t>
      </w:r>
    </w:p>
    <w:p w:rsidR="00184A29" w:rsidRPr="00E55224" w:rsidRDefault="008B6EBC" w:rsidP="00583883">
      <w:pPr>
        <w:tabs>
          <w:tab w:val="left" w:pos="1701"/>
        </w:tabs>
        <w:spacing w:before="120"/>
        <w:ind w:left="1134" w:right="567"/>
        <w:jc w:val="both"/>
        <w:rPr>
          <w:rFonts w:ascii="Book Antiqua" w:hAnsi="Book Antiqua" w:cs="Arial"/>
          <w:sz w:val="22"/>
          <w:szCs w:val="22"/>
        </w:rPr>
      </w:pPr>
      <w:r w:rsidRPr="008B6EBC">
        <w:rPr>
          <w:rFonts w:ascii="Book Antiqua" w:hAnsi="Book Antiqua" w:cs="Arial"/>
          <w:sz w:val="22"/>
          <w:szCs w:val="22"/>
        </w:rPr>
        <w:t>(4)</w:t>
      </w:r>
      <w:r w:rsidR="00583883">
        <w:rPr>
          <w:rFonts w:ascii="Book Antiqua" w:hAnsi="Book Antiqua" w:cs="Arial"/>
          <w:sz w:val="22"/>
          <w:szCs w:val="22"/>
        </w:rPr>
        <w:tab/>
      </w:r>
      <w:r w:rsidRPr="008B6EBC">
        <w:rPr>
          <w:rFonts w:ascii="Book Antiqua" w:hAnsi="Book Antiqua" w:cs="Arial"/>
          <w:sz w:val="22"/>
          <w:szCs w:val="22"/>
        </w:rPr>
        <w:t>It must be assumed that Bidoon who did not register between 1996 and 2000, and hence did not obtain security cards, are as a consequence undocumented Bidoon, though this must be seen in the context of the evidence that most Bidoon carry security cards.</w:t>
      </w:r>
      <w:r w:rsidR="00583883">
        <w:rPr>
          <w:rFonts w:ascii="Book Antiqua" w:hAnsi="Book Antiqua" w:cs="Arial"/>
          <w:sz w:val="22"/>
          <w:szCs w:val="22"/>
        </w:rPr>
        <w:t>”</w:t>
      </w:r>
    </w:p>
    <w:p w:rsidR="001E1FB5" w:rsidRDefault="00184A29" w:rsidP="00583883">
      <w:pPr>
        <w:numPr>
          <w:ilvl w:val="0"/>
          <w:numId w:val="3"/>
        </w:numPr>
        <w:spacing w:before="160"/>
        <w:jc w:val="both"/>
        <w:rPr>
          <w:rFonts w:ascii="Book Antiqua" w:hAnsi="Book Antiqua" w:cs="Arial"/>
        </w:rPr>
      </w:pPr>
      <w:r>
        <w:rPr>
          <w:rFonts w:ascii="Book Antiqua" w:hAnsi="Book Antiqua" w:cs="Arial"/>
        </w:rPr>
        <w:t xml:space="preserve">At [14], Judge Moran had referred to J’s asylum interview in which he confirmed that his father had a “green card”.  Judge Moran considered that fact to be irrelevant because “possession of </w:t>
      </w:r>
      <w:r w:rsidR="00E55224">
        <w:rPr>
          <w:rFonts w:ascii="Book Antiqua" w:hAnsi="Book Antiqua" w:cs="Arial"/>
        </w:rPr>
        <w:t xml:space="preserve">a </w:t>
      </w:r>
      <w:r>
        <w:rPr>
          <w:rFonts w:ascii="Book Antiqua" w:hAnsi="Book Antiqua" w:cs="Arial"/>
        </w:rPr>
        <w:t xml:space="preserve">green card does not make a Bidoon documented as the crucial card is the security card.”  </w:t>
      </w:r>
      <w:r w:rsidRPr="00E55224">
        <w:rPr>
          <w:rFonts w:ascii="Book Antiqua" w:hAnsi="Book Antiqua" w:cs="Arial"/>
          <w:i/>
        </w:rPr>
        <w:t>NM</w:t>
      </w:r>
      <w:r>
        <w:rPr>
          <w:rFonts w:ascii="Book Antiqua" w:hAnsi="Book Antiqua" w:cs="Arial"/>
        </w:rPr>
        <w:t xml:space="preserve"> at [121 – 123] had found that there were three categories of Bidoons; those who are citizens; those who had security cards and those who were undocumented.  At [83], the Upper Tribunal in </w:t>
      </w:r>
      <w:r w:rsidRPr="00E55224">
        <w:rPr>
          <w:rFonts w:ascii="Book Antiqua" w:hAnsi="Book Antiqua" w:cs="Arial"/>
          <w:i/>
        </w:rPr>
        <w:t>NM</w:t>
      </w:r>
      <w:r>
        <w:rPr>
          <w:rFonts w:ascii="Book Antiqua" w:hAnsi="Book Antiqua" w:cs="Arial"/>
        </w:rPr>
        <w:t xml:space="preserve"> found that: </w:t>
      </w:r>
    </w:p>
    <w:p w:rsidR="008B6EBC" w:rsidRPr="008B6EBC" w:rsidRDefault="00583883" w:rsidP="00583883">
      <w:pPr>
        <w:spacing w:before="120"/>
        <w:ind w:left="1134" w:right="567"/>
        <w:jc w:val="both"/>
        <w:rPr>
          <w:rFonts w:ascii="Book Antiqua" w:hAnsi="Book Antiqua" w:cs="Arial"/>
          <w:sz w:val="22"/>
          <w:szCs w:val="22"/>
        </w:rPr>
      </w:pPr>
      <w:r>
        <w:rPr>
          <w:rFonts w:ascii="Book Antiqua" w:hAnsi="Book Antiqua" w:cs="Arial"/>
          <w:sz w:val="22"/>
          <w:szCs w:val="22"/>
        </w:rPr>
        <w:t>“</w:t>
      </w:r>
      <w:r w:rsidR="008B6EBC" w:rsidRPr="008B6EBC">
        <w:rPr>
          <w:rFonts w:ascii="Book Antiqua" w:hAnsi="Book Antiqua" w:cs="Arial"/>
          <w:sz w:val="22"/>
          <w:szCs w:val="22"/>
        </w:rPr>
        <w:t xml:space="preserve">The second category consists of Bidoon who hold security cards (also known as “green cards”).  These are people who registered, presumably with the Bidoon committee, between 1996 and 2000.  It is said in the HRW report that most Bidoon carry security cards.  The document is not proof of ID, and does not make it clear on its face to what the holder is entitled.  However, it can be seen from the evidence that Bidoon who hold security cards are theoretically issued travel documents in the form of “temporary passports”, though in practice this is only for the purpose of travel for education, medical treatment or religious pilgrimage and typically remain valid only for the trip cited in the individual’s application.  In addition, according to the HRW report, many Bidoon children attend private schools which provide Arabic language instruction and serve primarily Bidoon students, and though there are annual fees ranging between the equivalent of US $860 to $1,550 </w:t>
      </w:r>
      <w:r w:rsidR="008B6EBC" w:rsidRPr="008B6EBC">
        <w:rPr>
          <w:rFonts w:ascii="Book Antiqua" w:hAnsi="Book Antiqua" w:cs="Arial"/>
          <w:sz w:val="22"/>
          <w:szCs w:val="22"/>
        </w:rPr>
        <w:lastRenderedPageBreak/>
        <w:t xml:space="preserve">per child, and parents pay extra for textbooks and uniforms, in 2004 the government established a charitable fund to pay the educational expenses of children in need which pays primary and second school fees for many Bidoon students as well as expatriate children who wish to attend Arabic language schools.  Those schools are inferior to government schools, and the fund does not meet the needs of all children, and several families interviewed stated that they received funding for some but not all of their children.  Only Bidoon students with Kuwaiti citizen mothers may enrol in universities.  This broadly accords with the evidence of Mr </w:t>
      </w:r>
      <w:proofErr w:type="spellStart"/>
      <w:r w:rsidR="008B6EBC" w:rsidRPr="008B6EBC">
        <w:rPr>
          <w:rFonts w:ascii="Book Antiqua" w:hAnsi="Book Antiqua" w:cs="Arial"/>
          <w:sz w:val="22"/>
          <w:szCs w:val="22"/>
        </w:rPr>
        <w:t>Shiblak</w:t>
      </w:r>
      <w:proofErr w:type="spellEnd"/>
      <w:r w:rsidR="008B6EBC" w:rsidRPr="008B6EBC">
        <w:rPr>
          <w:rFonts w:ascii="Book Antiqua" w:hAnsi="Book Antiqua" w:cs="Arial"/>
          <w:sz w:val="22"/>
          <w:szCs w:val="22"/>
        </w:rPr>
        <w:t xml:space="preserve"> as recorded at paragraphs 97 and 98 above.  In </w:t>
      </w:r>
      <w:proofErr w:type="gramStart"/>
      <w:r w:rsidR="008B6EBC" w:rsidRPr="008B6EBC">
        <w:rPr>
          <w:rFonts w:ascii="Book Antiqua" w:hAnsi="Book Antiqua" w:cs="Arial"/>
          <w:sz w:val="22"/>
          <w:szCs w:val="22"/>
        </w:rPr>
        <w:t>general</w:t>
      </w:r>
      <w:proofErr w:type="gramEnd"/>
      <w:r w:rsidR="008B6EBC" w:rsidRPr="008B6EBC">
        <w:rPr>
          <w:rFonts w:ascii="Book Antiqua" w:hAnsi="Book Antiqua" w:cs="Arial"/>
          <w:sz w:val="22"/>
          <w:szCs w:val="22"/>
        </w:rPr>
        <w:t xml:space="preserve"> we found his evidence, both written and oral, to be helpful.</w:t>
      </w:r>
      <w:r>
        <w:rPr>
          <w:rFonts w:ascii="Book Antiqua" w:hAnsi="Book Antiqua" w:cs="Arial"/>
          <w:sz w:val="22"/>
          <w:szCs w:val="22"/>
        </w:rPr>
        <w:t>”</w:t>
      </w:r>
      <w:r w:rsidR="008B6EBC" w:rsidRPr="008B6EBC">
        <w:rPr>
          <w:rFonts w:ascii="Book Antiqua" w:hAnsi="Book Antiqua" w:cs="Arial"/>
          <w:sz w:val="22"/>
          <w:szCs w:val="22"/>
        </w:rPr>
        <w:t xml:space="preserve">  </w:t>
      </w:r>
    </w:p>
    <w:p w:rsidR="00184A29" w:rsidRDefault="008B6EBC" w:rsidP="00583883">
      <w:pPr>
        <w:numPr>
          <w:ilvl w:val="0"/>
          <w:numId w:val="3"/>
        </w:numPr>
        <w:spacing w:before="160"/>
        <w:jc w:val="both"/>
        <w:rPr>
          <w:rFonts w:ascii="Book Antiqua" w:hAnsi="Book Antiqua" w:cs="Arial"/>
        </w:rPr>
      </w:pPr>
      <w:r>
        <w:rPr>
          <w:rFonts w:ascii="Book Antiqua" w:hAnsi="Book Antiqua" w:cs="Arial"/>
        </w:rPr>
        <w:t>It is</w:t>
      </w:r>
      <w:r w:rsidR="005F042A">
        <w:rPr>
          <w:rFonts w:ascii="Book Antiqua" w:hAnsi="Book Antiqua" w:cs="Arial"/>
        </w:rPr>
        <w:t xml:space="preserve"> t</w:t>
      </w:r>
      <w:r w:rsidR="00184A29">
        <w:rPr>
          <w:rFonts w:ascii="Book Antiqua" w:hAnsi="Book Antiqua" w:cs="Arial"/>
        </w:rPr>
        <w:t xml:space="preserve">he Secretary of State’s case, following </w:t>
      </w:r>
      <w:r w:rsidR="00184A29" w:rsidRPr="00E55224">
        <w:rPr>
          <w:rFonts w:ascii="Book Antiqua" w:hAnsi="Book Antiqua" w:cs="Arial"/>
          <w:i/>
        </w:rPr>
        <w:t>NM</w:t>
      </w:r>
      <w:r w:rsidR="00184A29">
        <w:rPr>
          <w:rFonts w:ascii="Book Antiqua" w:hAnsi="Book Antiqua" w:cs="Arial"/>
        </w:rPr>
        <w:t xml:space="preserve">, that green cards are the same as security cards.  That distinction was not recognised in 2009 (before </w:t>
      </w:r>
      <w:r w:rsidR="00184A29" w:rsidRPr="00E55224">
        <w:rPr>
          <w:rFonts w:ascii="Book Antiqua" w:hAnsi="Book Antiqua" w:cs="Arial"/>
          <w:i/>
        </w:rPr>
        <w:t>NM</w:t>
      </w:r>
      <w:r w:rsidR="00184A29">
        <w:rPr>
          <w:rFonts w:ascii="Book Antiqua" w:hAnsi="Book Antiqua" w:cs="Arial"/>
        </w:rPr>
        <w:t xml:space="preserve"> was promulgated) which explains why J had been granted asylum. </w:t>
      </w:r>
      <w:r>
        <w:rPr>
          <w:rFonts w:ascii="Book Antiqua" w:hAnsi="Book Antiqua" w:cs="Arial"/>
        </w:rPr>
        <w:t>In consequence the judge placed too much weight on a decision which today would be otherwise.</w:t>
      </w:r>
      <w:r w:rsidR="00184A29">
        <w:rPr>
          <w:rFonts w:ascii="Book Antiqua" w:hAnsi="Book Antiqua" w:cs="Arial"/>
        </w:rPr>
        <w:t xml:space="preserve"> </w:t>
      </w:r>
    </w:p>
    <w:p w:rsidR="00184A29" w:rsidRDefault="008B6EBC" w:rsidP="00583883">
      <w:pPr>
        <w:numPr>
          <w:ilvl w:val="0"/>
          <w:numId w:val="3"/>
        </w:numPr>
        <w:spacing w:before="160"/>
        <w:jc w:val="both"/>
        <w:rPr>
          <w:rFonts w:ascii="Book Antiqua" w:hAnsi="Book Antiqua" w:cs="Arial"/>
        </w:rPr>
      </w:pPr>
      <w:r>
        <w:rPr>
          <w:rFonts w:ascii="Book Antiqua" w:hAnsi="Book Antiqua" w:cs="Arial"/>
        </w:rPr>
        <w:t>T</w:t>
      </w:r>
      <w:r w:rsidR="00184A29">
        <w:rPr>
          <w:rFonts w:ascii="Book Antiqua" w:hAnsi="Book Antiqua" w:cs="Arial"/>
        </w:rPr>
        <w:t>here is no doub</w:t>
      </w:r>
      <w:r>
        <w:rPr>
          <w:rFonts w:ascii="Book Antiqua" w:hAnsi="Book Antiqua" w:cs="Arial"/>
        </w:rPr>
        <w:t xml:space="preserve">t that </w:t>
      </w:r>
      <w:r w:rsidR="00184A29">
        <w:rPr>
          <w:rFonts w:ascii="Book Antiqua" w:hAnsi="Book Antiqua" w:cs="Arial"/>
        </w:rPr>
        <w:t>J’s grant of refugee status played a significant role</w:t>
      </w:r>
      <w:r>
        <w:rPr>
          <w:rFonts w:ascii="Book Antiqua" w:hAnsi="Book Antiqua" w:cs="Arial"/>
        </w:rPr>
        <w:t xml:space="preserve"> in determining the outcome of </w:t>
      </w:r>
      <w:r w:rsidR="00184A29">
        <w:rPr>
          <w:rFonts w:ascii="Book Antiqua" w:hAnsi="Book Antiqua" w:cs="Arial"/>
        </w:rPr>
        <w:t xml:space="preserve">A’s appeal.  At [21], the judge accepted that the </w:t>
      </w:r>
      <w:r w:rsidR="00195234">
        <w:rPr>
          <w:rFonts w:ascii="Book Antiqua" w:hAnsi="Book Antiqua" w:cs="Arial"/>
        </w:rPr>
        <w:t>r</w:t>
      </w:r>
      <w:r w:rsidR="00184A29">
        <w:rPr>
          <w:rFonts w:ascii="Book Antiqua" w:hAnsi="Book Antiqua" w:cs="Arial"/>
        </w:rPr>
        <w:t>espondent was not “</w:t>
      </w:r>
      <w:r w:rsidR="005F042A">
        <w:rPr>
          <w:rFonts w:ascii="Book Antiqua" w:hAnsi="Book Antiqua" w:cs="Arial"/>
        </w:rPr>
        <w:t>e</w:t>
      </w:r>
      <w:r w:rsidR="00184A29">
        <w:rPr>
          <w:rFonts w:ascii="Book Antiqua" w:hAnsi="Book Antiqua" w:cs="Arial"/>
        </w:rPr>
        <w:t xml:space="preserve">stopped” from arguing that J is not undocumented and should not have been granted asylum on the basis that he was undocumented.  The issue had arisen regarding the grant of refugee status to J and whether this had been obtained fraudulently.  J had been encountered travelling from Saudi Arabia in 2014 with his spouse while she was in possession of travel documents which were not genuine.  The consideration of the revocation of J’s status appears to have been based upon his possible involvement in his spouse’s </w:t>
      </w:r>
      <w:r w:rsidR="00E55224">
        <w:rPr>
          <w:rFonts w:ascii="Book Antiqua" w:hAnsi="Book Antiqua" w:cs="Arial"/>
        </w:rPr>
        <w:t>il</w:t>
      </w:r>
      <w:r w:rsidR="00184A29">
        <w:rPr>
          <w:rFonts w:ascii="Book Antiqua" w:hAnsi="Book Antiqua" w:cs="Arial"/>
        </w:rPr>
        <w:t xml:space="preserve">legal entry to the United Kingdom with false documents.  At [21], the judge wrote: </w:t>
      </w:r>
    </w:p>
    <w:p w:rsidR="00184A29" w:rsidRPr="00184A29" w:rsidRDefault="00583883" w:rsidP="00583883">
      <w:pPr>
        <w:spacing w:before="120"/>
        <w:ind w:left="1134" w:right="567"/>
        <w:jc w:val="both"/>
        <w:rPr>
          <w:rFonts w:ascii="Book Antiqua" w:hAnsi="Book Antiqua" w:cs="Arial"/>
          <w:sz w:val="22"/>
          <w:szCs w:val="22"/>
        </w:rPr>
      </w:pPr>
      <w:r>
        <w:rPr>
          <w:rFonts w:ascii="Book Antiqua" w:hAnsi="Book Antiqua" w:cs="Arial"/>
          <w:sz w:val="22"/>
          <w:szCs w:val="22"/>
        </w:rPr>
        <w:t>“</w:t>
      </w:r>
      <w:r w:rsidR="00184A29" w:rsidRPr="00184A29">
        <w:rPr>
          <w:rFonts w:ascii="Book Antiqua" w:hAnsi="Book Antiqua" w:cs="Arial"/>
          <w:sz w:val="22"/>
          <w:szCs w:val="22"/>
        </w:rPr>
        <w:t xml:space="preserve">The respondent did not </w:t>
      </w:r>
      <w:r w:rsidR="00184A29">
        <w:rPr>
          <w:rFonts w:ascii="Book Antiqua" w:hAnsi="Book Antiqua" w:cs="Arial"/>
          <w:sz w:val="22"/>
          <w:szCs w:val="22"/>
        </w:rPr>
        <w:t>consider this material [concerning J’s wife’s fraudulent activities] was sufficient to revoke [J’s] refugee status.  In these circumstances I consider the only fair way to approach the issue of J’s status is to find as a fact that he was correctly granted asylum on the basis that he is an undocumented Bidoon.  This is not conclusive evidence that A is also undocumented but it is strong support given that they have the same parents [a fact which is not disputed] and grew up in the same household.</w:t>
      </w:r>
      <w:r>
        <w:rPr>
          <w:rFonts w:ascii="Book Antiqua" w:hAnsi="Book Antiqua" w:cs="Arial"/>
          <w:sz w:val="22"/>
          <w:szCs w:val="22"/>
        </w:rPr>
        <w:t>”</w:t>
      </w:r>
      <w:r w:rsidR="00184A29">
        <w:rPr>
          <w:rFonts w:ascii="Book Antiqua" w:hAnsi="Book Antiqua" w:cs="Arial"/>
          <w:sz w:val="22"/>
          <w:szCs w:val="22"/>
        </w:rPr>
        <w:t xml:space="preserve">  </w:t>
      </w:r>
    </w:p>
    <w:p w:rsidR="00184A29" w:rsidRDefault="00184A29" w:rsidP="00583883">
      <w:pPr>
        <w:numPr>
          <w:ilvl w:val="0"/>
          <w:numId w:val="3"/>
        </w:numPr>
        <w:spacing w:before="160"/>
        <w:jc w:val="both"/>
        <w:rPr>
          <w:rFonts w:ascii="Book Antiqua" w:hAnsi="Book Antiqua" w:cs="Arial"/>
        </w:rPr>
      </w:pPr>
      <w:r>
        <w:rPr>
          <w:rFonts w:ascii="Book Antiqua" w:hAnsi="Book Antiqua" w:cs="Arial"/>
        </w:rPr>
        <w:t>Again</w:t>
      </w:r>
      <w:r w:rsidR="008B6EBC">
        <w:rPr>
          <w:rFonts w:ascii="Book Antiqua" w:hAnsi="Book Antiqua" w:cs="Arial"/>
        </w:rPr>
        <w:t>,</w:t>
      </w:r>
      <w:r>
        <w:rPr>
          <w:rFonts w:ascii="Book Antiqua" w:hAnsi="Book Antiqua" w:cs="Arial"/>
        </w:rPr>
        <w:t xml:space="preserve"> at [23], the judge considered that “this [</w:t>
      </w:r>
      <w:proofErr w:type="gramStart"/>
      <w:r>
        <w:rPr>
          <w:rFonts w:ascii="Book Antiqua" w:hAnsi="Book Antiqua" w:cs="Arial"/>
        </w:rPr>
        <w:t>A</w:t>
      </w:r>
      <w:proofErr w:type="gramEnd"/>
      <w:r w:rsidR="00195234">
        <w:rPr>
          <w:rFonts w:ascii="Book Antiqua" w:hAnsi="Book Antiqua" w:cs="Arial"/>
        </w:rPr>
        <w:t xml:space="preserve"> </w:t>
      </w:r>
      <w:r>
        <w:rPr>
          <w:rFonts w:ascii="Book Antiqua" w:hAnsi="Book Antiqua" w:cs="Arial"/>
        </w:rPr>
        <w:t>A’s</w:t>
      </w:r>
      <w:r w:rsidR="00583883">
        <w:rPr>
          <w:rFonts w:ascii="Book Antiqua" w:hAnsi="Book Antiqua" w:cs="Arial"/>
        </w:rPr>
        <w:t>]</w:t>
      </w:r>
      <w:r>
        <w:rPr>
          <w:rFonts w:ascii="Book Antiqua" w:hAnsi="Book Antiqua" w:cs="Arial"/>
        </w:rPr>
        <w:t xml:space="preserve"> account of his attendance at the demonstration and detention] and the fact that his brother is an undocumented Bidoon eclipse the point</w:t>
      </w:r>
      <w:r w:rsidR="00D00AFA">
        <w:rPr>
          <w:rFonts w:ascii="Book Antiqua" w:hAnsi="Book Antiqua" w:cs="Arial"/>
        </w:rPr>
        <w:t>s</w:t>
      </w:r>
      <w:r>
        <w:rPr>
          <w:rFonts w:ascii="Book Antiqua" w:hAnsi="Book Antiqua" w:cs="Arial"/>
        </w:rPr>
        <w:t xml:space="preserve"> that the respondent says undermine [A</w:t>
      </w:r>
      <w:r w:rsidR="00195234">
        <w:rPr>
          <w:rFonts w:ascii="Book Antiqua" w:hAnsi="Book Antiqua" w:cs="Arial"/>
        </w:rPr>
        <w:t xml:space="preserve"> </w:t>
      </w:r>
      <w:r>
        <w:rPr>
          <w:rFonts w:ascii="Book Antiqua" w:hAnsi="Book Antiqua" w:cs="Arial"/>
        </w:rPr>
        <w:t>A’s] account</w:t>
      </w:r>
      <w:r w:rsidR="00D00AFA">
        <w:rPr>
          <w:rFonts w:ascii="Book Antiqua" w:hAnsi="Book Antiqua" w:cs="Arial"/>
        </w:rPr>
        <w:t>.</w:t>
      </w:r>
      <w:r>
        <w:rPr>
          <w:rFonts w:ascii="Book Antiqua" w:hAnsi="Book Antiqua" w:cs="Arial"/>
        </w:rPr>
        <w:t xml:space="preserve">” </w:t>
      </w:r>
    </w:p>
    <w:p w:rsidR="00184A29" w:rsidRDefault="008B6EBC" w:rsidP="00583883">
      <w:pPr>
        <w:numPr>
          <w:ilvl w:val="0"/>
          <w:numId w:val="3"/>
        </w:numPr>
        <w:spacing w:before="160"/>
        <w:jc w:val="both"/>
        <w:rPr>
          <w:rFonts w:ascii="Book Antiqua" w:hAnsi="Book Antiqua" w:cs="Arial"/>
        </w:rPr>
      </w:pPr>
      <w:r>
        <w:rPr>
          <w:rFonts w:ascii="Book Antiqua" w:hAnsi="Book Antiqua" w:cs="Arial"/>
        </w:rPr>
        <w:t>I fi</w:t>
      </w:r>
      <w:r w:rsidR="00D00AFA">
        <w:rPr>
          <w:rFonts w:ascii="Book Antiqua" w:hAnsi="Book Antiqua" w:cs="Arial"/>
        </w:rPr>
        <w:t xml:space="preserve">nd </w:t>
      </w:r>
      <w:r w:rsidR="00184A29">
        <w:rPr>
          <w:rFonts w:ascii="Book Antiqua" w:hAnsi="Book Antiqua" w:cs="Arial"/>
        </w:rPr>
        <w:t>the judge’s analysis problematic.  First, I do not see the relevance of the proposed revocation of J’s status on account of his possible involvement in his wife’s fraudulent entry to the United Kingdom.  That issue has no bearing on the current appellant’s application for asylum and the reasons why he has been refused.  Secondly, whilst the judge was entitled to find that “the only fair way to approach the issue” is to assume that J had been correctly granted asylum, he should not have assumed that the Secretary of State remained convinced in 2014 that J should have been granted refugee status because he was an u</w:t>
      </w:r>
      <w:r>
        <w:rPr>
          <w:rFonts w:ascii="Book Antiqua" w:hAnsi="Book Antiqua" w:cs="Arial"/>
        </w:rPr>
        <w:t>ndocumented Bidoon.  The fact remains that</w:t>
      </w:r>
      <w:r w:rsidR="00184A29">
        <w:rPr>
          <w:rFonts w:ascii="Book Antiqua" w:hAnsi="Book Antiqua" w:cs="Arial"/>
        </w:rPr>
        <w:t xml:space="preserve"> we do not know why exactly J wa</w:t>
      </w:r>
      <w:r>
        <w:rPr>
          <w:rFonts w:ascii="Book Antiqua" w:hAnsi="Book Antiqua" w:cs="Arial"/>
        </w:rPr>
        <w:t>s granted refugee status.  Moreover, it is</w:t>
      </w:r>
      <w:r w:rsidR="00184A29">
        <w:rPr>
          <w:rFonts w:ascii="Book Antiqua" w:hAnsi="Book Antiqua" w:cs="Arial"/>
        </w:rPr>
        <w:t xml:space="preserve"> entirely a matter for the S</w:t>
      </w:r>
      <w:r>
        <w:rPr>
          <w:rFonts w:ascii="Book Antiqua" w:hAnsi="Book Antiqua" w:cs="Arial"/>
        </w:rPr>
        <w:t>ecretary of State whether she chose to</w:t>
      </w:r>
      <w:r w:rsidR="00184A29">
        <w:rPr>
          <w:rFonts w:ascii="Book Antiqua" w:hAnsi="Book Antiqua" w:cs="Arial"/>
        </w:rPr>
        <w:t xml:space="preserve"> to revoke J’s immigration status in 2014; we cannot simply </w:t>
      </w:r>
      <w:r>
        <w:rPr>
          <w:rFonts w:ascii="Book Antiqua" w:hAnsi="Book Antiqua" w:cs="Arial"/>
        </w:rPr>
        <w:t>assume</w:t>
      </w:r>
      <w:r w:rsidR="00184A29">
        <w:rPr>
          <w:rFonts w:ascii="Book Antiqua" w:hAnsi="Book Antiqua" w:cs="Arial"/>
        </w:rPr>
        <w:t xml:space="preserve"> that, in 2014, the Secretary of State continued to believe that J </w:t>
      </w:r>
      <w:r w:rsidR="00184A29">
        <w:rPr>
          <w:rFonts w:ascii="Book Antiqua" w:hAnsi="Book Antiqua" w:cs="Arial"/>
        </w:rPr>
        <w:lastRenderedPageBreak/>
        <w:t xml:space="preserve">was an undocumented Bidoon.  Judge Moran has focused too closely upon the </w:t>
      </w:r>
      <w:r w:rsidR="00195234">
        <w:rPr>
          <w:rFonts w:ascii="Book Antiqua" w:hAnsi="Book Antiqua" w:cs="Arial"/>
        </w:rPr>
        <w:t>problems J faced in 2014 and has placed too much weight upon the fact that the Secretary of State did not seek to revoke his status.  The fact remains</w:t>
      </w:r>
      <w:r w:rsidR="00D00AFA">
        <w:rPr>
          <w:rFonts w:ascii="Book Antiqua" w:hAnsi="Book Antiqua" w:cs="Arial"/>
        </w:rPr>
        <w:t xml:space="preserve"> that</w:t>
      </w:r>
      <w:r w:rsidR="00195234">
        <w:rPr>
          <w:rFonts w:ascii="Book Antiqua" w:hAnsi="Book Antiqua" w:cs="Arial"/>
        </w:rPr>
        <w:t xml:space="preserve"> we do not know why the Secretary of State did not proceed with the revocation procedure.  </w:t>
      </w:r>
      <w:r>
        <w:rPr>
          <w:rFonts w:ascii="Book Antiqua" w:hAnsi="Book Antiqua" w:cs="Arial"/>
        </w:rPr>
        <w:t>In the light of that ignorance, it was inappropriate for the judge to speculate as to the Secretary of State’s reasoning.</w:t>
      </w:r>
    </w:p>
    <w:p w:rsidR="00195234" w:rsidRDefault="00195234" w:rsidP="00583883">
      <w:pPr>
        <w:numPr>
          <w:ilvl w:val="0"/>
          <w:numId w:val="3"/>
        </w:numPr>
        <w:spacing w:before="160"/>
        <w:jc w:val="both"/>
        <w:rPr>
          <w:rFonts w:ascii="Book Antiqua" w:hAnsi="Book Antiqua" w:cs="Arial"/>
        </w:rPr>
      </w:pPr>
      <w:r>
        <w:rPr>
          <w:rFonts w:ascii="Book Antiqua" w:hAnsi="Book Antiqua" w:cs="Arial"/>
        </w:rPr>
        <w:t xml:space="preserve">The consequence of the judge’s error is that he has a placed too much weight upon the grant of J’s refugee status.  What he should have done was to have looked at the evidence presented by the appellant concerning </w:t>
      </w:r>
      <w:r w:rsidR="008B6EBC">
        <w:rPr>
          <w:rFonts w:ascii="Book Antiqua" w:hAnsi="Book Antiqua" w:cs="Arial"/>
        </w:rPr>
        <w:t>Judge,</w:t>
      </w:r>
      <w:r>
        <w:rPr>
          <w:rFonts w:ascii="Book Antiqua" w:hAnsi="Book Antiqua" w:cs="Arial"/>
        </w:rPr>
        <w:t xml:space="preserve"> including what was said in J’s asylum interview regarding his father’s possession of a green card.  That evidence should have been examined in the light of </w:t>
      </w:r>
      <w:r w:rsidRPr="00E55224">
        <w:rPr>
          <w:rFonts w:ascii="Book Antiqua" w:hAnsi="Book Antiqua" w:cs="Arial"/>
          <w:i/>
        </w:rPr>
        <w:t>NM</w:t>
      </w:r>
      <w:r>
        <w:rPr>
          <w:rFonts w:ascii="Book Antiqua" w:hAnsi="Book Antiqua" w:cs="Arial"/>
        </w:rPr>
        <w:t xml:space="preserve">; assumptions </w:t>
      </w:r>
      <w:r w:rsidR="008B6EBC">
        <w:rPr>
          <w:rFonts w:ascii="Book Antiqua" w:hAnsi="Book Antiqua" w:cs="Arial"/>
        </w:rPr>
        <w:t xml:space="preserve">(and they were no more that that) </w:t>
      </w:r>
      <w:r>
        <w:rPr>
          <w:rFonts w:ascii="Book Antiqua" w:hAnsi="Book Antiqua" w:cs="Arial"/>
        </w:rPr>
        <w:t xml:space="preserve">as to why J had been granted status in the first place and why his status has not been revoked should have been disregarded.  </w:t>
      </w:r>
    </w:p>
    <w:p w:rsidR="00195234" w:rsidRDefault="00D00AFA" w:rsidP="00583883">
      <w:pPr>
        <w:numPr>
          <w:ilvl w:val="0"/>
          <w:numId w:val="3"/>
        </w:numPr>
        <w:spacing w:before="160"/>
        <w:jc w:val="both"/>
        <w:rPr>
          <w:rFonts w:ascii="Book Antiqua" w:hAnsi="Book Antiqua" w:cs="Arial"/>
        </w:rPr>
      </w:pPr>
      <w:r>
        <w:rPr>
          <w:rFonts w:ascii="Book Antiqua" w:hAnsi="Book Antiqua" w:cs="Arial"/>
        </w:rPr>
        <w:t>There is</w:t>
      </w:r>
      <w:r w:rsidR="00195234">
        <w:rPr>
          <w:rFonts w:ascii="Book Antiqua" w:hAnsi="Book Antiqua" w:cs="Arial"/>
        </w:rPr>
        <w:t xml:space="preserve"> no doubt in my mind that the judge has concluded that the appellant’s account of past events in Kuwait is accurate because the appellant is the brother of an undocumented Bidoon.  For the reasons I have stated above, this has distorted the judge’s analysis and I find that his decision should be set aside.  There will need to be a new fact-finding exercise; none of the findings of the First-tier Tribunal are preserved.  That exercise is better conducted by the First-tier Tribunal to which this appeal is returned to remake the decision.  The Tribunal will need to examine J’s evidence in the light of the decision in </w:t>
      </w:r>
      <w:r w:rsidR="00195234" w:rsidRPr="00E55224">
        <w:rPr>
          <w:rFonts w:ascii="Book Antiqua" w:hAnsi="Book Antiqua" w:cs="Arial"/>
          <w:i/>
        </w:rPr>
        <w:t>NM</w:t>
      </w:r>
      <w:r w:rsidR="00195234">
        <w:rPr>
          <w:rFonts w:ascii="Book Antiqua" w:hAnsi="Book Antiqua" w:cs="Arial"/>
        </w:rPr>
        <w:t xml:space="preserve">.  The next Tribunal need not consider whether or not J should have been granted refugee status or whether his status should have been revoked.  The next Tribunal may find that the appellant is, as he claims, an undocumented Bidoon who has been detained and ill-treated in Kuwait in the past but, equally, it may conclude that his account of past events is not reliable and that, whatever the </w:t>
      </w:r>
      <w:r w:rsidR="008B6EBC">
        <w:rPr>
          <w:rFonts w:ascii="Book Antiqua" w:hAnsi="Book Antiqua" w:cs="Arial"/>
        </w:rPr>
        <w:t xml:space="preserve">immigration </w:t>
      </w:r>
      <w:r w:rsidR="00195234">
        <w:rPr>
          <w:rFonts w:ascii="Book Antiqua" w:hAnsi="Book Antiqua" w:cs="Arial"/>
        </w:rPr>
        <w:t xml:space="preserve">status of J in the United Kingdom, </w:t>
      </w:r>
      <w:r w:rsidR="008B6EBC">
        <w:rPr>
          <w:rFonts w:ascii="Book Antiqua" w:hAnsi="Book Antiqua" w:cs="Arial"/>
        </w:rPr>
        <w:t>the appellant i</w:t>
      </w:r>
      <w:r w:rsidR="00195234">
        <w:rPr>
          <w:rFonts w:ascii="Book Antiqua" w:hAnsi="Book Antiqua" w:cs="Arial"/>
        </w:rPr>
        <w:t xml:space="preserve">s not an undocumented Bidoon. </w:t>
      </w:r>
    </w:p>
    <w:p w:rsidR="00195234" w:rsidRPr="00195234" w:rsidRDefault="00195234" w:rsidP="00583883">
      <w:pPr>
        <w:spacing w:before="160"/>
        <w:jc w:val="both"/>
        <w:rPr>
          <w:rFonts w:ascii="Book Antiqua" w:hAnsi="Book Antiqua" w:cs="Arial"/>
          <w:b/>
          <w:u w:val="single"/>
        </w:rPr>
      </w:pPr>
      <w:r w:rsidRPr="00195234">
        <w:rPr>
          <w:rFonts w:ascii="Book Antiqua" w:hAnsi="Book Antiqua" w:cs="Arial"/>
          <w:b/>
          <w:u w:val="single"/>
        </w:rPr>
        <w:t>Notice of Decision</w:t>
      </w:r>
    </w:p>
    <w:p w:rsidR="00195234" w:rsidRPr="00184A29" w:rsidRDefault="00195234" w:rsidP="00583883">
      <w:pPr>
        <w:numPr>
          <w:ilvl w:val="0"/>
          <w:numId w:val="3"/>
        </w:numPr>
        <w:spacing w:before="160"/>
        <w:jc w:val="both"/>
        <w:rPr>
          <w:rFonts w:ascii="Book Antiqua" w:hAnsi="Book Antiqua" w:cs="Arial"/>
        </w:rPr>
      </w:pPr>
      <w:r>
        <w:rPr>
          <w:rFonts w:ascii="Book Antiqua" w:hAnsi="Book Antiqua" w:cs="Arial"/>
        </w:rPr>
        <w:t>The decision of the First-tier Tribunal, which was promulgated on 21</w:t>
      </w:r>
      <w:r>
        <w:rPr>
          <w:rFonts w:ascii="Book Antiqua" w:hAnsi="Book Antiqua" w:cs="Arial"/>
          <w:vertAlign w:val="superscript"/>
        </w:rPr>
        <w:t xml:space="preserve"> </w:t>
      </w:r>
      <w:r>
        <w:rPr>
          <w:rFonts w:ascii="Book Antiqua" w:hAnsi="Book Antiqua" w:cs="Arial"/>
        </w:rPr>
        <w:t xml:space="preserve">August 2017 is set aside.  None of the findings of fact shall stand.  The appeal is returned to the First-tier Tribunal (not Judge Moran) for that Tribunal to remake the decision.  </w:t>
      </w:r>
    </w:p>
    <w:p w:rsidR="008508AD" w:rsidRPr="008508AD" w:rsidRDefault="008508AD" w:rsidP="00583883">
      <w:pPr>
        <w:spacing w:before="160"/>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rsidR="008508AD" w:rsidRPr="00687601" w:rsidRDefault="008508AD" w:rsidP="00583883">
      <w:pPr>
        <w:spacing w:before="160"/>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rsidR="000369F5" w:rsidRDefault="000369F5" w:rsidP="000369F5">
      <w:pPr>
        <w:tabs>
          <w:tab w:val="left" w:pos="2520"/>
        </w:tabs>
        <w:jc w:val="both"/>
        <w:rPr>
          <w:rFonts w:ascii="Book Antiqua" w:hAnsi="Book Antiqua" w:cs="Arial"/>
        </w:rPr>
      </w:pPr>
    </w:p>
    <w:p w:rsidR="008508AD" w:rsidRPr="00F5664C" w:rsidRDefault="008508AD" w:rsidP="000369F5">
      <w:pPr>
        <w:tabs>
          <w:tab w:val="left" w:pos="2520"/>
        </w:tabs>
        <w:jc w:val="both"/>
        <w:rPr>
          <w:rFonts w:ascii="Book Antiqua" w:hAnsi="Book Antiqua" w:cs="Arial"/>
        </w:rPr>
      </w:pPr>
    </w:p>
    <w:p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8B6EBC">
        <w:rPr>
          <w:rFonts w:ascii="Book Antiqua" w:hAnsi="Book Antiqua" w:cs="Arial"/>
        </w:rPr>
        <w:t>20 July 2018</w:t>
      </w:r>
    </w:p>
    <w:p w:rsidR="001F2716" w:rsidRPr="00F5664C" w:rsidRDefault="001F2716" w:rsidP="000369F5">
      <w:pPr>
        <w:tabs>
          <w:tab w:val="left" w:pos="2520"/>
        </w:tabs>
        <w:jc w:val="both"/>
        <w:rPr>
          <w:rFonts w:ascii="Book Antiqua" w:hAnsi="Book Antiqua" w:cs="Arial"/>
        </w:rPr>
      </w:pPr>
    </w:p>
    <w:p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rsidR="00583883" w:rsidRDefault="00583883" w:rsidP="008508AD">
      <w:pPr>
        <w:jc w:val="both"/>
        <w:rPr>
          <w:rFonts w:ascii="Book Antiqua" w:hAnsi="Book Antiqua" w:cs="Arial"/>
        </w:rPr>
      </w:pPr>
    </w:p>
    <w:p w:rsidR="00583883" w:rsidRDefault="00583883" w:rsidP="008508AD">
      <w:pPr>
        <w:jc w:val="both"/>
        <w:rPr>
          <w:rFonts w:ascii="Book Antiqua" w:hAnsi="Book Antiqua" w:cs="Arial"/>
        </w:rPr>
      </w:pPr>
    </w:p>
    <w:p w:rsidR="00583883" w:rsidRDefault="00583883" w:rsidP="008508AD">
      <w:pPr>
        <w:jc w:val="both"/>
        <w:rPr>
          <w:rFonts w:ascii="Book Antiqua" w:hAnsi="Book Antiqua" w:cs="Arial"/>
        </w:rPr>
      </w:pPr>
    </w:p>
    <w:p w:rsidR="008508AD" w:rsidRPr="008508AD" w:rsidRDefault="008508AD" w:rsidP="008508AD">
      <w:pPr>
        <w:jc w:val="both"/>
        <w:rPr>
          <w:rFonts w:ascii="Book Antiqua" w:hAnsi="Book Antiqua" w:cs="Arial"/>
        </w:rPr>
      </w:pPr>
      <w:r w:rsidRPr="008508AD">
        <w:rPr>
          <w:rFonts w:ascii="Book Antiqua" w:hAnsi="Book Antiqua" w:cs="Arial"/>
        </w:rPr>
        <w:t>No fee is paid or payable and therefore there can be no fee award.</w:t>
      </w:r>
    </w:p>
    <w:p w:rsidR="008508AD" w:rsidRPr="008508AD" w:rsidRDefault="008508AD" w:rsidP="008508AD">
      <w:pPr>
        <w:jc w:val="both"/>
        <w:rPr>
          <w:rFonts w:ascii="Book Antiqua" w:hAnsi="Book Antiqua" w:cs="Arial"/>
        </w:rPr>
      </w:pPr>
    </w:p>
    <w:p w:rsidR="008508AD" w:rsidRDefault="008508AD" w:rsidP="008508AD">
      <w:pPr>
        <w:jc w:val="both"/>
        <w:rPr>
          <w:rFonts w:ascii="Book Antiqua" w:hAnsi="Book Antiqua" w:cs="Arial"/>
        </w:rPr>
      </w:pPr>
    </w:p>
    <w:p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8B6EBC">
        <w:rPr>
          <w:rFonts w:ascii="Book Antiqua" w:hAnsi="Book Antiqua" w:cs="Arial"/>
        </w:rPr>
        <w:t>20 JULY 2018</w:t>
      </w:r>
    </w:p>
    <w:p w:rsidR="008508AD" w:rsidRPr="00F5664C" w:rsidRDefault="008508AD" w:rsidP="008508AD">
      <w:pPr>
        <w:tabs>
          <w:tab w:val="left" w:pos="2520"/>
        </w:tabs>
        <w:jc w:val="both"/>
        <w:rPr>
          <w:rFonts w:ascii="Book Antiqua" w:hAnsi="Book Antiqua" w:cs="Arial"/>
        </w:rPr>
      </w:pPr>
    </w:p>
    <w:p w:rsidR="00362A39" w:rsidRDefault="008508AD" w:rsidP="000369F5">
      <w:pPr>
        <w:tabs>
          <w:tab w:val="left" w:pos="2520"/>
        </w:tabs>
        <w:jc w:val="both"/>
        <w:rPr>
          <w:rFonts w:ascii="Book Antiqua" w:hAnsi="Book Antiqua" w:cs="Arial"/>
        </w:rPr>
      </w:pPr>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p>
    <w:p w:rsidR="00362A39" w:rsidRPr="00362A39" w:rsidRDefault="00362A39" w:rsidP="00362A39">
      <w:pPr>
        <w:rPr>
          <w:rFonts w:ascii="Book Antiqua" w:hAnsi="Book Antiqua" w:cs="Arial"/>
        </w:rPr>
      </w:pPr>
    </w:p>
    <w:p w:rsidR="00362A39" w:rsidRPr="00362A39" w:rsidRDefault="00362A39" w:rsidP="00362A39">
      <w:pPr>
        <w:rPr>
          <w:rFonts w:ascii="Book Antiqua" w:hAnsi="Book Antiqua" w:cs="Arial"/>
        </w:rPr>
      </w:pPr>
    </w:p>
    <w:p w:rsidR="00362A39" w:rsidRPr="00362A39" w:rsidRDefault="00362A39" w:rsidP="00362A39">
      <w:pPr>
        <w:rPr>
          <w:rFonts w:ascii="Book Antiqua" w:hAnsi="Book Antiqua" w:cs="Arial"/>
        </w:rPr>
      </w:pPr>
    </w:p>
    <w:p w:rsidR="00362A39" w:rsidRPr="00362A39" w:rsidRDefault="00362A39" w:rsidP="00362A39">
      <w:pPr>
        <w:rPr>
          <w:rFonts w:ascii="Book Antiqua" w:hAnsi="Book Antiqua" w:cs="Arial"/>
        </w:rPr>
      </w:pPr>
    </w:p>
    <w:p w:rsidR="00362A39" w:rsidRPr="00362A39" w:rsidRDefault="00362A39" w:rsidP="00362A39">
      <w:pPr>
        <w:rPr>
          <w:rFonts w:ascii="Book Antiqua" w:hAnsi="Book Antiqua" w:cs="Arial"/>
        </w:rPr>
      </w:pPr>
    </w:p>
    <w:p w:rsidR="00362A39" w:rsidRPr="00362A39" w:rsidRDefault="00362A39" w:rsidP="00362A39">
      <w:pPr>
        <w:rPr>
          <w:rFonts w:ascii="Book Antiqua" w:hAnsi="Book Antiqua" w:cs="Arial"/>
        </w:rPr>
      </w:pPr>
    </w:p>
    <w:p w:rsidR="00362A39" w:rsidRPr="00362A39" w:rsidRDefault="00362A39" w:rsidP="00362A39">
      <w:pPr>
        <w:rPr>
          <w:rFonts w:ascii="Book Antiqua" w:hAnsi="Book Antiqua" w:cs="Arial"/>
        </w:rPr>
      </w:pPr>
    </w:p>
    <w:p w:rsidR="005B7789" w:rsidRPr="00F5664C" w:rsidRDefault="00362A39" w:rsidP="00362A39">
      <w:pPr>
        <w:tabs>
          <w:tab w:val="left" w:pos="1430"/>
        </w:tabs>
        <w:rPr>
          <w:rFonts w:ascii="Book Antiqua" w:hAnsi="Book Antiqua" w:cs="Arial"/>
        </w:rPr>
      </w:pPr>
      <w:r>
        <w:rPr>
          <w:rFonts w:ascii="Book Antiqua" w:hAnsi="Book Antiqua" w:cs="Arial"/>
        </w:rPr>
        <w:tab/>
      </w: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06AD" w:rsidRDefault="004006AD">
      <w:r>
        <w:separator/>
      </w:r>
    </w:p>
  </w:endnote>
  <w:endnote w:type="continuationSeparator" w:id="0">
    <w:p w:rsidR="004006AD" w:rsidRDefault="00400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05A72">
      <w:rPr>
        <w:rStyle w:val="PageNumber"/>
        <w:rFonts w:ascii="Book Antiqua" w:hAnsi="Book Antiqua" w:cs="Arial"/>
        <w:noProof/>
        <w:sz w:val="16"/>
        <w:szCs w:val="16"/>
      </w:rPr>
      <w:t>5</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06AD" w:rsidRDefault="004006AD">
      <w:r>
        <w:separator/>
      </w:r>
    </w:p>
  </w:footnote>
  <w:footnote w:type="continuationSeparator" w:id="0">
    <w:p w:rsidR="004006AD" w:rsidRDefault="004006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1E1FB5" w:rsidRDefault="00ED338F" w:rsidP="000369F5">
    <w:pPr>
      <w:pStyle w:val="Header"/>
      <w:tabs>
        <w:tab w:val="clear" w:pos="4153"/>
        <w:tab w:val="clear" w:pos="8306"/>
        <w:tab w:val="right" w:pos="9639"/>
      </w:tabs>
      <w:jc w:val="right"/>
      <w:rPr>
        <w:rFonts w:ascii="Book Antiqua" w:hAnsi="Book Antiqua" w:cs="Arial"/>
        <w:sz w:val="16"/>
        <w:szCs w:val="16"/>
      </w:rPr>
    </w:pPr>
    <w:r w:rsidRPr="001E1FB5">
      <w:rPr>
        <w:rFonts w:ascii="Book Antiqua" w:hAnsi="Book Antiqua" w:cs="Arial"/>
        <w:sz w:val="16"/>
        <w:szCs w:val="16"/>
      </w:rPr>
      <w:t xml:space="preserve">Appeal Number: </w:t>
    </w:r>
    <w:r w:rsidR="001E1FB5" w:rsidRPr="001E1FB5">
      <w:rPr>
        <w:rFonts w:ascii="Book Antiqua" w:hAnsi="Book Antiqua" w:cs="Arial"/>
        <w:caps/>
        <w:sz w:val="16"/>
        <w:szCs w:val="16"/>
      </w:rPr>
      <w:t>PA/13452/2016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416"/>
    <w:rsid w:val="00000621"/>
    <w:rsid w:val="00001A2D"/>
    <w:rsid w:val="000036C2"/>
    <w:rsid w:val="000168E1"/>
    <w:rsid w:val="00027641"/>
    <w:rsid w:val="00033D3D"/>
    <w:rsid w:val="000369F5"/>
    <w:rsid w:val="00060ED5"/>
    <w:rsid w:val="00071602"/>
    <w:rsid w:val="00071A7E"/>
    <w:rsid w:val="00072FFB"/>
    <w:rsid w:val="000746C0"/>
    <w:rsid w:val="00074D1D"/>
    <w:rsid w:val="00092580"/>
    <w:rsid w:val="000D5D94"/>
    <w:rsid w:val="000E0923"/>
    <w:rsid w:val="000F76DE"/>
    <w:rsid w:val="001165A7"/>
    <w:rsid w:val="00130ABD"/>
    <w:rsid w:val="00151BB7"/>
    <w:rsid w:val="00155BA9"/>
    <w:rsid w:val="0016457F"/>
    <w:rsid w:val="00167D3A"/>
    <w:rsid w:val="001723AE"/>
    <w:rsid w:val="00183D32"/>
    <w:rsid w:val="00184A29"/>
    <w:rsid w:val="00195234"/>
    <w:rsid w:val="001A1E2C"/>
    <w:rsid w:val="001E1FB5"/>
    <w:rsid w:val="001F2716"/>
    <w:rsid w:val="0020133A"/>
    <w:rsid w:val="00207617"/>
    <w:rsid w:val="00264A24"/>
    <w:rsid w:val="002727C5"/>
    <w:rsid w:val="00275F0C"/>
    <w:rsid w:val="00283659"/>
    <w:rsid w:val="002C4E73"/>
    <w:rsid w:val="002D68BF"/>
    <w:rsid w:val="00336CBF"/>
    <w:rsid w:val="003546C8"/>
    <w:rsid w:val="00362A39"/>
    <w:rsid w:val="003763A9"/>
    <w:rsid w:val="00381177"/>
    <w:rsid w:val="003A6E6C"/>
    <w:rsid w:val="003A7CF2"/>
    <w:rsid w:val="003B0789"/>
    <w:rsid w:val="003C5CE5"/>
    <w:rsid w:val="003C6548"/>
    <w:rsid w:val="003E267B"/>
    <w:rsid w:val="003E7CD1"/>
    <w:rsid w:val="004006AD"/>
    <w:rsid w:val="00402B9E"/>
    <w:rsid w:val="00423932"/>
    <w:rsid w:val="004249CB"/>
    <w:rsid w:val="0044127D"/>
    <w:rsid w:val="004448DB"/>
    <w:rsid w:val="00446C9A"/>
    <w:rsid w:val="00462D76"/>
    <w:rsid w:val="00477193"/>
    <w:rsid w:val="004A1848"/>
    <w:rsid w:val="004A1F1B"/>
    <w:rsid w:val="004E2759"/>
    <w:rsid w:val="00507FEC"/>
    <w:rsid w:val="00510F0E"/>
    <w:rsid w:val="00511891"/>
    <w:rsid w:val="0051790E"/>
    <w:rsid w:val="00521F6E"/>
    <w:rsid w:val="005479E1"/>
    <w:rsid w:val="005570FD"/>
    <w:rsid w:val="005575EA"/>
    <w:rsid w:val="005744A4"/>
    <w:rsid w:val="0057790C"/>
    <w:rsid w:val="00583883"/>
    <w:rsid w:val="0058661C"/>
    <w:rsid w:val="00593795"/>
    <w:rsid w:val="00594638"/>
    <w:rsid w:val="005A75FF"/>
    <w:rsid w:val="005B7789"/>
    <w:rsid w:val="005F042A"/>
    <w:rsid w:val="006300B8"/>
    <w:rsid w:val="0065791C"/>
    <w:rsid w:val="00666416"/>
    <w:rsid w:val="00690B8A"/>
    <w:rsid w:val="00693AEE"/>
    <w:rsid w:val="006D1DFA"/>
    <w:rsid w:val="006D506B"/>
    <w:rsid w:val="006E3C90"/>
    <w:rsid w:val="006E57E2"/>
    <w:rsid w:val="006F7C89"/>
    <w:rsid w:val="00704B61"/>
    <w:rsid w:val="00741598"/>
    <w:rsid w:val="00742A8D"/>
    <w:rsid w:val="007552A9"/>
    <w:rsid w:val="00761858"/>
    <w:rsid w:val="00767D59"/>
    <w:rsid w:val="00776E97"/>
    <w:rsid w:val="00780FD7"/>
    <w:rsid w:val="007912AD"/>
    <w:rsid w:val="007A1F28"/>
    <w:rsid w:val="007A393E"/>
    <w:rsid w:val="007A6132"/>
    <w:rsid w:val="007B0824"/>
    <w:rsid w:val="007E01DA"/>
    <w:rsid w:val="008116D9"/>
    <w:rsid w:val="008303B8"/>
    <w:rsid w:val="00833DCE"/>
    <w:rsid w:val="00842418"/>
    <w:rsid w:val="008508AD"/>
    <w:rsid w:val="008639DC"/>
    <w:rsid w:val="00871D34"/>
    <w:rsid w:val="00872944"/>
    <w:rsid w:val="00897D75"/>
    <w:rsid w:val="008B270C"/>
    <w:rsid w:val="008B6EBC"/>
    <w:rsid w:val="008C3D3D"/>
    <w:rsid w:val="008D4131"/>
    <w:rsid w:val="008E29BA"/>
    <w:rsid w:val="008F1932"/>
    <w:rsid w:val="008F294D"/>
    <w:rsid w:val="00921062"/>
    <w:rsid w:val="0093083E"/>
    <w:rsid w:val="00940FE3"/>
    <w:rsid w:val="00966ECF"/>
    <w:rsid w:val="009727A3"/>
    <w:rsid w:val="00987774"/>
    <w:rsid w:val="009A0FDC"/>
    <w:rsid w:val="009A11E8"/>
    <w:rsid w:val="009E4E62"/>
    <w:rsid w:val="009F5220"/>
    <w:rsid w:val="009F7C4D"/>
    <w:rsid w:val="00A15234"/>
    <w:rsid w:val="00A15560"/>
    <w:rsid w:val="00A16AE1"/>
    <w:rsid w:val="00A201AB"/>
    <w:rsid w:val="00A31C8B"/>
    <w:rsid w:val="00A845DC"/>
    <w:rsid w:val="00A97AEE"/>
    <w:rsid w:val="00AC5CF6"/>
    <w:rsid w:val="00B00CC0"/>
    <w:rsid w:val="00B106DA"/>
    <w:rsid w:val="00B144FA"/>
    <w:rsid w:val="00B16F58"/>
    <w:rsid w:val="00B30648"/>
    <w:rsid w:val="00B3524D"/>
    <w:rsid w:val="00B40F69"/>
    <w:rsid w:val="00B46616"/>
    <w:rsid w:val="00B54950"/>
    <w:rsid w:val="00B610E3"/>
    <w:rsid w:val="00B61205"/>
    <w:rsid w:val="00B617C4"/>
    <w:rsid w:val="00B626FA"/>
    <w:rsid w:val="00B7040A"/>
    <w:rsid w:val="00B96FA0"/>
    <w:rsid w:val="00BA1D45"/>
    <w:rsid w:val="00BD4196"/>
    <w:rsid w:val="00BF22CA"/>
    <w:rsid w:val="00C061C2"/>
    <w:rsid w:val="00C26032"/>
    <w:rsid w:val="00C265B0"/>
    <w:rsid w:val="00C321B5"/>
    <w:rsid w:val="00C345E1"/>
    <w:rsid w:val="00C977BA"/>
    <w:rsid w:val="00CB6E35"/>
    <w:rsid w:val="00CC365F"/>
    <w:rsid w:val="00CE1A46"/>
    <w:rsid w:val="00CF253F"/>
    <w:rsid w:val="00CF56B4"/>
    <w:rsid w:val="00CF6DEE"/>
    <w:rsid w:val="00D00AFA"/>
    <w:rsid w:val="00D06D1F"/>
    <w:rsid w:val="00D20F09"/>
    <w:rsid w:val="00D22636"/>
    <w:rsid w:val="00D36666"/>
    <w:rsid w:val="00D40FD9"/>
    <w:rsid w:val="00D53769"/>
    <w:rsid w:val="00D70775"/>
    <w:rsid w:val="00D85C13"/>
    <w:rsid w:val="00D91BE3"/>
    <w:rsid w:val="00D94AFC"/>
    <w:rsid w:val="00DB70AE"/>
    <w:rsid w:val="00DB7231"/>
    <w:rsid w:val="00DD5071"/>
    <w:rsid w:val="00DD5C39"/>
    <w:rsid w:val="00DE26AF"/>
    <w:rsid w:val="00DE7DB7"/>
    <w:rsid w:val="00E00A0A"/>
    <w:rsid w:val="00E05A72"/>
    <w:rsid w:val="00E07F57"/>
    <w:rsid w:val="00E50BCE"/>
    <w:rsid w:val="00E55224"/>
    <w:rsid w:val="00E57885"/>
    <w:rsid w:val="00E61292"/>
    <w:rsid w:val="00E76309"/>
    <w:rsid w:val="00E77C4D"/>
    <w:rsid w:val="00E81D01"/>
    <w:rsid w:val="00EB1147"/>
    <w:rsid w:val="00EC1F8A"/>
    <w:rsid w:val="00ED338F"/>
    <w:rsid w:val="00EE45D8"/>
    <w:rsid w:val="00F004CD"/>
    <w:rsid w:val="00F13155"/>
    <w:rsid w:val="00F22EDA"/>
    <w:rsid w:val="00F3224D"/>
    <w:rsid w:val="00F33E0E"/>
    <w:rsid w:val="00F5664C"/>
    <w:rsid w:val="00F60D99"/>
    <w:rsid w:val="00FB7E80"/>
    <w:rsid w:val="00FC3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495640D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 w:type="paragraph" w:styleId="ListParagraph">
    <w:name w:val="List Paragraph"/>
    <w:basedOn w:val="Normal"/>
    <w:uiPriority w:val="34"/>
    <w:qFormat/>
    <w:rsid w:val="00195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1901</Words>
  <Characters>9447</Characters>
  <Application>Microsoft Office Word</Application>
  <DocSecurity>0</DocSecurity>
  <Lines>78</Lines>
  <Paragraphs>22</Paragraphs>
  <ScaleCrop>false</ScaleCrop>
  <Company/>
  <LinksUpToDate>false</LinksUpToDate>
  <CharactersWithSpaces>11326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2018-08-16T15:13:00Z</dcterms:created>
  <dcterms:modified xsi:type="dcterms:W3CDTF">2018-08-16T15:14:00Z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