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C46" w:rsidRPr="008A7C46" w:rsidRDefault="008A7C46" w:rsidP="008A7C46">
      <w:pPr>
        <w:jc w:val="center"/>
        <w:rPr>
          <w:rFonts w:ascii="Book Antiqua" w:hAnsi="Book Antiqua" w:cs="Arial"/>
          <w:caps/>
          <w:color w:val="000000"/>
          <w:sz w:val="16"/>
          <w:szCs w:val="16"/>
        </w:rPr>
      </w:pPr>
      <w:r w:rsidRPr="008A7C46">
        <w:rPr>
          <w:noProof/>
          <w:sz w:val="16"/>
          <w:szCs w:val="16"/>
        </w:rPr>
        <w:drawing>
          <wp:inline distT="0" distB="0" distL="0" distR="0">
            <wp:extent cx="103822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8225" cy="904875"/>
                    </a:xfrm>
                    <a:prstGeom prst="rect">
                      <a:avLst/>
                    </a:prstGeom>
                    <a:noFill/>
                    <a:ln>
                      <a:noFill/>
                    </a:ln>
                  </pic:spPr>
                </pic:pic>
              </a:graphicData>
            </a:graphic>
          </wp:inline>
        </w:drawing>
      </w:r>
    </w:p>
    <w:p w:rsidR="008A7C46" w:rsidRPr="008A7C46" w:rsidRDefault="008A7C46" w:rsidP="008A7C46">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0731E6">
        <w:rPr>
          <w:rFonts w:ascii="Book Antiqua" w:hAnsi="Book Antiqua" w:cs="Arial"/>
          <w:caps/>
        </w:rPr>
        <w:t>pa/13805/2017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8A7C46" w:rsidRPr="00F5664C" w:rsidRDefault="008A7C46" w:rsidP="00C345E1">
      <w:pPr>
        <w:jc w:val="center"/>
        <w:rPr>
          <w:rFonts w:ascii="Book Antiqua" w:hAnsi="Book Antiqua" w:cs="Arial"/>
          <w:b/>
          <w:u w:val="single"/>
        </w:rPr>
      </w:pPr>
    </w:p>
    <w:p w:rsidR="00C345E1" w:rsidRPr="00F5664C" w:rsidRDefault="00C345E1" w:rsidP="00560194">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0731E6">
              <w:rPr>
                <w:rFonts w:ascii="Book Antiqua" w:hAnsi="Book Antiqua" w:cs="Arial"/>
                <w:b/>
              </w:rPr>
              <w:t>Manchester Civil Justice Centre</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0731E6">
              <w:rPr>
                <w:rFonts w:ascii="Book Antiqua" w:hAnsi="Book Antiqua" w:cs="Arial"/>
                <w:b/>
              </w:rPr>
              <w:t>10</w:t>
            </w:r>
            <w:r w:rsidR="000731E6" w:rsidRPr="000731E6">
              <w:rPr>
                <w:rFonts w:ascii="Book Antiqua" w:hAnsi="Book Antiqua" w:cs="Arial"/>
                <w:b/>
                <w:vertAlign w:val="superscript"/>
              </w:rPr>
              <w:t>th</w:t>
            </w:r>
            <w:r w:rsidR="000731E6">
              <w:rPr>
                <w:rFonts w:ascii="Book Antiqua" w:hAnsi="Book Antiqua" w:cs="Arial"/>
                <w:b/>
              </w:rPr>
              <w:t xml:space="preserve"> July 2018</w:t>
            </w:r>
          </w:p>
        </w:tc>
        <w:tc>
          <w:tcPr>
            <w:tcW w:w="3960" w:type="dxa"/>
          </w:tcPr>
          <w:p w:rsidR="00D22636" w:rsidRPr="00F5664C" w:rsidRDefault="00480AD0" w:rsidP="004A1848">
            <w:pPr>
              <w:jc w:val="both"/>
              <w:rPr>
                <w:rFonts w:ascii="Book Antiqua" w:hAnsi="Book Antiqua" w:cs="Arial"/>
                <w:b/>
              </w:rPr>
            </w:pPr>
            <w:r>
              <w:rPr>
                <w:rFonts w:ascii="Book Antiqua" w:hAnsi="Book Antiqua" w:cs="Arial"/>
                <w:b/>
              </w:rPr>
              <w:t>On 18</w:t>
            </w:r>
            <w:r w:rsidRPr="00480AD0">
              <w:rPr>
                <w:rFonts w:ascii="Book Antiqua" w:hAnsi="Book Antiqua" w:cs="Arial"/>
                <w:b/>
                <w:vertAlign w:val="superscript"/>
              </w:rPr>
              <w:t>th</w:t>
            </w:r>
            <w:r>
              <w:rPr>
                <w:rFonts w:ascii="Book Antiqua" w:hAnsi="Book Antiqua" w:cs="Arial"/>
                <w:b/>
              </w:rPr>
              <w:t xml:space="preserve"> July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560194">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Default="00255071" w:rsidP="000731E6">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B16F58" w:rsidRPr="00F5664C" w:rsidRDefault="00B16F58" w:rsidP="00560194">
      <w:pPr>
        <w:rPr>
          <w:rFonts w:ascii="Book Antiqua" w:hAnsi="Book Antiqua" w:cs="Arial"/>
          <w:b/>
        </w:rPr>
      </w:pPr>
    </w:p>
    <w:p w:rsidR="001D45DF" w:rsidRDefault="001D45DF"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F13D39" w:rsidRPr="000731E6" w:rsidRDefault="000731E6" w:rsidP="000731E6">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rsidR="006D1DFA" w:rsidRPr="00560194" w:rsidRDefault="00704B61" w:rsidP="00560194">
      <w:pPr>
        <w:jc w:val="right"/>
        <w:rPr>
          <w:rFonts w:ascii="Book Antiqua" w:hAnsi="Book Antiqua" w:cs="Arial"/>
          <w:u w:val="single"/>
        </w:rPr>
      </w:pPr>
      <w:r w:rsidRPr="00F5664C">
        <w:rPr>
          <w:rFonts w:ascii="Book Antiqua" w:hAnsi="Book Antiqua" w:cs="Arial"/>
          <w:u w:val="single"/>
        </w:rPr>
        <w:t>Appellant</w:t>
      </w:r>
    </w:p>
    <w:p w:rsidR="00DD5071" w:rsidRDefault="00560194" w:rsidP="00560194">
      <w:pPr>
        <w:jc w:val="center"/>
        <w:rPr>
          <w:rFonts w:ascii="Book Antiqua" w:hAnsi="Book Antiqua" w:cs="Arial"/>
          <w:b/>
        </w:rPr>
      </w:pPr>
      <w:r w:rsidRPr="00F5664C">
        <w:rPr>
          <w:rFonts w:ascii="Book Antiqua" w:hAnsi="Book Antiqua" w:cs="Arial"/>
          <w:b/>
        </w:rPr>
        <w:t>A</w:t>
      </w:r>
      <w:r w:rsidR="00DD5071" w:rsidRPr="00F5664C">
        <w:rPr>
          <w:rFonts w:ascii="Book Antiqua" w:hAnsi="Book Antiqua" w:cs="Arial"/>
          <w:b/>
        </w:rPr>
        <w:t>nd</w:t>
      </w:r>
    </w:p>
    <w:p w:rsidR="00560194" w:rsidRPr="00560194" w:rsidRDefault="00560194" w:rsidP="00560194">
      <w:pPr>
        <w:jc w:val="center"/>
        <w:rPr>
          <w:rFonts w:ascii="Book Antiqua" w:hAnsi="Book Antiqua" w:cs="Arial"/>
          <w:b/>
        </w:rPr>
      </w:pPr>
    </w:p>
    <w:p w:rsidR="00DD5071" w:rsidRDefault="000731E6" w:rsidP="00704B61">
      <w:pPr>
        <w:jc w:val="center"/>
        <w:rPr>
          <w:rFonts w:ascii="Book Antiqua" w:hAnsi="Book Antiqua" w:cs="Arial"/>
          <w:b/>
          <w:caps/>
        </w:rPr>
      </w:pPr>
      <w:r>
        <w:rPr>
          <w:rFonts w:ascii="Book Antiqua" w:hAnsi="Book Antiqua" w:cs="Arial"/>
          <w:b/>
          <w:caps/>
        </w:rPr>
        <w:t>MK</w:t>
      </w:r>
    </w:p>
    <w:p w:rsidR="000731E6" w:rsidRPr="00F5664C" w:rsidRDefault="000731E6" w:rsidP="00560194">
      <w:pPr>
        <w:jc w:val="center"/>
        <w:rPr>
          <w:rFonts w:ascii="Book Antiqua" w:hAnsi="Book Antiqua" w:cs="Arial"/>
          <w:b/>
          <w:caps/>
        </w:rPr>
      </w:pPr>
      <w:r w:rsidRPr="00F13D39">
        <w:rPr>
          <w:rFonts w:ascii="Book Antiqua" w:hAnsi="Book Antiqua" w:cs="Arial"/>
          <w:b/>
          <w:caps/>
        </w:rPr>
        <w:t xml:space="preserve">(ANONYMITY DIRECTION </w:t>
      </w:r>
      <w:r w:rsidR="003D1FFF">
        <w:rPr>
          <w:rFonts w:ascii="Book Antiqua" w:hAnsi="Book Antiqua" w:cs="Arial"/>
          <w:b/>
          <w:caps/>
        </w:rPr>
        <w:t>MADE</w:t>
      </w:r>
      <w:r w:rsidRPr="00F13D39">
        <w:rPr>
          <w:rFonts w:ascii="Book Antiqua" w:hAnsi="Book Antiqua" w:cs="Arial"/>
          <w:b/>
          <w:caps/>
        </w:rPr>
        <w:t>)</w:t>
      </w:r>
    </w:p>
    <w:p w:rsidR="00DD5071" w:rsidRPr="00F5664C" w:rsidRDefault="00DD5071" w:rsidP="00560194">
      <w:pPr>
        <w:jc w:val="right"/>
        <w:rPr>
          <w:rFonts w:ascii="Book Antiqua" w:hAnsi="Book Antiqua" w:cs="Arial"/>
          <w:u w:val="single"/>
        </w:rPr>
      </w:pPr>
      <w:r w:rsidRPr="00F5664C">
        <w:rPr>
          <w:rFonts w:ascii="Book Antiqua" w:hAnsi="Book Antiqua" w:cs="Arial"/>
          <w:u w:val="single"/>
        </w:rPr>
        <w:t>Respondent</w:t>
      </w:r>
    </w:p>
    <w:p w:rsidR="001D45DF" w:rsidRDefault="001D45DF" w:rsidP="00DD5071">
      <w:pPr>
        <w:rPr>
          <w:rFonts w:ascii="Book Antiqua" w:hAnsi="Book Antiqua" w:cs="Arial"/>
          <w:b/>
          <w:u w:val="single"/>
        </w:rPr>
      </w:pPr>
    </w:p>
    <w:p w:rsidR="001D45DF" w:rsidRDefault="001D45DF"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731E6">
        <w:rPr>
          <w:rFonts w:ascii="Book Antiqua" w:hAnsi="Book Antiqua" w:cs="Arial"/>
        </w:rPr>
        <w:t>Mr A Tan, Senior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731E6">
        <w:rPr>
          <w:rFonts w:ascii="Book Antiqua" w:hAnsi="Book Antiqua" w:cs="Arial"/>
        </w:rPr>
        <w:t xml:space="preserve">Miss S </w:t>
      </w:r>
      <w:proofErr w:type="spellStart"/>
      <w:r w:rsidR="000731E6">
        <w:rPr>
          <w:rFonts w:ascii="Book Antiqua" w:hAnsi="Book Antiqua" w:cs="Arial"/>
        </w:rPr>
        <w:t>Tabassum</w:t>
      </w:r>
      <w:proofErr w:type="spellEnd"/>
      <w:r w:rsidR="000731E6">
        <w:rPr>
          <w:rFonts w:ascii="Book Antiqua" w:hAnsi="Book Antiqua" w:cs="Arial"/>
        </w:rPr>
        <w:t xml:space="preserve"> of </w:t>
      </w:r>
      <w:proofErr w:type="spellStart"/>
      <w:r w:rsidR="000731E6">
        <w:rPr>
          <w:rFonts w:ascii="Book Antiqua" w:hAnsi="Book Antiqua" w:cs="Arial"/>
        </w:rPr>
        <w:t>Broudie</w:t>
      </w:r>
      <w:proofErr w:type="spellEnd"/>
      <w:r w:rsidR="000731E6">
        <w:rPr>
          <w:rFonts w:ascii="Book Antiqua" w:hAnsi="Book Antiqua" w:cs="Arial"/>
        </w:rPr>
        <w:t xml:space="preserve"> Jackson &amp; Cant</w:t>
      </w:r>
      <w:r w:rsidR="000D7163">
        <w:rPr>
          <w:rFonts w:ascii="Book Antiqua" w:hAnsi="Book Antiqua" w:cs="Arial"/>
        </w:rPr>
        <w:t>e</w:t>
      </w:r>
      <w:r w:rsidR="000731E6">
        <w:rPr>
          <w:rFonts w:ascii="Book Antiqua" w:hAnsi="Book Antiqua" w:cs="Arial"/>
        </w:rPr>
        <w:t>r Solicitors</w:t>
      </w:r>
    </w:p>
    <w:p w:rsidR="00DE7DB7" w:rsidRPr="00F5664C" w:rsidRDefault="00DE7DB7" w:rsidP="00560194">
      <w:pPr>
        <w:tabs>
          <w:tab w:val="left" w:pos="2520"/>
        </w:tabs>
        <w:rPr>
          <w:rFonts w:ascii="Book Antiqua" w:hAnsi="Book Antiqua" w:cs="Arial"/>
        </w:rPr>
      </w:pPr>
    </w:p>
    <w:p w:rsidR="001D45DF" w:rsidRDefault="001D45DF" w:rsidP="00402B9E">
      <w:pPr>
        <w:tabs>
          <w:tab w:val="left" w:pos="2520"/>
        </w:tabs>
        <w:jc w:val="center"/>
        <w:rPr>
          <w:rFonts w:ascii="Book Antiqua" w:hAnsi="Book Antiqua" w:cs="Arial"/>
          <w:b/>
          <w:u w:val="single"/>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0731E6" w:rsidP="00402B9E">
      <w:pPr>
        <w:tabs>
          <w:tab w:val="left" w:pos="2520"/>
        </w:tabs>
        <w:jc w:val="both"/>
        <w:rPr>
          <w:rFonts w:ascii="Book Antiqua" w:hAnsi="Book Antiqua" w:cs="Arial"/>
        </w:rPr>
      </w:pPr>
      <w:r>
        <w:rPr>
          <w:rFonts w:ascii="Book Antiqua" w:hAnsi="Book Antiqua" w:cs="Arial"/>
        </w:rPr>
        <w:t xml:space="preserve"> </w:t>
      </w:r>
    </w:p>
    <w:p w:rsidR="000731E6" w:rsidRPr="000731E6" w:rsidRDefault="000731E6" w:rsidP="00402B9E">
      <w:pPr>
        <w:tabs>
          <w:tab w:val="left" w:pos="2520"/>
        </w:tabs>
        <w:jc w:val="both"/>
        <w:rPr>
          <w:rFonts w:ascii="Book Antiqua" w:hAnsi="Book Antiqua" w:cs="Arial"/>
          <w:b/>
        </w:rPr>
      </w:pPr>
      <w:r w:rsidRPr="000731E6">
        <w:rPr>
          <w:rFonts w:ascii="Book Antiqua" w:hAnsi="Book Antiqua" w:cs="Arial"/>
          <w:b/>
        </w:rPr>
        <w:t>Introduction and Background</w:t>
      </w:r>
    </w:p>
    <w:p w:rsidR="005E5DFF" w:rsidRDefault="000731E6" w:rsidP="005E5DFF">
      <w:pPr>
        <w:numPr>
          <w:ilvl w:val="0"/>
          <w:numId w:val="3"/>
        </w:numPr>
        <w:spacing w:before="240"/>
        <w:jc w:val="both"/>
        <w:rPr>
          <w:rFonts w:ascii="Book Antiqua" w:hAnsi="Book Antiqua" w:cs="Arial"/>
        </w:rPr>
      </w:pPr>
      <w:r>
        <w:rPr>
          <w:rFonts w:ascii="Book Antiqua" w:hAnsi="Book Antiqua" w:cs="Arial"/>
        </w:rPr>
        <w:t>The Secretary of State appeals aga</w:t>
      </w:r>
      <w:r w:rsidR="00E73A32">
        <w:rPr>
          <w:rFonts w:ascii="Book Antiqua" w:hAnsi="Book Antiqua" w:cs="Arial"/>
        </w:rPr>
        <w:t>inst a decision of Judge Siddiq</w:t>
      </w:r>
      <w:r>
        <w:rPr>
          <w:rFonts w:ascii="Book Antiqua" w:hAnsi="Book Antiqua" w:cs="Arial"/>
        </w:rPr>
        <w:t>i (the judge) of the First-tier Tribunal (the FTT) promulgated on 26</w:t>
      </w:r>
      <w:r w:rsidRPr="000731E6">
        <w:rPr>
          <w:rFonts w:ascii="Book Antiqua" w:hAnsi="Book Antiqua" w:cs="Arial"/>
          <w:vertAlign w:val="superscript"/>
        </w:rPr>
        <w:t>th</w:t>
      </w:r>
      <w:r>
        <w:rPr>
          <w:rFonts w:ascii="Book Antiqua" w:hAnsi="Book Antiqua" w:cs="Arial"/>
        </w:rPr>
        <w:t xml:space="preserve"> February 2018.</w:t>
      </w:r>
    </w:p>
    <w:p w:rsidR="007A65C0" w:rsidRDefault="007A65C0" w:rsidP="005E5DFF">
      <w:pPr>
        <w:numPr>
          <w:ilvl w:val="0"/>
          <w:numId w:val="3"/>
        </w:numPr>
        <w:spacing w:before="240"/>
        <w:jc w:val="both"/>
        <w:rPr>
          <w:rFonts w:ascii="Book Antiqua" w:hAnsi="Book Antiqua" w:cs="Arial"/>
        </w:rPr>
      </w:pPr>
      <w:r>
        <w:rPr>
          <w:rFonts w:ascii="Book Antiqua" w:hAnsi="Book Antiqua" w:cs="Arial"/>
        </w:rPr>
        <w:t>The Respondent before the Upper Tribunal was the Appellant before the FTT.  I will refer to him as the Claimant.</w:t>
      </w:r>
    </w:p>
    <w:p w:rsidR="007A65C0" w:rsidRDefault="007A65C0" w:rsidP="005E5DFF">
      <w:pPr>
        <w:numPr>
          <w:ilvl w:val="0"/>
          <w:numId w:val="3"/>
        </w:numPr>
        <w:spacing w:before="240"/>
        <w:jc w:val="both"/>
        <w:rPr>
          <w:rFonts w:ascii="Book Antiqua" w:hAnsi="Book Antiqua" w:cs="Arial"/>
        </w:rPr>
      </w:pPr>
      <w:r>
        <w:rPr>
          <w:rFonts w:ascii="Book Antiqua" w:hAnsi="Book Antiqua" w:cs="Arial"/>
        </w:rPr>
        <w:lastRenderedPageBreak/>
        <w:t>The Claimant is a male citizen of Iran born 18</w:t>
      </w:r>
      <w:r w:rsidRPr="007A65C0">
        <w:rPr>
          <w:rFonts w:ascii="Book Antiqua" w:hAnsi="Book Antiqua" w:cs="Arial"/>
          <w:vertAlign w:val="superscript"/>
        </w:rPr>
        <w:t>th</w:t>
      </w:r>
      <w:r>
        <w:rPr>
          <w:rFonts w:ascii="Book Antiqua" w:hAnsi="Book Antiqua" w:cs="Arial"/>
        </w:rPr>
        <w:t xml:space="preserve"> August 1993.  He claimed asylum on the basis of his sexuality, on the basis that he is gay, and also because of his religious belief, having converted from Islam to Christianity.</w:t>
      </w:r>
    </w:p>
    <w:p w:rsidR="007A65C0" w:rsidRDefault="007A65C0" w:rsidP="005E5DFF">
      <w:pPr>
        <w:numPr>
          <w:ilvl w:val="0"/>
          <w:numId w:val="3"/>
        </w:numPr>
        <w:spacing w:before="240"/>
        <w:jc w:val="both"/>
        <w:rPr>
          <w:rFonts w:ascii="Book Antiqua" w:hAnsi="Book Antiqua" w:cs="Arial"/>
        </w:rPr>
      </w:pPr>
      <w:r>
        <w:rPr>
          <w:rFonts w:ascii="Book Antiqua" w:hAnsi="Book Antiqua" w:cs="Arial"/>
        </w:rPr>
        <w:t>The application</w:t>
      </w:r>
      <w:r w:rsidR="000D7163">
        <w:rPr>
          <w:rFonts w:ascii="Book Antiqua" w:hAnsi="Book Antiqua" w:cs="Arial"/>
        </w:rPr>
        <w:t xml:space="preserve"> was refused</w:t>
      </w:r>
      <w:r>
        <w:rPr>
          <w:rFonts w:ascii="Book Antiqua" w:hAnsi="Book Antiqua" w:cs="Arial"/>
        </w:rPr>
        <w:t xml:space="preserve"> on 13</w:t>
      </w:r>
      <w:r w:rsidRPr="007A65C0">
        <w:rPr>
          <w:rFonts w:ascii="Book Antiqua" w:hAnsi="Book Antiqua" w:cs="Arial"/>
          <w:vertAlign w:val="superscript"/>
        </w:rPr>
        <w:t>th</w:t>
      </w:r>
      <w:r>
        <w:rPr>
          <w:rFonts w:ascii="Book Antiqua" w:hAnsi="Book Antiqua" w:cs="Arial"/>
        </w:rPr>
        <w:t xml:space="preserve"> December 2017.  It was not accepted that the </w:t>
      </w:r>
      <w:r w:rsidR="000D7163">
        <w:rPr>
          <w:rFonts w:ascii="Book Antiqua" w:hAnsi="Book Antiqua" w:cs="Arial"/>
        </w:rPr>
        <w:t>Claim</w:t>
      </w:r>
      <w:r>
        <w:rPr>
          <w:rFonts w:ascii="Book Antiqua" w:hAnsi="Book Antiqua" w:cs="Arial"/>
        </w:rPr>
        <w:t xml:space="preserve">ant is gay, nor that he had genuinely converted to Christianity.  The </w:t>
      </w:r>
      <w:r w:rsidR="000D7163">
        <w:rPr>
          <w:rFonts w:ascii="Book Antiqua" w:hAnsi="Book Antiqua" w:cs="Arial"/>
        </w:rPr>
        <w:t>Secretary of State</w:t>
      </w:r>
      <w:r>
        <w:rPr>
          <w:rFonts w:ascii="Book Antiqua" w:hAnsi="Book Antiqua" w:cs="Arial"/>
        </w:rPr>
        <w:t xml:space="preserve"> did not believe </w:t>
      </w:r>
      <w:r w:rsidR="000D7163">
        <w:rPr>
          <w:rFonts w:ascii="Book Antiqua" w:hAnsi="Book Antiqua" w:cs="Arial"/>
        </w:rPr>
        <w:t>he</w:t>
      </w:r>
      <w:r>
        <w:rPr>
          <w:rFonts w:ascii="Book Antiqua" w:hAnsi="Book Antiqua" w:cs="Arial"/>
        </w:rPr>
        <w:t xml:space="preserve"> would be at risk if returned to Iran.</w:t>
      </w:r>
    </w:p>
    <w:p w:rsidR="007A65C0" w:rsidRDefault="007A65C0" w:rsidP="005E5DFF">
      <w:pPr>
        <w:numPr>
          <w:ilvl w:val="0"/>
          <w:numId w:val="3"/>
        </w:numPr>
        <w:spacing w:before="240"/>
        <w:jc w:val="both"/>
        <w:rPr>
          <w:rFonts w:ascii="Book Antiqua" w:hAnsi="Book Antiqua" w:cs="Arial"/>
        </w:rPr>
      </w:pPr>
      <w:r>
        <w:rPr>
          <w:rFonts w:ascii="Book Antiqua" w:hAnsi="Book Antiqua" w:cs="Arial"/>
        </w:rPr>
        <w:t>The appeal was heard by the FTT on 1</w:t>
      </w:r>
      <w:r w:rsidRPr="007A65C0">
        <w:rPr>
          <w:rFonts w:ascii="Book Antiqua" w:hAnsi="Book Antiqua" w:cs="Arial"/>
          <w:vertAlign w:val="superscript"/>
        </w:rPr>
        <w:t>st</w:t>
      </w:r>
      <w:r>
        <w:rPr>
          <w:rFonts w:ascii="Book Antiqua" w:hAnsi="Book Antiqua" w:cs="Arial"/>
        </w:rPr>
        <w:t xml:space="preserve"> February 2018.  After hearing evidence from the </w:t>
      </w:r>
      <w:proofErr w:type="gramStart"/>
      <w:r>
        <w:rPr>
          <w:rFonts w:ascii="Book Antiqua" w:hAnsi="Book Antiqua" w:cs="Arial"/>
        </w:rPr>
        <w:t>Claimant</w:t>
      </w:r>
      <w:proofErr w:type="gramEnd"/>
      <w:r>
        <w:rPr>
          <w:rFonts w:ascii="Book Antiqua" w:hAnsi="Book Antiqua" w:cs="Arial"/>
        </w:rPr>
        <w:t xml:space="preserve"> the judge noted that he no longer considered himself to be gay as this was not in accordance with his religious belief as a Christian.  The judge found that the </w:t>
      </w:r>
      <w:r w:rsidR="00183106">
        <w:rPr>
          <w:rFonts w:ascii="Book Antiqua" w:hAnsi="Book Antiqua" w:cs="Arial"/>
        </w:rPr>
        <w:t>Claim</w:t>
      </w:r>
      <w:r>
        <w:rPr>
          <w:rFonts w:ascii="Book Antiqua" w:hAnsi="Book Antiqua" w:cs="Arial"/>
        </w:rPr>
        <w:t xml:space="preserve">ant had not had any gay relationship in Iran, and found that he had not established that he is gay or would be treated as gay by potential persecutors in Iran.  </w:t>
      </w:r>
    </w:p>
    <w:p w:rsidR="007A65C0" w:rsidRDefault="007A65C0" w:rsidP="005E5DFF">
      <w:pPr>
        <w:numPr>
          <w:ilvl w:val="0"/>
          <w:numId w:val="3"/>
        </w:numPr>
        <w:spacing w:before="240"/>
        <w:jc w:val="both"/>
        <w:rPr>
          <w:rFonts w:ascii="Book Antiqua" w:hAnsi="Book Antiqua" w:cs="Arial"/>
        </w:rPr>
      </w:pPr>
      <w:r>
        <w:rPr>
          <w:rFonts w:ascii="Book Antiqua" w:hAnsi="Book Antiqua" w:cs="Arial"/>
        </w:rPr>
        <w:t xml:space="preserve">The judge accepted that the Claimant had genuinely converted to Christianity and would wish to practise his faith openly in Iran, and found that he would face a real risk of persecution if he were to do so.  </w:t>
      </w:r>
      <w:proofErr w:type="gramStart"/>
      <w:r>
        <w:rPr>
          <w:rFonts w:ascii="Book Antiqua" w:hAnsi="Book Antiqua" w:cs="Arial"/>
        </w:rPr>
        <w:t>Therefore</w:t>
      </w:r>
      <w:proofErr w:type="gramEnd"/>
      <w:r>
        <w:rPr>
          <w:rFonts w:ascii="Book Antiqua" w:hAnsi="Book Antiqua" w:cs="Arial"/>
        </w:rPr>
        <w:t xml:space="preserve"> his appeal was allowed on asylum grounds and with reference to Article 3 of the 1950 European Convention on Human Rights.</w:t>
      </w:r>
    </w:p>
    <w:p w:rsidR="000731E6" w:rsidRDefault="007A65C0" w:rsidP="005E5DFF">
      <w:pPr>
        <w:numPr>
          <w:ilvl w:val="0"/>
          <w:numId w:val="3"/>
        </w:numPr>
        <w:spacing w:before="240"/>
        <w:jc w:val="both"/>
        <w:rPr>
          <w:rFonts w:ascii="Book Antiqua" w:hAnsi="Book Antiqua" w:cs="Arial"/>
        </w:rPr>
      </w:pPr>
      <w:r>
        <w:rPr>
          <w:rFonts w:ascii="Book Antiqua" w:hAnsi="Book Antiqua" w:cs="Arial"/>
        </w:rPr>
        <w:t xml:space="preserve">The Secretary of State applied for permission to appeal to the Upper Tribunal.  It was contended that the Claimant had initially made a claim for asylum on the basis of being gay, and then changed his claim to one based upon a conversion to Christianity.  The judge made an adverse credibility finding in relation to the Claimant’s claim to have been gay while in Iran.  The judge had then gone on to find the conversion to Christianity genuine.  It was submitted that the judge had failed to take into account her own adverse credibility finding against the </w:t>
      </w:r>
      <w:r w:rsidR="00C26D46">
        <w:rPr>
          <w:rFonts w:ascii="Book Antiqua" w:hAnsi="Book Antiqua" w:cs="Arial"/>
        </w:rPr>
        <w:t>Claim</w:t>
      </w:r>
      <w:r w:rsidR="00557965">
        <w:rPr>
          <w:rFonts w:ascii="Book Antiqua" w:hAnsi="Book Antiqua" w:cs="Arial"/>
        </w:rPr>
        <w:t>ant when considering</w:t>
      </w:r>
      <w:r>
        <w:rPr>
          <w:rFonts w:ascii="Book Antiqua" w:hAnsi="Book Antiqua" w:cs="Arial"/>
        </w:rPr>
        <w:t xml:space="preserve"> whether his claimed conversion was genuine.</w:t>
      </w:r>
    </w:p>
    <w:p w:rsidR="007A65C0" w:rsidRDefault="007A65C0" w:rsidP="005E5DFF">
      <w:pPr>
        <w:numPr>
          <w:ilvl w:val="0"/>
          <w:numId w:val="3"/>
        </w:numPr>
        <w:spacing w:before="240"/>
        <w:jc w:val="both"/>
        <w:rPr>
          <w:rFonts w:ascii="Book Antiqua" w:hAnsi="Book Antiqua" w:cs="Arial"/>
        </w:rPr>
      </w:pPr>
      <w:r>
        <w:rPr>
          <w:rFonts w:ascii="Book Antiqua" w:hAnsi="Book Antiqua" w:cs="Arial"/>
        </w:rPr>
        <w:t xml:space="preserve">In </w:t>
      </w:r>
      <w:proofErr w:type="gramStart"/>
      <w:r>
        <w:rPr>
          <w:rFonts w:ascii="Book Antiqua" w:hAnsi="Book Antiqua" w:cs="Arial"/>
        </w:rPr>
        <w:t>addition</w:t>
      </w:r>
      <w:proofErr w:type="gramEnd"/>
      <w:r>
        <w:rPr>
          <w:rFonts w:ascii="Book Antiqua" w:hAnsi="Book Antiqua" w:cs="Arial"/>
        </w:rPr>
        <w:t xml:space="preserve"> it was submitted that mere conversion to Christianity would not necessarily place the Claimant at risk on return and reliance was placed upon </w:t>
      </w:r>
      <w:r w:rsidRPr="002938D6">
        <w:rPr>
          <w:rFonts w:ascii="Book Antiqua" w:hAnsi="Book Antiqua" w:cs="Arial"/>
          <w:u w:val="single"/>
        </w:rPr>
        <w:t>AS</w:t>
      </w:r>
      <w:r>
        <w:rPr>
          <w:rFonts w:ascii="Book Antiqua" w:hAnsi="Book Antiqua" w:cs="Arial"/>
        </w:rPr>
        <w:t xml:space="preserve"> (Iran) [2017] EWCA </w:t>
      </w:r>
      <w:proofErr w:type="spellStart"/>
      <w:r>
        <w:rPr>
          <w:rFonts w:ascii="Book Antiqua" w:hAnsi="Book Antiqua" w:cs="Arial"/>
        </w:rPr>
        <w:t>Civ</w:t>
      </w:r>
      <w:proofErr w:type="spellEnd"/>
      <w:r>
        <w:rPr>
          <w:rFonts w:ascii="Book Antiqua" w:hAnsi="Book Antiqua" w:cs="Arial"/>
        </w:rPr>
        <w:t xml:space="preserve"> 1539.  It was submitted that this decision confirms that the Claimant would only be at risk if he were to be proselytising upon return.</w:t>
      </w:r>
    </w:p>
    <w:p w:rsidR="007A65C0" w:rsidRDefault="007A65C0"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Judge Hodgkinson.  </w:t>
      </w:r>
    </w:p>
    <w:p w:rsidR="007A65C0" w:rsidRDefault="009E4B87" w:rsidP="005E5DFF">
      <w:pPr>
        <w:numPr>
          <w:ilvl w:val="0"/>
          <w:numId w:val="3"/>
        </w:numPr>
        <w:spacing w:before="240"/>
        <w:jc w:val="both"/>
        <w:rPr>
          <w:rFonts w:ascii="Book Antiqua" w:hAnsi="Book Antiqua" w:cs="Arial"/>
        </w:rPr>
      </w:pPr>
      <w:r>
        <w:rPr>
          <w:rFonts w:ascii="Book Antiqua" w:hAnsi="Book Antiqua" w:cs="Arial"/>
        </w:rPr>
        <w:t>Following</w:t>
      </w:r>
      <w:r w:rsidR="007A65C0">
        <w:rPr>
          <w:rFonts w:ascii="Book Antiqua" w:hAnsi="Book Antiqua" w:cs="Arial"/>
        </w:rPr>
        <w:t xml:space="preserve"> the grant of </w:t>
      </w:r>
      <w:proofErr w:type="gramStart"/>
      <w:r w:rsidR="007A65C0">
        <w:rPr>
          <w:rFonts w:ascii="Book Antiqua" w:hAnsi="Book Antiqua" w:cs="Arial"/>
        </w:rPr>
        <w:t>permission</w:t>
      </w:r>
      <w:proofErr w:type="gramEnd"/>
      <w:r w:rsidR="007A65C0">
        <w:rPr>
          <w:rFonts w:ascii="Book Antiqua" w:hAnsi="Book Antiqua" w:cs="Arial"/>
        </w:rPr>
        <w:t xml:space="preserve"> the Claimant lodged a response pursuant to Rule 24 of the Tribunal Procedure (Upper Tribunal) Rules 2008.  It was contended that the judge had not erred in law.  </w:t>
      </w:r>
    </w:p>
    <w:p w:rsidR="007A65C0" w:rsidRDefault="007A65C0" w:rsidP="005E5DFF">
      <w:pPr>
        <w:numPr>
          <w:ilvl w:val="0"/>
          <w:numId w:val="3"/>
        </w:numPr>
        <w:spacing w:before="240"/>
        <w:jc w:val="both"/>
        <w:rPr>
          <w:rFonts w:ascii="Book Antiqua" w:hAnsi="Book Antiqua" w:cs="Arial"/>
        </w:rPr>
      </w:pPr>
      <w:r>
        <w:rPr>
          <w:rFonts w:ascii="Book Antiqua" w:hAnsi="Book Antiqua" w:cs="Arial"/>
        </w:rPr>
        <w:t xml:space="preserve">Directions were issued that there should be a hearing before the Upper Tribunal to ascertain whether the FTT had erred in law such that the decision must be set aside.  </w:t>
      </w:r>
    </w:p>
    <w:p w:rsidR="007A65C0" w:rsidRPr="007A65C0" w:rsidRDefault="007A65C0" w:rsidP="007A65C0">
      <w:pPr>
        <w:spacing w:before="240"/>
        <w:jc w:val="both"/>
        <w:rPr>
          <w:rFonts w:ascii="Book Antiqua" w:hAnsi="Book Antiqua" w:cs="Arial"/>
          <w:b/>
        </w:rPr>
      </w:pPr>
      <w:r w:rsidRPr="007A65C0">
        <w:rPr>
          <w:rFonts w:ascii="Book Antiqua" w:hAnsi="Book Antiqua" w:cs="Arial"/>
          <w:b/>
        </w:rPr>
        <w:t>The Upper Tribunal Hearing</w:t>
      </w:r>
    </w:p>
    <w:p w:rsidR="007A65C0" w:rsidRDefault="007A65C0" w:rsidP="005E5DFF">
      <w:pPr>
        <w:numPr>
          <w:ilvl w:val="0"/>
          <w:numId w:val="3"/>
        </w:numPr>
        <w:spacing w:before="240"/>
        <w:jc w:val="both"/>
        <w:rPr>
          <w:rFonts w:ascii="Book Antiqua" w:hAnsi="Book Antiqua" w:cs="Arial"/>
        </w:rPr>
      </w:pPr>
      <w:r>
        <w:rPr>
          <w:rFonts w:ascii="Book Antiqua" w:hAnsi="Book Antiqua" w:cs="Arial"/>
        </w:rPr>
        <w:t xml:space="preserve">Mr Tan relied upon the grounds contained within the application for permission to appeal and submitted that the judge had erred by not considering the appeal holistically. </w:t>
      </w:r>
      <w:r w:rsidR="00663DF1">
        <w:rPr>
          <w:rFonts w:ascii="Book Antiqua" w:hAnsi="Book Antiqua" w:cs="Arial"/>
        </w:rPr>
        <w:t>T</w:t>
      </w:r>
      <w:r>
        <w:rPr>
          <w:rFonts w:ascii="Book Antiqua" w:hAnsi="Book Antiqua" w:cs="Arial"/>
        </w:rPr>
        <w:t>he judge had in effect drawn a line under he</w:t>
      </w:r>
      <w:r w:rsidR="00663DF1">
        <w:rPr>
          <w:rFonts w:ascii="Book Antiqua" w:hAnsi="Book Antiqua" w:cs="Arial"/>
        </w:rPr>
        <w:t>r</w:t>
      </w:r>
      <w:r>
        <w:rPr>
          <w:rFonts w:ascii="Book Antiqua" w:hAnsi="Book Antiqua" w:cs="Arial"/>
        </w:rPr>
        <w:t xml:space="preserve"> adverse conclusions</w:t>
      </w:r>
      <w:r w:rsidR="00663DF1">
        <w:rPr>
          <w:rFonts w:ascii="Book Antiqua" w:hAnsi="Book Antiqua" w:cs="Arial"/>
        </w:rPr>
        <w:t xml:space="preserve"> </w:t>
      </w:r>
      <w:r w:rsidR="00663DF1">
        <w:rPr>
          <w:rFonts w:ascii="Book Antiqua" w:hAnsi="Book Antiqua" w:cs="Arial"/>
        </w:rPr>
        <w:lastRenderedPageBreak/>
        <w:t>regarding the</w:t>
      </w:r>
      <w:r>
        <w:rPr>
          <w:rFonts w:ascii="Book Antiqua" w:hAnsi="Book Antiqua" w:cs="Arial"/>
        </w:rPr>
        <w:t xml:space="preserve"> claim to be gay, and should have taken her adverse credibility finding on that issue into account when considering the genuineness of conversion to Christianity.  Reliance was placed upon </w:t>
      </w:r>
      <w:r w:rsidRPr="00597490">
        <w:rPr>
          <w:rFonts w:ascii="Book Antiqua" w:hAnsi="Book Antiqua" w:cs="Arial"/>
          <w:u w:val="single"/>
        </w:rPr>
        <w:t>AS</w:t>
      </w:r>
      <w:r>
        <w:rPr>
          <w:rFonts w:ascii="Book Antiqua" w:hAnsi="Book Antiqua" w:cs="Arial"/>
        </w:rPr>
        <w:t xml:space="preserve"> (Iran) on the basis that this case proved that the </w:t>
      </w:r>
      <w:r w:rsidR="00663DF1">
        <w:rPr>
          <w:rFonts w:ascii="Book Antiqua" w:hAnsi="Book Antiqua" w:cs="Arial"/>
        </w:rPr>
        <w:t>Claim</w:t>
      </w:r>
      <w:r>
        <w:rPr>
          <w:rFonts w:ascii="Book Antiqua" w:hAnsi="Book Antiqua" w:cs="Arial"/>
        </w:rPr>
        <w:t>ant would not be at risk unles</w:t>
      </w:r>
      <w:r w:rsidR="003A7393">
        <w:rPr>
          <w:rFonts w:ascii="Book Antiqua" w:hAnsi="Book Antiqua" w:cs="Arial"/>
        </w:rPr>
        <w:t xml:space="preserve">s he intended to proselytise or act in an evangelical way.  It was accepted that this decision was not referred to in the refusal decision or at the hearing before the FTT.  </w:t>
      </w:r>
    </w:p>
    <w:p w:rsidR="003A7393" w:rsidRDefault="003A7393" w:rsidP="005E5DFF">
      <w:pPr>
        <w:numPr>
          <w:ilvl w:val="0"/>
          <w:numId w:val="3"/>
        </w:numPr>
        <w:spacing w:before="240"/>
        <w:jc w:val="both"/>
        <w:rPr>
          <w:rFonts w:ascii="Book Antiqua" w:hAnsi="Book Antiqua" w:cs="Arial"/>
        </w:rPr>
      </w:pPr>
      <w:r>
        <w:rPr>
          <w:rFonts w:ascii="Book Antiqua" w:hAnsi="Book Antiqua" w:cs="Arial"/>
        </w:rPr>
        <w:t>On behalf of the Claimant M</w:t>
      </w:r>
      <w:r w:rsidR="00510AB9">
        <w:rPr>
          <w:rFonts w:ascii="Book Antiqua" w:hAnsi="Book Antiqua" w:cs="Arial"/>
        </w:rPr>
        <w:t>is</w:t>
      </w:r>
      <w:r>
        <w:rPr>
          <w:rFonts w:ascii="Book Antiqua" w:hAnsi="Book Antiqua" w:cs="Arial"/>
        </w:rPr>
        <w:t xml:space="preserve">s </w:t>
      </w:r>
      <w:proofErr w:type="spellStart"/>
      <w:r>
        <w:rPr>
          <w:rFonts w:ascii="Book Antiqua" w:hAnsi="Book Antiqua" w:cs="Arial"/>
        </w:rPr>
        <w:t>Tabassum</w:t>
      </w:r>
      <w:proofErr w:type="spellEnd"/>
      <w:r>
        <w:rPr>
          <w:rFonts w:ascii="Book Antiqua" w:hAnsi="Book Antiqua" w:cs="Arial"/>
        </w:rPr>
        <w:t xml:space="preserve"> emphasised that </w:t>
      </w:r>
      <w:r w:rsidRPr="00BD246F">
        <w:rPr>
          <w:rFonts w:ascii="Book Antiqua" w:hAnsi="Book Antiqua" w:cs="Arial"/>
          <w:u w:val="single"/>
        </w:rPr>
        <w:t>AS</w:t>
      </w:r>
      <w:r>
        <w:rPr>
          <w:rFonts w:ascii="Book Antiqua" w:hAnsi="Book Antiqua" w:cs="Arial"/>
        </w:rPr>
        <w:t xml:space="preserve"> (Iran) had not been relied upon.  In any event evidence from the pastor of the Claimant’s church confirmed that the church is evangelical, and there was evidence within the </w:t>
      </w:r>
      <w:r w:rsidR="00510AB9">
        <w:rPr>
          <w:rFonts w:ascii="Book Antiqua" w:hAnsi="Book Antiqua" w:cs="Arial"/>
        </w:rPr>
        <w:t>Claim</w:t>
      </w:r>
      <w:r>
        <w:rPr>
          <w:rFonts w:ascii="Book Antiqua" w:hAnsi="Book Antiqua" w:cs="Arial"/>
        </w:rPr>
        <w:t>ant’s bundle which showed that he openly wished to practise his faith, as he had made Facebook posts in relation to his Christian belief.</w:t>
      </w:r>
    </w:p>
    <w:p w:rsidR="003A7393" w:rsidRDefault="003A7393" w:rsidP="005E5DFF">
      <w:pPr>
        <w:numPr>
          <w:ilvl w:val="0"/>
          <w:numId w:val="3"/>
        </w:numPr>
        <w:spacing w:before="240"/>
        <w:jc w:val="both"/>
        <w:rPr>
          <w:rFonts w:ascii="Book Antiqua" w:hAnsi="Book Antiqua" w:cs="Arial"/>
        </w:rPr>
      </w:pPr>
      <w:r>
        <w:rPr>
          <w:rFonts w:ascii="Book Antiqua" w:hAnsi="Book Antiqua" w:cs="Arial"/>
        </w:rPr>
        <w:t xml:space="preserve">It was submitted that in relation to credibility, the judge had made appropriate findings and given sustainable reasons.  </w:t>
      </w:r>
    </w:p>
    <w:p w:rsidR="003A7393" w:rsidRPr="003A7393" w:rsidRDefault="003A7393" w:rsidP="003A7393">
      <w:pPr>
        <w:spacing w:before="240"/>
        <w:jc w:val="both"/>
        <w:rPr>
          <w:rFonts w:ascii="Book Antiqua" w:hAnsi="Book Antiqua" w:cs="Arial"/>
          <w:b/>
        </w:rPr>
      </w:pPr>
      <w:r w:rsidRPr="003A7393">
        <w:rPr>
          <w:rFonts w:ascii="Book Antiqua" w:hAnsi="Book Antiqua" w:cs="Arial"/>
          <w:b/>
        </w:rPr>
        <w:t>My Conclusions and Reasons</w:t>
      </w:r>
    </w:p>
    <w:p w:rsidR="003A7393" w:rsidRDefault="003A7393" w:rsidP="005E5DFF">
      <w:pPr>
        <w:numPr>
          <w:ilvl w:val="0"/>
          <w:numId w:val="3"/>
        </w:numPr>
        <w:spacing w:before="240"/>
        <w:jc w:val="both"/>
        <w:rPr>
          <w:rFonts w:ascii="Book Antiqua" w:hAnsi="Book Antiqua" w:cs="Arial"/>
        </w:rPr>
      </w:pPr>
      <w:r>
        <w:rPr>
          <w:rFonts w:ascii="Book Antiqua" w:hAnsi="Book Antiqua" w:cs="Arial"/>
        </w:rPr>
        <w:t>Dealing first with the challenge to credibility, I find no material error of law.  In my view it cannot fairly be said that the judge failed to take into account her own adverse credibility findings.  I find no substance to the submission that the judge did not consider the evidence in the round or holistically.</w:t>
      </w:r>
    </w:p>
    <w:p w:rsidR="003A7393" w:rsidRDefault="003A7393" w:rsidP="005E5DFF">
      <w:pPr>
        <w:numPr>
          <w:ilvl w:val="0"/>
          <w:numId w:val="3"/>
        </w:numPr>
        <w:spacing w:before="240"/>
        <w:jc w:val="both"/>
        <w:rPr>
          <w:rFonts w:ascii="Book Antiqua" w:hAnsi="Book Antiqua" w:cs="Arial"/>
        </w:rPr>
      </w:pPr>
      <w:r>
        <w:rPr>
          <w:rFonts w:ascii="Book Antiqua" w:hAnsi="Book Antiqua" w:cs="Arial"/>
        </w:rPr>
        <w:t>The judge was clearly aware of her own adverse credibility findings when considering whether or not the conversion to Christianity was genuine.</w:t>
      </w:r>
    </w:p>
    <w:p w:rsidR="003A7393" w:rsidRDefault="003A7393" w:rsidP="005E5DFF">
      <w:pPr>
        <w:numPr>
          <w:ilvl w:val="0"/>
          <w:numId w:val="3"/>
        </w:numPr>
        <w:spacing w:before="240"/>
        <w:jc w:val="both"/>
        <w:rPr>
          <w:rFonts w:ascii="Book Antiqua" w:hAnsi="Book Antiqua" w:cs="Arial"/>
        </w:rPr>
      </w:pPr>
      <w:r>
        <w:rPr>
          <w:rFonts w:ascii="Book Antiqua" w:hAnsi="Book Antiqua" w:cs="Arial"/>
        </w:rPr>
        <w:t>The judge at paragraph 25 took into account</w:t>
      </w:r>
      <w:r w:rsidR="00AA1B82">
        <w:rPr>
          <w:rFonts w:ascii="Book Antiqua" w:hAnsi="Book Antiqua" w:cs="Arial"/>
        </w:rPr>
        <w:t xml:space="preserve"> the</w:t>
      </w:r>
      <w:r>
        <w:rPr>
          <w:rFonts w:ascii="Book Antiqua" w:hAnsi="Book Antiqua" w:cs="Arial"/>
        </w:rPr>
        <w:t xml:space="preserve"> points made in the refusal decision, in that it was accepted that the Claimant had a basic knowledge of Christianity, but that he did not know when Jesus was born or what religion Jesus was, and he had been unable to provide any information about Luke.  He had not yet been baptised. </w:t>
      </w:r>
    </w:p>
    <w:p w:rsidR="003A7393" w:rsidRDefault="003A7393" w:rsidP="005E5DFF">
      <w:pPr>
        <w:numPr>
          <w:ilvl w:val="0"/>
          <w:numId w:val="3"/>
        </w:numPr>
        <w:spacing w:before="240"/>
        <w:jc w:val="both"/>
        <w:rPr>
          <w:rFonts w:ascii="Book Antiqua" w:hAnsi="Book Antiqua" w:cs="Arial"/>
        </w:rPr>
      </w:pPr>
      <w:r>
        <w:rPr>
          <w:rFonts w:ascii="Book Antiqua" w:hAnsi="Book Antiqua" w:cs="Arial"/>
        </w:rPr>
        <w:t xml:space="preserve">The judge took into account and placed weight upon the evidence from Pastor Grey, who confirmed that the church was cautious about baptism, and that he personally had not baptised anyone who had not been granted leave to remain, and that he did not wish to baptise anyone simply to bolster an asylum claim.  </w:t>
      </w:r>
      <w:proofErr w:type="gramStart"/>
      <w:r>
        <w:rPr>
          <w:rFonts w:ascii="Book Antiqua" w:hAnsi="Book Antiqua" w:cs="Arial"/>
        </w:rPr>
        <w:t>However</w:t>
      </w:r>
      <w:proofErr w:type="gramEnd"/>
      <w:r>
        <w:rPr>
          <w:rFonts w:ascii="Book Antiqua" w:hAnsi="Book Antiqua" w:cs="Arial"/>
        </w:rPr>
        <w:t xml:space="preserve"> the pastor’s opinion of the </w:t>
      </w:r>
      <w:r w:rsidR="00EE31EF">
        <w:rPr>
          <w:rFonts w:ascii="Book Antiqua" w:hAnsi="Book Antiqua" w:cs="Arial"/>
        </w:rPr>
        <w:t>Claim</w:t>
      </w:r>
      <w:r>
        <w:rPr>
          <w:rFonts w:ascii="Book Antiqua" w:hAnsi="Book Antiqua" w:cs="Arial"/>
        </w:rPr>
        <w:t xml:space="preserve">ant, even though he had not been baptised, was that his interest in Christianity is genuine. </w:t>
      </w:r>
    </w:p>
    <w:p w:rsidR="003A7393" w:rsidRDefault="003A7393" w:rsidP="005E5DFF">
      <w:pPr>
        <w:numPr>
          <w:ilvl w:val="0"/>
          <w:numId w:val="3"/>
        </w:numPr>
        <w:spacing w:before="240"/>
        <w:jc w:val="both"/>
        <w:rPr>
          <w:rFonts w:ascii="Book Antiqua" w:hAnsi="Book Antiqua" w:cs="Arial"/>
        </w:rPr>
      </w:pPr>
      <w:r>
        <w:rPr>
          <w:rFonts w:ascii="Book Antiqua" w:hAnsi="Book Antiqua" w:cs="Arial"/>
        </w:rPr>
        <w:t xml:space="preserve">The judge in fact found the pastor’s evidence to be somewhat contradictory, describing the </w:t>
      </w:r>
      <w:r w:rsidR="00E011DB">
        <w:rPr>
          <w:rFonts w:ascii="Book Antiqua" w:hAnsi="Book Antiqua" w:cs="Arial"/>
        </w:rPr>
        <w:t>Claim</w:t>
      </w:r>
      <w:r>
        <w:rPr>
          <w:rFonts w:ascii="Book Antiqua" w:hAnsi="Book Antiqua" w:cs="Arial"/>
        </w:rPr>
        <w:t xml:space="preserve">ant as genuinely motivated in Christianity on one hand, but on the other hand refusing to baptise him until he had leave to remain, which may indicate some doubt.  </w:t>
      </w:r>
    </w:p>
    <w:p w:rsidR="003A7393" w:rsidRDefault="003A7393" w:rsidP="005E5DFF">
      <w:pPr>
        <w:numPr>
          <w:ilvl w:val="0"/>
          <w:numId w:val="3"/>
        </w:numPr>
        <w:spacing w:before="240"/>
        <w:jc w:val="both"/>
        <w:rPr>
          <w:rFonts w:ascii="Book Antiqua" w:hAnsi="Book Antiqua" w:cs="Arial"/>
        </w:rPr>
      </w:pPr>
      <w:proofErr w:type="gramStart"/>
      <w:r>
        <w:rPr>
          <w:rFonts w:ascii="Book Antiqua" w:hAnsi="Book Antiqua" w:cs="Arial"/>
        </w:rPr>
        <w:t>However</w:t>
      </w:r>
      <w:proofErr w:type="gramEnd"/>
      <w:r w:rsidR="00AE6767">
        <w:rPr>
          <w:rFonts w:ascii="Book Antiqua" w:hAnsi="Book Antiqua" w:cs="Arial"/>
        </w:rPr>
        <w:t xml:space="preserve"> </w:t>
      </w:r>
      <w:r>
        <w:rPr>
          <w:rFonts w:ascii="Book Antiqua" w:hAnsi="Book Antiqua" w:cs="Arial"/>
        </w:rPr>
        <w:t xml:space="preserve">the judge also takes into account the </w:t>
      </w:r>
      <w:r w:rsidR="009A0838">
        <w:rPr>
          <w:rFonts w:ascii="Book Antiqua" w:hAnsi="Book Antiqua" w:cs="Arial"/>
        </w:rPr>
        <w:t>Claim</w:t>
      </w:r>
      <w:r>
        <w:rPr>
          <w:rFonts w:ascii="Book Antiqua" w:hAnsi="Book Antiqua" w:cs="Arial"/>
        </w:rPr>
        <w:t>ant’s attendance at church and the length of time that he has been attending, and although he failed to answer some questions in relation to Christianity when interviewed, he was also able to</w:t>
      </w:r>
      <w:r w:rsidR="00AE6767">
        <w:rPr>
          <w:rFonts w:ascii="Book Antiqua" w:hAnsi="Book Antiqua" w:cs="Arial"/>
        </w:rPr>
        <w:t xml:space="preserve"> correctly</w:t>
      </w:r>
      <w:r>
        <w:rPr>
          <w:rFonts w:ascii="Book Antiqua" w:hAnsi="Book Antiqua" w:cs="Arial"/>
        </w:rPr>
        <w:t xml:space="preserve"> answer a significant number of questions.  The judge expressly states that she has considered the evidence in the round and clearly has.  I find no material error in her </w:t>
      </w:r>
      <w:r>
        <w:rPr>
          <w:rFonts w:ascii="Book Antiqua" w:hAnsi="Book Antiqua" w:cs="Arial"/>
        </w:rPr>
        <w:lastRenderedPageBreak/>
        <w:t>conclusion that the</w:t>
      </w:r>
      <w:r w:rsidR="00AE6767">
        <w:rPr>
          <w:rFonts w:ascii="Book Antiqua" w:hAnsi="Book Antiqua" w:cs="Arial"/>
        </w:rPr>
        <w:t xml:space="preserve"> Claim</w:t>
      </w:r>
      <w:r>
        <w:rPr>
          <w:rFonts w:ascii="Book Antiqua" w:hAnsi="Book Antiqua" w:cs="Arial"/>
        </w:rPr>
        <w:t xml:space="preserve">ant has genuinely converted.  That is </w:t>
      </w:r>
      <w:r w:rsidR="002745F7">
        <w:rPr>
          <w:rFonts w:ascii="Book Antiqua" w:hAnsi="Book Antiqua" w:cs="Arial"/>
        </w:rPr>
        <w:t xml:space="preserve">a </w:t>
      </w:r>
      <w:r>
        <w:rPr>
          <w:rFonts w:ascii="Book Antiqua" w:hAnsi="Book Antiqua" w:cs="Arial"/>
        </w:rPr>
        <w:t>finding open to her on the evidence.  I do not find that it can be described as perverse or irrational.</w:t>
      </w:r>
    </w:p>
    <w:p w:rsidR="003A7393" w:rsidRDefault="003A7393" w:rsidP="005E5DFF">
      <w:pPr>
        <w:numPr>
          <w:ilvl w:val="0"/>
          <w:numId w:val="3"/>
        </w:numPr>
        <w:spacing w:before="240"/>
        <w:jc w:val="both"/>
        <w:rPr>
          <w:rFonts w:ascii="Book Antiqua" w:hAnsi="Book Antiqua" w:cs="Arial"/>
        </w:rPr>
      </w:pPr>
      <w:r>
        <w:rPr>
          <w:rFonts w:ascii="Book Antiqua" w:hAnsi="Book Antiqua" w:cs="Arial"/>
        </w:rPr>
        <w:t xml:space="preserve">The challenge by the Secretary of State on this issue amounts to a disagreement and does not disclose an error of law.  </w:t>
      </w:r>
    </w:p>
    <w:p w:rsidR="003A7393" w:rsidRDefault="003A7393" w:rsidP="005E5DFF">
      <w:pPr>
        <w:numPr>
          <w:ilvl w:val="0"/>
          <w:numId w:val="3"/>
        </w:numPr>
        <w:spacing w:before="240"/>
        <w:jc w:val="both"/>
        <w:rPr>
          <w:rFonts w:ascii="Book Antiqua" w:hAnsi="Book Antiqua" w:cs="Arial"/>
        </w:rPr>
      </w:pPr>
      <w:r>
        <w:rPr>
          <w:rFonts w:ascii="Book Antiqua" w:hAnsi="Book Antiqua" w:cs="Arial"/>
        </w:rPr>
        <w:t xml:space="preserve">I find no merit in the Secretary of State’s reliance upon </w:t>
      </w:r>
      <w:r w:rsidRPr="00092608">
        <w:rPr>
          <w:rFonts w:ascii="Book Antiqua" w:hAnsi="Book Antiqua" w:cs="Arial"/>
          <w:u w:val="single"/>
        </w:rPr>
        <w:t>AS</w:t>
      </w:r>
      <w:r>
        <w:rPr>
          <w:rFonts w:ascii="Book Antiqua" w:hAnsi="Book Antiqua" w:cs="Arial"/>
        </w:rPr>
        <w:t xml:space="preserve"> (Iran).  It is common ground that there was no reference to this decision when refusing the application for asylum, and there was no reference to this decision before the FTT.  I accept the submission made on behalf of the Claimant </w:t>
      </w:r>
      <w:r w:rsidR="0045214A">
        <w:rPr>
          <w:rFonts w:ascii="Book Antiqua" w:hAnsi="Book Antiqua" w:cs="Arial"/>
        </w:rPr>
        <w:t>that</w:t>
      </w:r>
      <w:r>
        <w:rPr>
          <w:rFonts w:ascii="Book Antiqua" w:hAnsi="Book Antiqua" w:cs="Arial"/>
        </w:rPr>
        <w:t xml:space="preserve"> it was therefore not surprising </w:t>
      </w:r>
      <w:r w:rsidR="005B6100">
        <w:rPr>
          <w:rFonts w:ascii="Book Antiqua" w:hAnsi="Book Antiqua" w:cs="Arial"/>
        </w:rPr>
        <w:t xml:space="preserve">that </w:t>
      </w:r>
      <w:r>
        <w:rPr>
          <w:rFonts w:ascii="Book Antiqua" w:hAnsi="Book Antiqua" w:cs="Arial"/>
        </w:rPr>
        <w:t xml:space="preserve">the judge did not refer to </w:t>
      </w:r>
      <w:r w:rsidRPr="00FB29B3">
        <w:rPr>
          <w:rFonts w:ascii="Book Antiqua" w:hAnsi="Book Antiqua" w:cs="Arial"/>
          <w:u w:val="single"/>
        </w:rPr>
        <w:t>AS</w:t>
      </w:r>
      <w:r>
        <w:rPr>
          <w:rFonts w:ascii="Book Antiqua" w:hAnsi="Book Antiqua" w:cs="Arial"/>
        </w:rPr>
        <w:t xml:space="preserve"> (Iran) as neither party had made any submissions upon it.</w:t>
      </w:r>
    </w:p>
    <w:p w:rsidR="003A7393" w:rsidRDefault="003A7393" w:rsidP="005E5DFF">
      <w:pPr>
        <w:numPr>
          <w:ilvl w:val="0"/>
          <w:numId w:val="3"/>
        </w:numPr>
        <w:spacing w:before="240"/>
        <w:jc w:val="both"/>
        <w:rPr>
          <w:rFonts w:ascii="Book Antiqua" w:hAnsi="Book Antiqua" w:cs="Arial"/>
        </w:rPr>
      </w:pPr>
      <w:r>
        <w:rPr>
          <w:rFonts w:ascii="Book Antiqua" w:hAnsi="Book Antiqua" w:cs="Arial"/>
        </w:rPr>
        <w:t xml:space="preserve">I also accept the submission made on behalf of the Claimant that he can in fact be distinguished from the Appellant in </w:t>
      </w:r>
      <w:r w:rsidRPr="009661D1">
        <w:rPr>
          <w:rFonts w:ascii="Book Antiqua" w:hAnsi="Book Antiqua" w:cs="Arial"/>
          <w:u w:val="single"/>
        </w:rPr>
        <w:t>AS</w:t>
      </w:r>
      <w:r>
        <w:rPr>
          <w:rFonts w:ascii="Book Antiqua" w:hAnsi="Book Antiqua" w:cs="Arial"/>
        </w:rPr>
        <w:t xml:space="preserve"> (Iran)</w:t>
      </w:r>
      <w:r w:rsidR="0020272B">
        <w:rPr>
          <w:rFonts w:ascii="Book Antiqua" w:hAnsi="Book Antiqua" w:cs="Arial"/>
        </w:rPr>
        <w:t xml:space="preserve"> who</w:t>
      </w:r>
      <w:r>
        <w:rPr>
          <w:rFonts w:ascii="Book Antiqua" w:hAnsi="Book Antiqua" w:cs="Arial"/>
        </w:rPr>
        <w:t xml:space="preserve"> was found not to evangelise or proselytise and who regarded her religion as a personal matter and who had sought no public expression of her Christianity.</w:t>
      </w:r>
      <w:r w:rsidR="009F6156">
        <w:rPr>
          <w:rFonts w:ascii="Book Antiqua" w:hAnsi="Book Antiqua" w:cs="Arial"/>
        </w:rPr>
        <w:t xml:space="preserve">  At paragraph 42 of </w:t>
      </w:r>
      <w:r w:rsidR="009F6156" w:rsidRPr="009661D1">
        <w:rPr>
          <w:rFonts w:ascii="Book Antiqua" w:hAnsi="Book Antiqua" w:cs="Arial"/>
          <w:u w:val="single"/>
        </w:rPr>
        <w:t>AS</w:t>
      </w:r>
      <w:r w:rsidR="009F6156">
        <w:rPr>
          <w:rFonts w:ascii="Book Antiqua" w:hAnsi="Book Antiqua" w:cs="Arial"/>
        </w:rPr>
        <w:t xml:space="preserve"> (Iran) it was found that the situation might be different if the Appellant in that case was a member of </w:t>
      </w:r>
      <w:r w:rsidR="00F227A4">
        <w:rPr>
          <w:rFonts w:ascii="Book Antiqua" w:hAnsi="Book Antiqua" w:cs="Arial"/>
        </w:rPr>
        <w:t xml:space="preserve">a </w:t>
      </w:r>
      <w:r w:rsidR="009F6156">
        <w:rPr>
          <w:rFonts w:ascii="Book Antiqua" w:hAnsi="Book Antiqua" w:cs="Arial"/>
        </w:rPr>
        <w:t xml:space="preserve">Christian denomination which taught that active evangelising </w:t>
      </w:r>
      <w:r w:rsidR="00570F18">
        <w:rPr>
          <w:rFonts w:ascii="Book Antiqua" w:hAnsi="Book Antiqua" w:cs="Arial"/>
        </w:rPr>
        <w:t>was a duty.</w:t>
      </w:r>
    </w:p>
    <w:p w:rsidR="00570F18" w:rsidRDefault="00570F18" w:rsidP="005E5DFF">
      <w:pPr>
        <w:numPr>
          <w:ilvl w:val="0"/>
          <w:numId w:val="3"/>
        </w:numPr>
        <w:spacing w:before="240"/>
        <w:jc w:val="both"/>
        <w:rPr>
          <w:rFonts w:ascii="Book Antiqua" w:hAnsi="Book Antiqua" w:cs="Arial"/>
        </w:rPr>
      </w:pPr>
      <w:r>
        <w:rPr>
          <w:rFonts w:ascii="Book Antiqua" w:hAnsi="Book Antiqua" w:cs="Arial"/>
        </w:rPr>
        <w:t xml:space="preserve">The evidence in this case is that the Claimant has joined an evangelical church.  This is confirmed by the pastor in his e-mail statement at page 22 of the </w:t>
      </w:r>
      <w:r w:rsidR="0038086D">
        <w:rPr>
          <w:rFonts w:ascii="Book Antiqua" w:hAnsi="Book Antiqua" w:cs="Arial"/>
        </w:rPr>
        <w:t>Claim</w:t>
      </w:r>
      <w:r>
        <w:rPr>
          <w:rFonts w:ascii="Book Antiqua" w:hAnsi="Book Antiqua" w:cs="Arial"/>
        </w:rPr>
        <w:t xml:space="preserve">ant’s bundle in which he confirms his church as “an Evangelical Reformed Baptist Church.”  In </w:t>
      </w:r>
      <w:proofErr w:type="gramStart"/>
      <w:r>
        <w:rPr>
          <w:rFonts w:ascii="Book Antiqua" w:hAnsi="Book Antiqua" w:cs="Arial"/>
        </w:rPr>
        <w:t>addition</w:t>
      </w:r>
      <w:proofErr w:type="gramEnd"/>
      <w:r>
        <w:rPr>
          <w:rFonts w:ascii="Book Antiqua" w:hAnsi="Book Antiqua" w:cs="Arial"/>
        </w:rPr>
        <w:t xml:space="preserve"> I accept that within the bundle are various Facebook posts, which the Claimant has made, and which refer to his Christian faith an</w:t>
      </w:r>
      <w:r w:rsidR="00D944C5">
        <w:rPr>
          <w:rFonts w:ascii="Book Antiqua" w:hAnsi="Book Antiqua" w:cs="Arial"/>
        </w:rPr>
        <w:t>d which indicate the e</w:t>
      </w:r>
      <w:r>
        <w:rPr>
          <w:rFonts w:ascii="Book Antiqua" w:hAnsi="Book Antiqua" w:cs="Arial"/>
        </w:rPr>
        <w:t xml:space="preserve">vangelical nature of that faith. </w:t>
      </w:r>
    </w:p>
    <w:p w:rsidR="00570F18" w:rsidRPr="00570F18" w:rsidRDefault="00570F18" w:rsidP="00570F18">
      <w:pPr>
        <w:numPr>
          <w:ilvl w:val="0"/>
          <w:numId w:val="3"/>
        </w:numPr>
        <w:spacing w:before="240"/>
        <w:jc w:val="both"/>
        <w:rPr>
          <w:rFonts w:ascii="Book Antiqua" w:hAnsi="Book Antiqua" w:cs="Arial"/>
        </w:rPr>
      </w:pPr>
      <w:r>
        <w:rPr>
          <w:rFonts w:ascii="Book Antiqua" w:hAnsi="Book Antiqua" w:cs="Arial"/>
        </w:rPr>
        <w:t xml:space="preserve">I conclude that the judge did not materially err in law.  </w:t>
      </w:r>
    </w:p>
    <w:p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Th</w:t>
      </w:r>
      <w:r w:rsidR="00570F18">
        <w:rPr>
          <w:rFonts w:ascii="Book Antiqua" w:hAnsi="Book Antiqua" w:cs="Arial"/>
        </w:rPr>
        <w:t>e FTT decision does not disclose a material error of law.  I do not set aside the FTT decision.  The appeal of the Secretary of State is dismissed.</w:t>
      </w:r>
    </w:p>
    <w:p w:rsidR="00F13D39" w:rsidRDefault="00F13D39" w:rsidP="00F13D39">
      <w:pPr>
        <w:jc w:val="both"/>
        <w:rPr>
          <w:rFonts w:ascii="Book Antiqua" w:hAnsi="Book Antiqua" w:cs="Arial"/>
        </w:rPr>
      </w:pPr>
    </w:p>
    <w:p w:rsidR="00570F18" w:rsidRPr="00570F18" w:rsidRDefault="00570F18" w:rsidP="00F13D39">
      <w:pPr>
        <w:jc w:val="both"/>
        <w:rPr>
          <w:rFonts w:ascii="Book Antiqua" w:hAnsi="Book Antiqua" w:cs="Arial"/>
          <w:b/>
        </w:rPr>
      </w:pPr>
      <w:r w:rsidRPr="00570F18">
        <w:rPr>
          <w:rFonts w:ascii="Book Antiqua" w:hAnsi="Book Antiqua" w:cs="Arial"/>
          <w:b/>
        </w:rPr>
        <w:t>Anonymity</w:t>
      </w:r>
    </w:p>
    <w:p w:rsidR="00F13D39" w:rsidRPr="00F13D39" w:rsidRDefault="00F13D39" w:rsidP="00F13D39">
      <w:pPr>
        <w:jc w:val="both"/>
        <w:rPr>
          <w:rFonts w:ascii="Book Antiqua" w:hAnsi="Book Antiqua" w:cs="Arial"/>
        </w:rPr>
      </w:pPr>
    </w:p>
    <w:p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 xml:space="preserve">until a Tribunal or court </w:t>
      </w:r>
      <w:r w:rsidR="00570F18">
        <w:rPr>
          <w:rFonts w:ascii="Book Antiqua" w:hAnsi="Book Antiqua"/>
        </w:rPr>
        <w:t>directs otherwise, the Claimant</w:t>
      </w:r>
      <w:r w:rsidRPr="00F13D39">
        <w:rPr>
          <w:rFonts w:ascii="Book Antiqua" w:hAnsi="Book Antiqua"/>
        </w:rPr>
        <w:t xml:space="preserve"> is granted anonymity.  No report of these proceedings shall directly or indirectly ide</w:t>
      </w:r>
      <w:r w:rsidR="00570F18">
        <w:rPr>
          <w:rFonts w:ascii="Book Antiqua" w:hAnsi="Book Antiqua"/>
        </w:rPr>
        <w:t>ntify him or any member of his</w:t>
      </w:r>
      <w:r w:rsidRPr="00F13D39">
        <w:rPr>
          <w:rFonts w:ascii="Book Antiqua" w:hAnsi="Book Antiqua"/>
        </w:rPr>
        <w:t xml:space="preserve"> family.  This direct</w:t>
      </w:r>
      <w:r w:rsidR="00570F18">
        <w:rPr>
          <w:rFonts w:ascii="Book Antiqua" w:hAnsi="Book Antiqua"/>
        </w:rPr>
        <w:t>ion applies both to the Claimant and to the Secretary of State</w:t>
      </w:r>
      <w:r w:rsidRPr="00F13D39">
        <w:rPr>
          <w:rFonts w:ascii="Book Antiqua" w:hAnsi="Book Antiqua"/>
        </w:rPr>
        <w:t>.  Failure to comply with this direction could lead to contempt of court proceedings.</w:t>
      </w:r>
      <w:r w:rsidR="00570F18">
        <w:rPr>
          <w:rFonts w:ascii="Book Antiqua" w:hAnsi="Book Antiqua"/>
        </w:rPr>
        <w:t xml:space="preserve">  This direction is made pursuant to Rule 14 of the Tribunal Procedure (Upper Tribunal) Rules 2008 and is made because the Claimant has made a claim for international protection.  </w:t>
      </w:r>
    </w:p>
    <w:p w:rsidR="000369F5" w:rsidRPr="00F5664C" w:rsidRDefault="000369F5" w:rsidP="000369F5">
      <w:pPr>
        <w:tabs>
          <w:tab w:val="left" w:pos="2520"/>
        </w:tabs>
        <w:jc w:val="both"/>
        <w:rPr>
          <w:rFonts w:ascii="Book Antiqua" w:hAnsi="Book Antiqua" w:cs="Arial"/>
        </w:rPr>
      </w:pPr>
    </w:p>
    <w:p w:rsidR="00560194" w:rsidRPr="00F5664C" w:rsidRDefault="00560194"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1B5FA5">
        <w:rPr>
          <w:rFonts w:ascii="Book Antiqua" w:hAnsi="Book Antiqua" w:cs="Arial"/>
        </w:rPr>
        <w:t xml:space="preserve"> 10</w:t>
      </w:r>
      <w:r w:rsidR="001B5FA5" w:rsidRPr="001B5FA5">
        <w:rPr>
          <w:rFonts w:ascii="Book Antiqua" w:hAnsi="Book Antiqua" w:cs="Arial"/>
          <w:vertAlign w:val="superscript"/>
        </w:rPr>
        <w:t>th</w:t>
      </w:r>
      <w:r w:rsidR="001B5FA5">
        <w:rPr>
          <w:rFonts w:ascii="Book Antiqua" w:hAnsi="Book Antiqua" w:cs="Arial"/>
        </w:rPr>
        <w:t xml:space="preserve"> July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1D45DF" w:rsidRDefault="001D45DF" w:rsidP="00F13D39">
      <w:pPr>
        <w:jc w:val="both"/>
        <w:rPr>
          <w:rFonts w:ascii="Book Antiqua" w:hAnsi="Book Antiqua" w:cs="Arial"/>
          <w:b/>
        </w:rPr>
      </w:pPr>
    </w:p>
    <w:p w:rsidR="001D45DF" w:rsidRDefault="001D45DF" w:rsidP="00F13D39">
      <w:pPr>
        <w:jc w:val="both"/>
        <w:rPr>
          <w:rFonts w:ascii="Book Antiqua" w:hAnsi="Book Antiqua" w:cs="Arial"/>
          <w:b/>
        </w:rPr>
      </w:pPr>
    </w:p>
    <w:p w:rsidR="001D45DF" w:rsidRDefault="001D45DF" w:rsidP="00F13D39">
      <w:pPr>
        <w:jc w:val="both"/>
        <w:rPr>
          <w:rFonts w:ascii="Book Antiqua" w:hAnsi="Book Antiqua" w:cs="Arial"/>
          <w:b/>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Default="00F13D39" w:rsidP="00F13D39">
      <w:pPr>
        <w:jc w:val="both"/>
        <w:rPr>
          <w:rFonts w:ascii="Book Antiqua" w:hAnsi="Book Antiqua" w:cs="Arial"/>
        </w:rPr>
      </w:pPr>
    </w:p>
    <w:p w:rsidR="00F13D39" w:rsidRDefault="00BD5E28" w:rsidP="00F13D39">
      <w:pPr>
        <w:jc w:val="both"/>
        <w:rPr>
          <w:rFonts w:ascii="Book Antiqua" w:hAnsi="Book Antiqua" w:cs="Arial"/>
        </w:rPr>
      </w:pPr>
      <w:r>
        <w:rPr>
          <w:rFonts w:ascii="Book Antiqua" w:hAnsi="Book Antiqua" w:cs="Arial"/>
        </w:rPr>
        <w:t xml:space="preserve">Because the decision of the FTT stands, so does the decision to make a fee award of any fee which has been paid or is payable.  </w:t>
      </w:r>
    </w:p>
    <w:p w:rsidR="00F13D39" w:rsidRDefault="00F13D39" w:rsidP="00F13D39">
      <w:pPr>
        <w:jc w:val="both"/>
        <w:rPr>
          <w:rFonts w:ascii="Book Antiqua" w:hAnsi="Book Antiqua" w:cs="Arial"/>
        </w:rPr>
      </w:pPr>
    </w:p>
    <w:p w:rsidR="002C3916" w:rsidRDefault="002C3916"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BD5E28">
        <w:rPr>
          <w:rFonts w:ascii="Book Antiqua" w:hAnsi="Book Antiqua" w:cs="Arial"/>
        </w:rPr>
        <w:t xml:space="preserve"> 10</w:t>
      </w:r>
      <w:r w:rsidR="00BD5E28" w:rsidRPr="00BD5E28">
        <w:rPr>
          <w:rFonts w:ascii="Book Antiqua" w:hAnsi="Book Antiqua" w:cs="Arial"/>
          <w:vertAlign w:val="superscript"/>
        </w:rPr>
        <w:t>th</w:t>
      </w:r>
      <w:r w:rsidR="00BD5E28">
        <w:rPr>
          <w:rFonts w:ascii="Book Antiqua" w:hAnsi="Book Antiqua" w:cs="Arial"/>
        </w:rPr>
        <w:t xml:space="preserve"> July 2018</w:t>
      </w:r>
    </w:p>
    <w:p w:rsidR="00F13D39" w:rsidRPr="00F5664C" w:rsidRDefault="00F13D39" w:rsidP="00F13D39">
      <w:pPr>
        <w:tabs>
          <w:tab w:val="left" w:pos="2520"/>
        </w:tabs>
        <w:jc w:val="both"/>
        <w:rPr>
          <w:rFonts w:ascii="Book Antiqua" w:hAnsi="Book Antiqua" w:cs="Arial"/>
        </w:rPr>
      </w:pPr>
    </w:p>
    <w:p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C321B5"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A4A" w:rsidRDefault="008D0A4A">
      <w:r>
        <w:separator/>
      </w:r>
    </w:p>
  </w:endnote>
  <w:endnote w:type="continuationSeparator" w:id="0">
    <w:p w:rsidR="008D0A4A" w:rsidRDefault="008D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0065A">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A4A" w:rsidRDefault="008D0A4A">
      <w:r>
        <w:separator/>
      </w:r>
    </w:p>
  </w:footnote>
  <w:footnote w:type="continuationSeparator" w:id="0">
    <w:p w:rsidR="008D0A4A" w:rsidRDefault="008D0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0731E6">
      <w:rPr>
        <w:rFonts w:ascii="Book Antiqua" w:hAnsi="Book Antiqua" w:cs="Arial"/>
        <w:sz w:val="16"/>
        <w:szCs w:val="16"/>
      </w:rPr>
      <w:t>PA/13805/2017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E6"/>
    <w:rsid w:val="00000621"/>
    <w:rsid w:val="000036C2"/>
    <w:rsid w:val="00030C00"/>
    <w:rsid w:val="00033D3D"/>
    <w:rsid w:val="000369F5"/>
    <w:rsid w:val="00047F27"/>
    <w:rsid w:val="00071A7E"/>
    <w:rsid w:val="000731E6"/>
    <w:rsid w:val="000746C0"/>
    <w:rsid w:val="00074D1D"/>
    <w:rsid w:val="00092580"/>
    <w:rsid w:val="00092608"/>
    <w:rsid w:val="000D01C9"/>
    <w:rsid w:val="000D5D94"/>
    <w:rsid w:val="000D7163"/>
    <w:rsid w:val="000E0CD7"/>
    <w:rsid w:val="00114F8B"/>
    <w:rsid w:val="001165A7"/>
    <w:rsid w:val="00150991"/>
    <w:rsid w:val="00151BB7"/>
    <w:rsid w:val="00167D3A"/>
    <w:rsid w:val="00183106"/>
    <w:rsid w:val="00195D3C"/>
    <w:rsid w:val="001A1E2C"/>
    <w:rsid w:val="001B5FA5"/>
    <w:rsid w:val="001D45DF"/>
    <w:rsid w:val="001F2716"/>
    <w:rsid w:val="0020133A"/>
    <w:rsid w:val="0020272B"/>
    <w:rsid w:val="00207617"/>
    <w:rsid w:val="00244BC9"/>
    <w:rsid w:val="00255071"/>
    <w:rsid w:val="002745F7"/>
    <w:rsid w:val="00283659"/>
    <w:rsid w:val="002938D6"/>
    <w:rsid w:val="002C3916"/>
    <w:rsid w:val="002C4E73"/>
    <w:rsid w:val="002D68BF"/>
    <w:rsid w:val="002E3F52"/>
    <w:rsid w:val="00336CBF"/>
    <w:rsid w:val="003546C8"/>
    <w:rsid w:val="0038086D"/>
    <w:rsid w:val="003A7393"/>
    <w:rsid w:val="003A7CF2"/>
    <w:rsid w:val="003C49CE"/>
    <w:rsid w:val="003C5CE5"/>
    <w:rsid w:val="003D1FFF"/>
    <w:rsid w:val="003E267B"/>
    <w:rsid w:val="003E7CD1"/>
    <w:rsid w:val="00402B9E"/>
    <w:rsid w:val="00423932"/>
    <w:rsid w:val="004249CB"/>
    <w:rsid w:val="0044127D"/>
    <w:rsid w:val="004448DB"/>
    <w:rsid w:val="00446C9A"/>
    <w:rsid w:val="0045214A"/>
    <w:rsid w:val="00465F8E"/>
    <w:rsid w:val="00477193"/>
    <w:rsid w:val="00480AD0"/>
    <w:rsid w:val="004A1848"/>
    <w:rsid w:val="00500CA4"/>
    <w:rsid w:val="00507FEC"/>
    <w:rsid w:val="00510AB9"/>
    <w:rsid w:val="00510F0E"/>
    <w:rsid w:val="005479E1"/>
    <w:rsid w:val="005570FD"/>
    <w:rsid w:val="005575EA"/>
    <w:rsid w:val="00557965"/>
    <w:rsid w:val="00560194"/>
    <w:rsid w:val="00570F18"/>
    <w:rsid w:val="0057790C"/>
    <w:rsid w:val="00593795"/>
    <w:rsid w:val="00597490"/>
    <w:rsid w:val="005A75FF"/>
    <w:rsid w:val="005B6100"/>
    <w:rsid w:val="005B7789"/>
    <w:rsid w:val="005E5DFF"/>
    <w:rsid w:val="005F7DB4"/>
    <w:rsid w:val="0060065A"/>
    <w:rsid w:val="0065791C"/>
    <w:rsid w:val="00660B0E"/>
    <w:rsid w:val="00663DF1"/>
    <w:rsid w:val="00690B8A"/>
    <w:rsid w:val="006D1DFA"/>
    <w:rsid w:val="006D506B"/>
    <w:rsid w:val="006E3C90"/>
    <w:rsid w:val="00704B61"/>
    <w:rsid w:val="00707DB1"/>
    <w:rsid w:val="007353BB"/>
    <w:rsid w:val="00742A8D"/>
    <w:rsid w:val="00752359"/>
    <w:rsid w:val="007552A9"/>
    <w:rsid w:val="00761858"/>
    <w:rsid w:val="00767D59"/>
    <w:rsid w:val="00776E97"/>
    <w:rsid w:val="00780FD7"/>
    <w:rsid w:val="007912AD"/>
    <w:rsid w:val="007A1F28"/>
    <w:rsid w:val="007A65C0"/>
    <w:rsid w:val="007B0824"/>
    <w:rsid w:val="007C0CD9"/>
    <w:rsid w:val="008303B8"/>
    <w:rsid w:val="00833DCE"/>
    <w:rsid w:val="00842418"/>
    <w:rsid w:val="008634DB"/>
    <w:rsid w:val="00871D34"/>
    <w:rsid w:val="00887842"/>
    <w:rsid w:val="008901DD"/>
    <w:rsid w:val="008A7C46"/>
    <w:rsid w:val="008B270C"/>
    <w:rsid w:val="008C2ED5"/>
    <w:rsid w:val="008C3D3D"/>
    <w:rsid w:val="008D0A4A"/>
    <w:rsid w:val="008D4131"/>
    <w:rsid w:val="008D5128"/>
    <w:rsid w:val="008F1932"/>
    <w:rsid w:val="008F294D"/>
    <w:rsid w:val="00921062"/>
    <w:rsid w:val="0092618D"/>
    <w:rsid w:val="0093083E"/>
    <w:rsid w:val="009661D1"/>
    <w:rsid w:val="00966ECF"/>
    <w:rsid w:val="009727A3"/>
    <w:rsid w:val="00987774"/>
    <w:rsid w:val="009938EE"/>
    <w:rsid w:val="009A0523"/>
    <w:rsid w:val="009A0838"/>
    <w:rsid w:val="009A11E8"/>
    <w:rsid w:val="009A5AC4"/>
    <w:rsid w:val="009D0C2C"/>
    <w:rsid w:val="009E4B87"/>
    <w:rsid w:val="009E4E62"/>
    <w:rsid w:val="009F5220"/>
    <w:rsid w:val="009F6156"/>
    <w:rsid w:val="009F7C4D"/>
    <w:rsid w:val="00A123EF"/>
    <w:rsid w:val="00A15234"/>
    <w:rsid w:val="00A201AB"/>
    <w:rsid w:val="00A31C8B"/>
    <w:rsid w:val="00A75965"/>
    <w:rsid w:val="00A845DC"/>
    <w:rsid w:val="00A90C98"/>
    <w:rsid w:val="00A97AEE"/>
    <w:rsid w:val="00AA1B82"/>
    <w:rsid w:val="00AC5CF6"/>
    <w:rsid w:val="00AE6767"/>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96FA0"/>
    <w:rsid w:val="00BD246F"/>
    <w:rsid w:val="00BD4196"/>
    <w:rsid w:val="00BD5E28"/>
    <w:rsid w:val="00BE31CE"/>
    <w:rsid w:val="00BF22CA"/>
    <w:rsid w:val="00C26032"/>
    <w:rsid w:val="00C265B0"/>
    <w:rsid w:val="00C26D46"/>
    <w:rsid w:val="00C321B5"/>
    <w:rsid w:val="00C345E1"/>
    <w:rsid w:val="00C50009"/>
    <w:rsid w:val="00C977BA"/>
    <w:rsid w:val="00CB6E35"/>
    <w:rsid w:val="00CE1A46"/>
    <w:rsid w:val="00CE26B2"/>
    <w:rsid w:val="00CF253F"/>
    <w:rsid w:val="00CF56B4"/>
    <w:rsid w:val="00D20F09"/>
    <w:rsid w:val="00D22636"/>
    <w:rsid w:val="00D40FD9"/>
    <w:rsid w:val="00D45764"/>
    <w:rsid w:val="00D45A31"/>
    <w:rsid w:val="00D53769"/>
    <w:rsid w:val="00D65912"/>
    <w:rsid w:val="00D85C13"/>
    <w:rsid w:val="00D91BE3"/>
    <w:rsid w:val="00D944C5"/>
    <w:rsid w:val="00D94AFC"/>
    <w:rsid w:val="00DB70AE"/>
    <w:rsid w:val="00DB7231"/>
    <w:rsid w:val="00DC1C00"/>
    <w:rsid w:val="00DD5071"/>
    <w:rsid w:val="00DD5C39"/>
    <w:rsid w:val="00DE26AF"/>
    <w:rsid w:val="00DE7DB7"/>
    <w:rsid w:val="00E00A0A"/>
    <w:rsid w:val="00E011DB"/>
    <w:rsid w:val="00E07F57"/>
    <w:rsid w:val="00E1040E"/>
    <w:rsid w:val="00E50BCE"/>
    <w:rsid w:val="00E61292"/>
    <w:rsid w:val="00E73A32"/>
    <w:rsid w:val="00E76309"/>
    <w:rsid w:val="00E77C4D"/>
    <w:rsid w:val="00E81D01"/>
    <w:rsid w:val="00EC3DB1"/>
    <w:rsid w:val="00EE31EF"/>
    <w:rsid w:val="00EE45D8"/>
    <w:rsid w:val="00F004CD"/>
    <w:rsid w:val="00F13D39"/>
    <w:rsid w:val="00F227A4"/>
    <w:rsid w:val="00F22A22"/>
    <w:rsid w:val="00F22EDA"/>
    <w:rsid w:val="00F3224D"/>
    <w:rsid w:val="00F33E0E"/>
    <w:rsid w:val="00F5664C"/>
    <w:rsid w:val="00FA2560"/>
    <w:rsid w:val="00FB29B3"/>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59D0A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1615</Words>
  <Characters>7757</Characters>
  <Application>Microsoft Office Word</Application>
  <DocSecurity>0</DocSecurity>
  <Lines>64</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2018-08-02T15:13:00Z</dcterms:created>
  <dcterms:modified xsi:type="dcterms:W3CDTF">2018-08-02T15:13:00Z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