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24F" w:rsidRPr="00C4371F" w:rsidRDefault="0051391B" w:rsidP="00A8624F">
      <w:pPr>
        <w:jc w:val="center"/>
        <w:rPr>
          <w:rFonts w:ascii="Book Antiqua" w:hAnsi="Book Antiqua" w:cs="Arial"/>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A8624F" w:rsidRPr="00C4371F" w:rsidRDefault="00A8624F" w:rsidP="00A8624F">
      <w:pPr>
        <w:tabs>
          <w:tab w:val="right" w:pos="9720"/>
        </w:tabs>
        <w:ind w:right="-82"/>
        <w:rPr>
          <w:rFonts w:ascii="Book Antiqua" w:hAnsi="Book Antiqua" w:cs="Arial"/>
          <w:b/>
          <w:color w:val="000000"/>
        </w:rPr>
      </w:pPr>
      <w:r>
        <w:rPr>
          <w:rFonts w:ascii="Book Antiqua" w:hAnsi="Book Antiqua" w:cs="Arial"/>
          <w:b/>
          <w:color w:val="000000"/>
        </w:rPr>
        <w:t>Upper</w:t>
      </w:r>
      <w:r w:rsidRPr="00C4371F">
        <w:rPr>
          <w:rFonts w:ascii="Book Antiqua" w:hAnsi="Book Antiqua" w:cs="Arial"/>
          <w:b/>
          <w:color w:val="000000"/>
        </w:rPr>
        <w:t xml:space="preserve"> Tribunal</w:t>
      </w:r>
    </w:p>
    <w:p w:rsidR="00A8624F" w:rsidRPr="00B772F0" w:rsidRDefault="00A8624F" w:rsidP="00A8624F">
      <w:pPr>
        <w:tabs>
          <w:tab w:val="right" w:pos="9720"/>
        </w:tabs>
        <w:ind w:right="-82"/>
        <w:rPr>
          <w:rFonts w:ascii="Book Antiqua" w:hAnsi="Book Antiqua" w:cs="Arial"/>
          <w:b/>
          <w:caps/>
          <w:color w:val="000000"/>
        </w:rPr>
      </w:pPr>
      <w:r w:rsidRPr="00C4371F">
        <w:rPr>
          <w:rFonts w:ascii="Book Antiqua" w:hAnsi="Book Antiqua" w:cs="Arial"/>
          <w:b/>
          <w:color w:val="000000"/>
        </w:rPr>
        <w:t>(</w:t>
      </w:r>
      <w:r w:rsidR="00B772F0">
        <w:rPr>
          <w:rFonts w:ascii="Book Antiqua" w:hAnsi="Book Antiqua" w:cs="Arial"/>
          <w:b/>
          <w:color w:val="000000"/>
        </w:rPr>
        <w:t xml:space="preserve">Immigration and Asylum </w:t>
      </w:r>
      <w:proofErr w:type="gramStart"/>
      <w:r w:rsidR="00B772F0">
        <w:rPr>
          <w:rFonts w:ascii="Book Antiqua" w:hAnsi="Book Antiqua" w:cs="Arial"/>
          <w:b/>
          <w:color w:val="000000"/>
        </w:rPr>
        <w:t xml:space="preserve">Chamber)   </w:t>
      </w:r>
      <w:proofErr w:type="gramEnd"/>
      <w:r w:rsidR="00B772F0">
        <w:rPr>
          <w:rFonts w:ascii="Book Antiqua" w:hAnsi="Book Antiqua" w:cs="Arial"/>
          <w:b/>
          <w:color w:val="000000"/>
        </w:rPr>
        <w:t xml:space="preserve">                    </w:t>
      </w:r>
      <w:r w:rsidRPr="00B772F0">
        <w:rPr>
          <w:rFonts w:ascii="Book Antiqua" w:hAnsi="Book Antiqua" w:cs="Arial"/>
          <w:b/>
          <w:color w:val="000000"/>
        </w:rPr>
        <w:t xml:space="preserve">Appeal Number: </w:t>
      </w:r>
      <w:r w:rsidRPr="00B772F0">
        <w:rPr>
          <w:rFonts w:ascii="Book Antiqua" w:hAnsi="Book Antiqua" w:cs="Arial"/>
          <w:b/>
          <w:caps/>
          <w:color w:val="000000"/>
        </w:rPr>
        <w:t>PA/14069/2016</w:t>
      </w:r>
    </w:p>
    <w:p w:rsidR="00A8624F" w:rsidRPr="00C4371F" w:rsidRDefault="00A8624F" w:rsidP="00A8624F">
      <w:pPr>
        <w:jc w:val="center"/>
        <w:rPr>
          <w:rFonts w:ascii="Book Antiqua" w:hAnsi="Book Antiqua" w:cs="Arial"/>
          <w:color w:val="000000"/>
        </w:rPr>
      </w:pPr>
    </w:p>
    <w:p w:rsidR="00A8624F" w:rsidRPr="00C4371F" w:rsidRDefault="00A8624F" w:rsidP="00A8624F">
      <w:pPr>
        <w:jc w:val="center"/>
        <w:rPr>
          <w:rFonts w:ascii="Book Antiqua" w:hAnsi="Book Antiqua" w:cs="Arial"/>
          <w:b/>
          <w:color w:val="000000"/>
          <w:u w:val="single"/>
        </w:rPr>
      </w:pPr>
      <w:r w:rsidRPr="00C4371F">
        <w:rPr>
          <w:rFonts w:ascii="Book Antiqua" w:hAnsi="Book Antiqua" w:cs="Arial"/>
          <w:b/>
          <w:color w:val="000000"/>
          <w:u w:val="single"/>
        </w:rPr>
        <w:t>THE IMMIGRATION ACTS</w:t>
      </w:r>
    </w:p>
    <w:p w:rsidR="00A8624F" w:rsidRPr="00C4371F" w:rsidRDefault="00A8624F" w:rsidP="00A8624F">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A8624F" w:rsidRPr="00C4371F" w:rsidTr="00B772F0">
        <w:tc>
          <w:tcPr>
            <w:tcW w:w="5245" w:type="dxa"/>
          </w:tcPr>
          <w:p w:rsidR="00A8624F" w:rsidRPr="00C4371F" w:rsidRDefault="00A8624F" w:rsidP="00A8624F">
            <w:pPr>
              <w:jc w:val="both"/>
              <w:rPr>
                <w:rFonts w:ascii="Book Antiqua" w:hAnsi="Book Antiqua" w:cs="Arial"/>
                <w:b/>
              </w:rPr>
            </w:pPr>
            <w:r w:rsidRPr="00C4371F">
              <w:rPr>
                <w:rFonts w:ascii="Book Antiqua" w:hAnsi="Book Antiqua" w:cs="Arial"/>
                <w:b/>
              </w:rPr>
              <w:t xml:space="preserve">Heard at </w:t>
            </w:r>
            <w:r>
              <w:rPr>
                <w:rFonts w:ascii="Book Antiqua" w:hAnsi="Book Antiqua" w:cs="Arial"/>
                <w:b/>
              </w:rPr>
              <w:t>Field House</w:t>
            </w:r>
          </w:p>
        </w:tc>
        <w:tc>
          <w:tcPr>
            <w:tcW w:w="4763" w:type="dxa"/>
            <w:gridSpan w:val="2"/>
          </w:tcPr>
          <w:p w:rsidR="00A8624F" w:rsidRPr="00C4371F" w:rsidRDefault="00A8624F" w:rsidP="00A8624F">
            <w:pPr>
              <w:jc w:val="both"/>
              <w:rPr>
                <w:rFonts w:ascii="Book Antiqua" w:hAnsi="Book Antiqua" w:cs="Arial"/>
                <w:b/>
                <w:color w:val="000000"/>
              </w:rPr>
            </w:pPr>
            <w:r>
              <w:rPr>
                <w:rFonts w:ascii="Book Antiqua" w:hAnsi="Book Antiqua" w:cs="Arial"/>
                <w:b/>
                <w:color w:val="000000"/>
              </w:rPr>
              <w:t>Decision &amp; Reasons</w:t>
            </w:r>
            <w:r w:rsidRPr="00C4371F">
              <w:rPr>
                <w:rFonts w:ascii="Book Antiqua" w:hAnsi="Book Antiqua" w:cs="Arial"/>
                <w:b/>
                <w:color w:val="000000"/>
              </w:rPr>
              <w:t xml:space="preserve"> Promulgated</w:t>
            </w:r>
          </w:p>
        </w:tc>
      </w:tr>
      <w:tr w:rsidR="00A8624F" w:rsidRPr="00C4371F" w:rsidTr="00B772F0">
        <w:tc>
          <w:tcPr>
            <w:tcW w:w="5245" w:type="dxa"/>
          </w:tcPr>
          <w:p w:rsidR="00A8624F" w:rsidRPr="00C4371F" w:rsidRDefault="00A8624F" w:rsidP="00A8624F">
            <w:pPr>
              <w:jc w:val="both"/>
              <w:rPr>
                <w:rFonts w:ascii="Book Antiqua" w:hAnsi="Book Antiqua" w:cs="Arial"/>
                <w:b/>
              </w:rPr>
            </w:pPr>
            <w:r w:rsidRPr="00C4371F">
              <w:rPr>
                <w:rFonts w:ascii="Book Antiqua" w:hAnsi="Book Antiqua" w:cs="Arial"/>
                <w:b/>
              </w:rPr>
              <w:t xml:space="preserve">On </w:t>
            </w:r>
            <w:r>
              <w:rPr>
                <w:rFonts w:ascii="Book Antiqua" w:hAnsi="Book Antiqua" w:cs="Arial"/>
                <w:b/>
              </w:rPr>
              <w:t>21</w:t>
            </w:r>
            <w:r w:rsidRPr="007608AA">
              <w:rPr>
                <w:rFonts w:ascii="Book Antiqua" w:hAnsi="Book Antiqua" w:cs="Arial"/>
                <w:b/>
                <w:vertAlign w:val="superscript"/>
              </w:rPr>
              <w:t>st</w:t>
            </w:r>
            <w:r>
              <w:rPr>
                <w:rFonts w:ascii="Book Antiqua" w:hAnsi="Book Antiqua" w:cs="Arial"/>
                <w:b/>
              </w:rPr>
              <w:t xml:space="preserve"> December 2017</w:t>
            </w:r>
          </w:p>
        </w:tc>
        <w:tc>
          <w:tcPr>
            <w:tcW w:w="4763" w:type="dxa"/>
            <w:gridSpan w:val="2"/>
          </w:tcPr>
          <w:p w:rsidR="00A8624F" w:rsidRPr="00C4371F" w:rsidRDefault="0051391B" w:rsidP="00A8624F">
            <w:pPr>
              <w:jc w:val="both"/>
              <w:rPr>
                <w:rFonts w:ascii="Book Antiqua" w:hAnsi="Book Antiqua" w:cs="Arial"/>
                <w:b/>
              </w:rPr>
            </w:pPr>
            <w:r>
              <w:rPr>
                <w:rFonts w:ascii="Book Antiqua" w:hAnsi="Book Antiqua" w:cs="Arial"/>
                <w:b/>
              </w:rPr>
              <w:t>On 5</w:t>
            </w:r>
            <w:r w:rsidRPr="0051391B">
              <w:rPr>
                <w:rFonts w:ascii="Book Antiqua" w:hAnsi="Book Antiqua" w:cs="Arial"/>
                <w:b/>
                <w:vertAlign w:val="superscript"/>
              </w:rPr>
              <w:t>th</w:t>
            </w:r>
            <w:r>
              <w:rPr>
                <w:rFonts w:ascii="Book Antiqua" w:hAnsi="Book Antiqua" w:cs="Arial"/>
                <w:b/>
              </w:rPr>
              <w:t xml:space="preserve"> July 2018</w:t>
            </w:r>
          </w:p>
        </w:tc>
      </w:tr>
      <w:tr w:rsidR="00A8624F" w:rsidRPr="00C4371F" w:rsidTr="00A8624F">
        <w:tc>
          <w:tcPr>
            <w:tcW w:w="6048" w:type="dxa"/>
            <w:gridSpan w:val="2"/>
          </w:tcPr>
          <w:p w:rsidR="00A8624F" w:rsidRPr="00C4371F" w:rsidRDefault="00A8624F" w:rsidP="00A8624F">
            <w:pPr>
              <w:jc w:val="both"/>
              <w:rPr>
                <w:rFonts w:ascii="Book Antiqua" w:hAnsi="Book Antiqua" w:cs="Arial"/>
                <w:b/>
              </w:rPr>
            </w:pPr>
          </w:p>
        </w:tc>
        <w:tc>
          <w:tcPr>
            <w:tcW w:w="3960" w:type="dxa"/>
          </w:tcPr>
          <w:p w:rsidR="00A8624F" w:rsidRPr="00C4371F" w:rsidRDefault="00A8624F" w:rsidP="00A8624F">
            <w:pPr>
              <w:jc w:val="both"/>
              <w:rPr>
                <w:rFonts w:ascii="Book Antiqua" w:hAnsi="Book Antiqua" w:cs="Arial"/>
                <w:b/>
              </w:rPr>
            </w:pPr>
          </w:p>
        </w:tc>
      </w:tr>
    </w:tbl>
    <w:p w:rsidR="00A8624F" w:rsidRPr="00C4371F" w:rsidRDefault="00A8624F" w:rsidP="00A8624F">
      <w:pPr>
        <w:jc w:val="center"/>
        <w:rPr>
          <w:rFonts w:ascii="Book Antiqua" w:hAnsi="Book Antiqua" w:cs="Arial"/>
        </w:rPr>
      </w:pPr>
    </w:p>
    <w:p w:rsidR="00A8624F" w:rsidRPr="00C4371F" w:rsidRDefault="00A8624F" w:rsidP="00A8624F">
      <w:pPr>
        <w:jc w:val="center"/>
        <w:rPr>
          <w:rFonts w:ascii="Book Antiqua" w:hAnsi="Book Antiqua" w:cs="Arial"/>
          <w:b/>
        </w:rPr>
      </w:pPr>
      <w:r w:rsidRPr="00C4371F">
        <w:rPr>
          <w:rFonts w:ascii="Book Antiqua" w:hAnsi="Book Antiqua" w:cs="Arial"/>
          <w:b/>
        </w:rPr>
        <w:t>Before</w:t>
      </w:r>
    </w:p>
    <w:p w:rsidR="00A8624F" w:rsidRDefault="00A8624F" w:rsidP="00A8624F">
      <w:pPr>
        <w:jc w:val="center"/>
        <w:rPr>
          <w:rFonts w:ascii="Book Antiqua" w:hAnsi="Book Antiqua" w:cs="Arial"/>
          <w:b/>
        </w:rPr>
      </w:pPr>
    </w:p>
    <w:p w:rsidR="00A8624F" w:rsidRDefault="00A8624F" w:rsidP="00A8624F">
      <w:pPr>
        <w:jc w:val="center"/>
        <w:rPr>
          <w:rFonts w:ascii="Book Antiqua" w:hAnsi="Book Antiqua" w:cs="Arial"/>
          <w:b/>
        </w:rPr>
      </w:pPr>
      <w:r>
        <w:rPr>
          <w:rFonts w:ascii="Book Antiqua" w:hAnsi="Book Antiqua" w:cs="Arial"/>
          <w:b/>
        </w:rPr>
        <w:t xml:space="preserve">UPPER TRIBUNAL JUDGE </w:t>
      </w:r>
      <w:r w:rsidRPr="00C4371F">
        <w:rPr>
          <w:rFonts w:ascii="Book Antiqua" w:hAnsi="Book Antiqua" w:cs="Arial"/>
          <w:b/>
        </w:rPr>
        <w:t>RIMINGTON</w:t>
      </w:r>
    </w:p>
    <w:p w:rsidR="00A8624F" w:rsidRPr="00C4371F" w:rsidRDefault="00A8624F" w:rsidP="00A8624F">
      <w:pPr>
        <w:jc w:val="center"/>
        <w:rPr>
          <w:rFonts w:ascii="Book Antiqua" w:hAnsi="Book Antiqua" w:cs="Arial"/>
          <w:b/>
        </w:rPr>
      </w:pPr>
    </w:p>
    <w:p w:rsidR="00A8624F" w:rsidRPr="00C4371F" w:rsidRDefault="00A8624F" w:rsidP="00A8624F">
      <w:pPr>
        <w:jc w:val="center"/>
        <w:rPr>
          <w:rFonts w:ascii="Book Antiqua" w:hAnsi="Book Antiqua" w:cs="Arial"/>
          <w:b/>
        </w:rPr>
      </w:pPr>
      <w:r w:rsidRPr="00C4371F">
        <w:rPr>
          <w:rFonts w:ascii="Book Antiqua" w:hAnsi="Book Antiqua" w:cs="Arial"/>
          <w:b/>
        </w:rPr>
        <w:t>Between</w:t>
      </w:r>
    </w:p>
    <w:p w:rsidR="00A8624F" w:rsidRPr="00C4371F" w:rsidRDefault="00A8624F" w:rsidP="00A8624F">
      <w:pPr>
        <w:jc w:val="center"/>
        <w:rPr>
          <w:rFonts w:ascii="Book Antiqua" w:hAnsi="Book Antiqua" w:cs="Arial"/>
          <w:b/>
        </w:rPr>
      </w:pPr>
    </w:p>
    <w:p w:rsidR="00A8624F" w:rsidRDefault="00A8624F" w:rsidP="00A8624F">
      <w:pPr>
        <w:jc w:val="center"/>
        <w:rPr>
          <w:rFonts w:ascii="Book Antiqua" w:hAnsi="Book Antiqua" w:cs="Arial"/>
          <w:b/>
          <w:caps/>
        </w:rPr>
      </w:pPr>
      <w:r>
        <w:rPr>
          <w:rFonts w:ascii="Book Antiqua" w:hAnsi="Book Antiqua" w:cs="Arial"/>
          <w:b/>
          <w:caps/>
        </w:rPr>
        <w:t>Master M</w:t>
      </w:r>
      <w:r w:rsidR="00916235">
        <w:rPr>
          <w:rFonts w:ascii="Book Antiqua" w:hAnsi="Book Antiqua" w:cs="Arial"/>
          <w:b/>
          <w:caps/>
        </w:rPr>
        <w:t xml:space="preserve"> N</w:t>
      </w:r>
    </w:p>
    <w:p w:rsidR="00A8624F" w:rsidRPr="00B772F0" w:rsidRDefault="00A8624F" w:rsidP="00A8624F">
      <w:pPr>
        <w:jc w:val="center"/>
        <w:rPr>
          <w:rFonts w:ascii="Book Antiqua" w:hAnsi="Book Antiqua" w:cs="Arial"/>
        </w:rPr>
      </w:pPr>
      <w:r w:rsidRPr="00B772F0">
        <w:rPr>
          <w:rFonts w:ascii="Book Antiqua" w:hAnsi="Book Antiqua" w:cs="Arial"/>
          <w:caps/>
        </w:rPr>
        <w:t>(aNONYMITY DIRECTION</w:t>
      </w:r>
      <w:r w:rsidR="00916235" w:rsidRPr="00B772F0">
        <w:rPr>
          <w:rFonts w:ascii="Book Antiqua" w:hAnsi="Book Antiqua" w:cs="Arial"/>
          <w:caps/>
        </w:rPr>
        <w:t xml:space="preserve"> made</w:t>
      </w:r>
      <w:r w:rsidRPr="00B772F0">
        <w:rPr>
          <w:rFonts w:ascii="Book Antiqua" w:hAnsi="Book Antiqua" w:cs="Arial"/>
          <w:caps/>
        </w:rPr>
        <w:t>)</w:t>
      </w:r>
    </w:p>
    <w:p w:rsidR="00A8624F" w:rsidRPr="00C4371F" w:rsidRDefault="00A8624F" w:rsidP="00A8624F">
      <w:pPr>
        <w:jc w:val="right"/>
        <w:rPr>
          <w:rFonts w:ascii="Book Antiqua" w:hAnsi="Book Antiqua" w:cs="Arial"/>
          <w:u w:val="single"/>
        </w:rPr>
      </w:pPr>
      <w:r w:rsidRPr="00C4371F">
        <w:rPr>
          <w:rFonts w:ascii="Book Antiqua" w:hAnsi="Book Antiqua" w:cs="Arial"/>
          <w:u w:val="single"/>
        </w:rPr>
        <w:t>Appellant</w:t>
      </w:r>
    </w:p>
    <w:p w:rsidR="00B772F0" w:rsidRDefault="00B772F0" w:rsidP="00A8624F">
      <w:pPr>
        <w:jc w:val="center"/>
        <w:rPr>
          <w:rFonts w:ascii="Book Antiqua" w:hAnsi="Book Antiqua" w:cs="Arial"/>
          <w:b/>
        </w:rPr>
      </w:pPr>
    </w:p>
    <w:p w:rsidR="00A8624F" w:rsidRPr="00C4371F" w:rsidRDefault="00A8624F" w:rsidP="00A8624F">
      <w:pPr>
        <w:jc w:val="center"/>
        <w:rPr>
          <w:rFonts w:ascii="Book Antiqua" w:hAnsi="Book Antiqua" w:cs="Arial"/>
          <w:b/>
        </w:rPr>
      </w:pPr>
      <w:r w:rsidRPr="00C4371F">
        <w:rPr>
          <w:rFonts w:ascii="Book Antiqua" w:hAnsi="Book Antiqua" w:cs="Arial"/>
          <w:b/>
        </w:rPr>
        <w:t>and</w:t>
      </w:r>
    </w:p>
    <w:p w:rsidR="00A8624F" w:rsidRDefault="00A8624F" w:rsidP="00A8624F">
      <w:pPr>
        <w:jc w:val="center"/>
        <w:rPr>
          <w:rFonts w:ascii="Book Antiqua" w:hAnsi="Book Antiqua" w:cs="Arial"/>
          <w:b/>
        </w:rPr>
      </w:pPr>
    </w:p>
    <w:p w:rsidR="00B772F0" w:rsidRPr="00C4371F" w:rsidRDefault="00B772F0" w:rsidP="00A8624F">
      <w:pPr>
        <w:jc w:val="center"/>
        <w:rPr>
          <w:rFonts w:ascii="Book Antiqua" w:hAnsi="Book Antiqua" w:cs="Arial"/>
          <w:b/>
        </w:rPr>
      </w:pPr>
      <w:r>
        <w:rPr>
          <w:rFonts w:ascii="Book Antiqua" w:hAnsi="Book Antiqua" w:cs="Arial"/>
          <w:b/>
        </w:rPr>
        <w:t>THE SECRETARY OF STATE FOR THE HOME DEPARTMENT</w:t>
      </w:r>
    </w:p>
    <w:p w:rsidR="00A8624F" w:rsidRPr="00C4371F" w:rsidRDefault="00A8624F" w:rsidP="00A8624F">
      <w:pPr>
        <w:jc w:val="right"/>
        <w:rPr>
          <w:rFonts w:ascii="Book Antiqua" w:hAnsi="Book Antiqua" w:cs="Arial"/>
          <w:u w:val="single"/>
        </w:rPr>
      </w:pPr>
      <w:r w:rsidRPr="00C4371F">
        <w:rPr>
          <w:rFonts w:ascii="Book Antiqua" w:hAnsi="Book Antiqua" w:cs="Arial"/>
          <w:u w:val="single"/>
        </w:rPr>
        <w:t>Respondent</w:t>
      </w:r>
    </w:p>
    <w:p w:rsidR="00A8624F" w:rsidRPr="00C4371F" w:rsidRDefault="00A8624F" w:rsidP="00A8624F">
      <w:pPr>
        <w:rPr>
          <w:rFonts w:ascii="Book Antiqua" w:hAnsi="Book Antiqua" w:cs="Arial"/>
          <w:u w:val="single"/>
        </w:rPr>
      </w:pPr>
    </w:p>
    <w:p w:rsidR="00A8624F" w:rsidRPr="00C4371F" w:rsidRDefault="00A8624F" w:rsidP="00A8624F">
      <w:pPr>
        <w:rPr>
          <w:rFonts w:ascii="Book Antiqua" w:hAnsi="Book Antiqua" w:cs="Arial"/>
        </w:rPr>
      </w:pPr>
      <w:r w:rsidRPr="00C4371F">
        <w:rPr>
          <w:rFonts w:ascii="Book Antiqua" w:hAnsi="Book Antiqua" w:cs="Arial"/>
          <w:b/>
          <w:u w:val="single"/>
        </w:rPr>
        <w:t>Representation</w:t>
      </w:r>
      <w:r w:rsidRPr="00C4371F">
        <w:rPr>
          <w:rFonts w:ascii="Book Antiqua" w:hAnsi="Book Antiqua" w:cs="Arial"/>
          <w:b/>
        </w:rPr>
        <w:t>:</w:t>
      </w:r>
    </w:p>
    <w:p w:rsidR="00A8624F" w:rsidRPr="00C4371F" w:rsidRDefault="00A8624F" w:rsidP="00A8624F">
      <w:pPr>
        <w:rPr>
          <w:rFonts w:ascii="Book Antiqua" w:hAnsi="Book Antiqua" w:cs="Arial"/>
        </w:rPr>
      </w:pPr>
    </w:p>
    <w:p w:rsidR="00A8624F" w:rsidRPr="00C4371F" w:rsidRDefault="00A8624F" w:rsidP="00A8624F">
      <w:pPr>
        <w:tabs>
          <w:tab w:val="left" w:pos="2520"/>
        </w:tabs>
        <w:ind w:left="2520" w:hanging="2520"/>
        <w:rPr>
          <w:rFonts w:ascii="Book Antiqua" w:hAnsi="Book Antiqua" w:cs="Arial"/>
        </w:rPr>
      </w:pPr>
      <w:r w:rsidRPr="00C4371F">
        <w:rPr>
          <w:rFonts w:ascii="Book Antiqua" w:hAnsi="Book Antiqua" w:cs="Arial"/>
        </w:rPr>
        <w:t>For the Appellant:</w:t>
      </w:r>
      <w:r w:rsidRPr="00C4371F">
        <w:rPr>
          <w:rFonts w:ascii="Book Antiqua" w:hAnsi="Book Antiqua" w:cs="Arial"/>
        </w:rPr>
        <w:tab/>
      </w:r>
      <w:r>
        <w:rPr>
          <w:rFonts w:ascii="Book Antiqua" w:hAnsi="Book Antiqua" w:cs="Arial"/>
        </w:rPr>
        <w:t xml:space="preserve">Miss Z McCallum, Counsel, instructed by </w:t>
      </w:r>
      <w:proofErr w:type="spellStart"/>
      <w:r>
        <w:rPr>
          <w:rFonts w:ascii="Book Antiqua" w:hAnsi="Book Antiqua" w:cs="Arial"/>
        </w:rPr>
        <w:t>Sutovic</w:t>
      </w:r>
      <w:proofErr w:type="spellEnd"/>
      <w:r>
        <w:rPr>
          <w:rFonts w:ascii="Book Antiqua" w:hAnsi="Book Antiqua" w:cs="Arial"/>
        </w:rPr>
        <w:t xml:space="preserve"> &amp; Hartigan Solicitors</w:t>
      </w:r>
    </w:p>
    <w:p w:rsidR="00A8624F" w:rsidRPr="00C4371F" w:rsidRDefault="00A8624F" w:rsidP="00A8624F">
      <w:pPr>
        <w:tabs>
          <w:tab w:val="left" w:pos="2520"/>
        </w:tabs>
        <w:rPr>
          <w:rFonts w:ascii="Book Antiqua" w:hAnsi="Book Antiqua" w:cs="Arial"/>
        </w:rPr>
      </w:pPr>
      <w:r w:rsidRPr="00C4371F">
        <w:rPr>
          <w:rFonts w:ascii="Book Antiqua" w:hAnsi="Book Antiqua" w:cs="Arial"/>
        </w:rPr>
        <w:t>For the Respondent:</w:t>
      </w:r>
      <w:r w:rsidRPr="00C4371F">
        <w:rPr>
          <w:rFonts w:ascii="Book Antiqua" w:hAnsi="Book Antiqua" w:cs="Arial"/>
        </w:rPr>
        <w:tab/>
      </w:r>
      <w:r>
        <w:rPr>
          <w:rFonts w:ascii="Book Antiqua" w:hAnsi="Book Antiqua" w:cs="Arial"/>
        </w:rPr>
        <w:t>Mr P Duffy, Home Office Presenting Officer</w:t>
      </w:r>
    </w:p>
    <w:p w:rsidR="00A8624F" w:rsidRPr="00C4371F" w:rsidRDefault="00A8624F" w:rsidP="00A8624F">
      <w:pPr>
        <w:tabs>
          <w:tab w:val="left" w:pos="2520"/>
        </w:tabs>
        <w:jc w:val="center"/>
        <w:rPr>
          <w:rFonts w:ascii="Book Antiqua" w:hAnsi="Book Antiqua" w:cs="Arial"/>
        </w:rPr>
      </w:pPr>
    </w:p>
    <w:p w:rsidR="00A8624F" w:rsidRPr="00C4371F" w:rsidRDefault="00A8624F" w:rsidP="00A8624F">
      <w:pPr>
        <w:tabs>
          <w:tab w:val="left" w:pos="2520"/>
        </w:tabs>
        <w:jc w:val="center"/>
        <w:rPr>
          <w:rFonts w:ascii="Book Antiqua" w:hAnsi="Book Antiqua" w:cs="Arial"/>
        </w:rPr>
      </w:pPr>
      <w:r>
        <w:rPr>
          <w:rFonts w:ascii="Book Antiqua" w:hAnsi="Book Antiqua" w:cs="Arial"/>
          <w:b/>
          <w:u w:val="single"/>
        </w:rPr>
        <w:t xml:space="preserve">DECISION </w:t>
      </w:r>
      <w:r w:rsidRPr="00C4371F">
        <w:rPr>
          <w:rFonts w:ascii="Book Antiqua" w:hAnsi="Book Antiqua" w:cs="Arial"/>
          <w:b/>
          <w:u w:val="single"/>
        </w:rPr>
        <w:t>AND REASONS</w:t>
      </w:r>
    </w:p>
    <w:p w:rsidR="00A8624F" w:rsidRPr="00C4371F" w:rsidRDefault="00A8624F" w:rsidP="00A8624F">
      <w:pPr>
        <w:tabs>
          <w:tab w:val="left" w:pos="2520"/>
        </w:tabs>
        <w:jc w:val="both"/>
        <w:rPr>
          <w:rFonts w:ascii="Book Antiqua" w:hAnsi="Book Antiqua" w:cs="Arial"/>
        </w:rPr>
      </w:pPr>
    </w:p>
    <w:p w:rsidR="00A8624F" w:rsidRDefault="00A8624F" w:rsidP="00A8624F">
      <w:pPr>
        <w:pStyle w:val="p"/>
      </w:pPr>
      <w:r w:rsidRPr="00CB459D">
        <w:t xml:space="preserve">The appellant is a citizen of </w:t>
      </w:r>
      <w:smartTag w:uri="urn:schemas-microsoft-com:office:smarttags" w:element="place">
        <w:smartTag w:uri="urn:schemas-microsoft-com:office:smarttags" w:element="country-region">
          <w:r>
            <w:t>Albania</w:t>
          </w:r>
        </w:smartTag>
      </w:smartTag>
      <w:r>
        <w:t xml:space="preserve">.  His appeal was dismissed by Judge </w:t>
      </w:r>
      <w:proofErr w:type="spellStart"/>
      <w:r>
        <w:t>O’Garro</w:t>
      </w:r>
      <w:proofErr w:type="spellEnd"/>
      <w:r>
        <w:t xml:space="preserve"> in a decision promulgated on 4</w:t>
      </w:r>
      <w:r w:rsidRPr="001957DC">
        <w:rPr>
          <w:vertAlign w:val="superscript"/>
        </w:rPr>
        <w:t>th</w:t>
      </w:r>
      <w:r>
        <w:t xml:space="preserve"> August 2017.  The appellant is a minor who came to the </w:t>
      </w:r>
      <w:smartTag w:uri="urn:schemas-microsoft-com:office:smarttags" w:element="country-region">
        <w:r>
          <w:t>United Kingdom</w:t>
        </w:r>
      </w:smartTag>
      <w:r>
        <w:t xml:space="preserve"> following several years of claimed domestic abuse at the hands of his father in </w:t>
      </w:r>
      <w:smartTag w:uri="urn:schemas-microsoft-com:office:smarttags" w:element="place">
        <w:smartTag w:uri="urn:schemas-microsoft-com:office:smarttags" w:element="country-region">
          <w:r>
            <w:t>Albania</w:t>
          </w:r>
        </w:smartTag>
      </w:smartTag>
      <w:r>
        <w:t>.  The grounds of application for permission to appeal state that the credibility of his accounts had been entirely accepted at all stages by the Home Office</w:t>
      </w:r>
      <w:r w:rsidR="00916235">
        <w:t xml:space="preserve"> and that this had been conceded by the Secretary of State at the hearing before Judge </w:t>
      </w:r>
      <w:proofErr w:type="spellStart"/>
      <w:r w:rsidR="00916235">
        <w:t>O’Garro</w:t>
      </w:r>
      <w:proofErr w:type="spellEnd"/>
      <w:r w:rsidR="00916235">
        <w:t xml:space="preserve"> who proceeded to deal with the hearing on submissions only</w:t>
      </w:r>
      <w:r>
        <w:t>.</w:t>
      </w:r>
    </w:p>
    <w:p w:rsidR="00A8624F" w:rsidRDefault="00916235" w:rsidP="00A8624F">
      <w:pPr>
        <w:pStyle w:val="p"/>
      </w:pPr>
      <w:r>
        <w:t xml:space="preserve">There is a background to this appeal which was set out in the grounds of application for permission to appeal.  </w:t>
      </w:r>
      <w:r w:rsidR="00A8624F">
        <w:t xml:space="preserve">The appellant’s appeal to the First-tier Tribunal was </w:t>
      </w:r>
      <w:r w:rsidR="00A8624F">
        <w:lastRenderedPageBreak/>
        <w:t>originally dismissed on 3</w:t>
      </w:r>
      <w:r w:rsidR="00A8624F" w:rsidRPr="00F52F80">
        <w:rPr>
          <w:vertAlign w:val="superscript"/>
        </w:rPr>
        <w:t>rd</w:t>
      </w:r>
      <w:r w:rsidR="00A8624F">
        <w:t xml:space="preserve"> April 2017 by Judges Woodcraft and George but it was accepted that the appellant had suffered severe physical abuse from his father and had been informed of threats made to his father which concerned him directly.  It was accepted that the appellant would have to relocate some distance from his family to avoid the threat of abuse and would require assistance on return.  It was stated that “the centres for victims of domestic violence in </w:t>
      </w:r>
      <w:smartTag w:uri="urn:schemas-microsoft-com:office:smarttags" w:element="place">
        <w:smartTag w:uri="urn:schemas-microsoft-com:office:smarttags" w:element="country-region">
          <w:r w:rsidR="00A8624F">
            <w:t>Albania</w:t>
          </w:r>
        </w:smartTag>
      </w:smartTag>
      <w:r w:rsidR="00A8624F">
        <w:t xml:space="preserve"> would at least arguably not be available for the appellant on return”.</w:t>
      </w:r>
    </w:p>
    <w:p w:rsidR="00A8624F" w:rsidRDefault="00A8624F" w:rsidP="00A8624F">
      <w:pPr>
        <w:pStyle w:val="p"/>
      </w:pPr>
      <w:r>
        <w:t>However, the judges refused the appeal because they considered that the appellant’s maternal uncle would be able to support the appellant financially on return to Tirana.</w:t>
      </w:r>
    </w:p>
    <w:p w:rsidR="00A8624F" w:rsidRDefault="00A8624F" w:rsidP="00A8624F">
      <w:pPr>
        <w:pStyle w:val="p"/>
      </w:pPr>
      <w:r>
        <w:t>The appellant appealed that decision on the basis that the First-tier Tribunal erred</w:t>
      </w:r>
    </w:p>
    <w:p w:rsidR="00A8624F" w:rsidRDefault="00A8624F" w:rsidP="00A8624F">
      <w:pPr>
        <w:pStyle w:val="p"/>
        <w:numPr>
          <w:ilvl w:val="1"/>
          <w:numId w:val="1"/>
        </w:numPr>
      </w:pPr>
      <w:r>
        <w:t>in speculating as to the ability of the appellant’s maternal uncle to provide financial support in Tirana,</w:t>
      </w:r>
    </w:p>
    <w:p w:rsidR="00A8624F" w:rsidRDefault="00A8624F" w:rsidP="00A8624F">
      <w:pPr>
        <w:pStyle w:val="p"/>
        <w:numPr>
          <w:ilvl w:val="1"/>
          <w:numId w:val="1"/>
        </w:numPr>
      </w:pPr>
      <w:r>
        <w:t>ignoring the extensive background information about the failure of the Albanian police to deal effectively with domestic violence,</w:t>
      </w:r>
    </w:p>
    <w:p w:rsidR="00A8624F" w:rsidRDefault="00A8624F" w:rsidP="00A8624F">
      <w:pPr>
        <w:pStyle w:val="p"/>
        <w:numPr>
          <w:ilvl w:val="1"/>
          <w:numId w:val="1"/>
        </w:numPr>
      </w:pPr>
      <w:r>
        <w:t>conflation of very significant obstacles to the integration test in paragraph 276ADE,</w:t>
      </w:r>
    </w:p>
    <w:p w:rsidR="00A8624F" w:rsidRDefault="00A8624F" w:rsidP="00A8624F">
      <w:pPr>
        <w:pStyle w:val="p"/>
        <w:numPr>
          <w:ilvl w:val="1"/>
          <w:numId w:val="1"/>
        </w:numPr>
      </w:pPr>
      <w:r>
        <w:t>treating the appellant as a young adult rather than a child and</w:t>
      </w:r>
    </w:p>
    <w:p w:rsidR="00A8624F" w:rsidRDefault="00A8624F" w:rsidP="00A8624F">
      <w:pPr>
        <w:pStyle w:val="p"/>
        <w:numPr>
          <w:ilvl w:val="1"/>
          <w:numId w:val="1"/>
        </w:numPr>
      </w:pPr>
      <w:r>
        <w:t>taking the wrong approach to the test for internal relocation.</w:t>
      </w:r>
    </w:p>
    <w:p w:rsidR="00A8624F" w:rsidRDefault="00A8624F" w:rsidP="00A8624F">
      <w:pPr>
        <w:pStyle w:val="p"/>
      </w:pPr>
      <w:r>
        <w:t>The respondent conceded these grounds of appeal and Upper Tribunal Judge Gill agreed that the Tribunal had erred in law for all the reasons identified by the appellant. An error of law was discerned in that decision and the matter remitted to the First-tier Tribunal for hearing de novo.</w:t>
      </w:r>
    </w:p>
    <w:p w:rsidR="00A8624F" w:rsidRDefault="00A8624F" w:rsidP="00A8624F">
      <w:pPr>
        <w:pStyle w:val="p"/>
      </w:pPr>
      <w:r>
        <w:t xml:space="preserve">At the start of the fresh rehearing before Judge </w:t>
      </w:r>
      <w:proofErr w:type="spellStart"/>
      <w:r>
        <w:t>O’Garro</w:t>
      </w:r>
      <w:proofErr w:type="spellEnd"/>
      <w:r>
        <w:t xml:space="preserve"> the respondent stated that she did not dispute the credibility of the appellant’s account and did not wish to examine him.  The matter was dealt with by submissions only.  The judge agreed.</w:t>
      </w:r>
    </w:p>
    <w:p w:rsidR="00A8624F" w:rsidRDefault="00A8624F" w:rsidP="00A8624F">
      <w:pPr>
        <w:pStyle w:val="p"/>
      </w:pPr>
      <w:r>
        <w:t xml:space="preserve">In the decision of Judge </w:t>
      </w:r>
      <w:proofErr w:type="spellStart"/>
      <w:r>
        <w:t>O’Garro</w:t>
      </w:r>
      <w:proofErr w:type="spellEnd"/>
      <w:r>
        <w:t>, which is presently under challenge, she accepted that the appellant was a minor, and that he formed part of a particular social group for the purposes of the Refugee Convention.</w:t>
      </w:r>
    </w:p>
    <w:p w:rsidR="00A8624F" w:rsidRDefault="00A8624F" w:rsidP="00A8624F">
      <w:pPr>
        <w:pStyle w:val="p"/>
      </w:pPr>
      <w:r>
        <w:t>She accepted the credibility of the appellant’s account of domestic abuse at the hands of his father.</w:t>
      </w:r>
    </w:p>
    <w:p w:rsidR="00A8624F" w:rsidRDefault="00A8624F" w:rsidP="00A8624F">
      <w:pPr>
        <w:pStyle w:val="p"/>
      </w:pPr>
      <w:r>
        <w:t xml:space="preserve">She considered nonetheless there was sufficiency of protection in </w:t>
      </w:r>
      <w:smartTag w:uri="urn:schemas-microsoft-com:office:smarttags" w:element="place">
        <w:smartTag w:uri="urn:schemas-microsoft-com:office:smarttags" w:element="country-region">
          <w:r>
            <w:t>Albania</w:t>
          </w:r>
        </w:smartTag>
      </w:smartTag>
      <w:r>
        <w:t xml:space="preserve"> for women and girls.  She did not specifically consider adequate protection for adolescent boys or give any reasons for rejecting the evidence as she found the appellant’s evidence that he could not be accommodated or supported by his uncles or sisters to lack credibility and therefore there was an internal relocation problem despite the fact that the credibility of the appellant’s evidence was not disputed.</w:t>
      </w:r>
    </w:p>
    <w:p w:rsidR="00A8624F" w:rsidRDefault="00A8624F" w:rsidP="00A8624F">
      <w:pPr>
        <w:pStyle w:val="p"/>
      </w:pPr>
      <w:r>
        <w:lastRenderedPageBreak/>
        <w:t xml:space="preserve">She did not consider that returning the appellant to </w:t>
      </w:r>
      <w:smartTag w:uri="urn:schemas-microsoft-com:office:smarttags" w:element="place">
        <w:smartTag w:uri="urn:schemas-microsoft-com:office:smarttags" w:element="country-region">
          <w:r>
            <w:t>Albania</w:t>
          </w:r>
        </w:smartTag>
      </w:smartTag>
      <w:r>
        <w:t xml:space="preserve"> would result in a breach of Article 8.</w:t>
      </w:r>
    </w:p>
    <w:p w:rsidR="00A8624F" w:rsidRDefault="00A8624F" w:rsidP="00A8624F">
      <w:pPr>
        <w:pStyle w:val="p"/>
      </w:pPr>
      <w:r>
        <w:t xml:space="preserve">It was asserted in this instance that the decision of Judge </w:t>
      </w:r>
      <w:proofErr w:type="spellStart"/>
      <w:r>
        <w:t>O’Garro</w:t>
      </w:r>
      <w:proofErr w:type="spellEnd"/>
      <w:r>
        <w:t xml:space="preserve"> was flawed for a complete lack of procedural fairness afforded to the appellant in the proceedings and was flawed for its failure to have regard to the ample objective and subjective evidence.</w:t>
      </w:r>
    </w:p>
    <w:p w:rsidR="00A8624F" w:rsidRDefault="00916235" w:rsidP="00A8624F">
      <w:pPr>
        <w:pStyle w:val="p"/>
      </w:pPr>
      <w:r>
        <w:t>The specific grounds pleaded</w:t>
      </w:r>
      <w:r w:rsidR="00A8624F">
        <w:t xml:space="preserve"> were as follows:</w:t>
      </w:r>
    </w:p>
    <w:p w:rsidR="00A8624F" w:rsidRDefault="00A8624F" w:rsidP="00A8624F">
      <w:pPr>
        <w:pStyle w:val="h"/>
      </w:pPr>
      <w:r>
        <w:t>Ground (</w:t>
      </w:r>
      <w:proofErr w:type="spellStart"/>
      <w:r>
        <w:t>i</w:t>
      </w:r>
      <w:proofErr w:type="spellEnd"/>
      <w:r>
        <w:t>)</w:t>
      </w:r>
    </w:p>
    <w:p w:rsidR="00A8624F" w:rsidRDefault="00916235" w:rsidP="00A8624F">
      <w:pPr>
        <w:pStyle w:val="p"/>
      </w:pPr>
      <w:r>
        <w:t>T</w:t>
      </w:r>
      <w:r w:rsidR="00A8624F">
        <w:t xml:space="preserve">here was a breach of procedural fairness and principles of natural justice in that Judge </w:t>
      </w:r>
      <w:proofErr w:type="spellStart"/>
      <w:r w:rsidR="00A8624F">
        <w:t>O’Garro</w:t>
      </w:r>
      <w:proofErr w:type="spellEnd"/>
      <w:r w:rsidR="00A8624F">
        <w:t xml:space="preserve"> made adverse credibility findings against the appellant in respect of his evidence regarding availability of support on return in circumstances where</w:t>
      </w:r>
    </w:p>
    <w:p w:rsidR="00A8624F" w:rsidRDefault="00916235" w:rsidP="00A8624F">
      <w:pPr>
        <w:pStyle w:val="subp"/>
      </w:pPr>
      <w:r>
        <w:t>the Secretary of State</w:t>
      </w:r>
      <w:r w:rsidR="00A8624F">
        <w:t xml:space="preserve"> explicitly indicated that the credibility of the evidence was not disputed,</w:t>
      </w:r>
    </w:p>
    <w:p w:rsidR="00A8624F" w:rsidRDefault="00916235" w:rsidP="00A8624F">
      <w:pPr>
        <w:pStyle w:val="subp"/>
      </w:pPr>
      <w:r>
        <w:t xml:space="preserve">the Secretary of State </w:t>
      </w:r>
      <w:r w:rsidR="00A8624F">
        <w:t>did not cross-examine the appellant and requested that the appeal be dealt with by submissions only and</w:t>
      </w:r>
    </w:p>
    <w:p w:rsidR="00A8624F" w:rsidRDefault="00916235" w:rsidP="00A8624F">
      <w:pPr>
        <w:pStyle w:val="subp"/>
      </w:pPr>
      <w:r>
        <w:t>the judge accepted that the appeal</w:t>
      </w:r>
      <w:r w:rsidR="00A8624F">
        <w:t xml:space="preserve"> be disposed of in this way and did not indicate any concerns in this regard nor that she herself wished to ask the appellant any questions.</w:t>
      </w:r>
    </w:p>
    <w:p w:rsidR="00A8624F" w:rsidRDefault="00A8624F" w:rsidP="00A8624F">
      <w:pPr>
        <w:pStyle w:val="p"/>
      </w:pPr>
      <w:r>
        <w:t>In those circumstances, if the judge had any reservations of her own about the credibility of the appellant she should have highlighted these at the outset and afforded the appellant an opportunity to address the concerns.</w:t>
      </w:r>
    </w:p>
    <w:p w:rsidR="00A8624F" w:rsidRPr="00195D95" w:rsidRDefault="00A8624F" w:rsidP="00A8624F">
      <w:pPr>
        <w:pStyle w:val="p"/>
      </w:pPr>
      <w:r>
        <w:t xml:space="preserve">As such the failure to do so meant that the decision suffered fatally from the lack of procedural fairness and should be set aside, </w:t>
      </w:r>
      <w:r w:rsidRPr="00384A88">
        <w:rPr>
          <w:b/>
          <w:u w:val="single"/>
        </w:rPr>
        <w:t>Osborn v The Parole Board</w:t>
      </w:r>
      <w:r w:rsidRPr="00384A88">
        <w:rPr>
          <w:b/>
        </w:rPr>
        <w:t xml:space="preserve"> [2013] UKSC 61</w:t>
      </w:r>
      <w:r>
        <w:t>.</w:t>
      </w:r>
    </w:p>
    <w:p w:rsidR="00A8624F" w:rsidRDefault="00A8624F" w:rsidP="00A8624F">
      <w:pPr>
        <w:pStyle w:val="h"/>
      </w:pPr>
      <w:r>
        <w:t>Ground (ii)</w:t>
      </w:r>
    </w:p>
    <w:p w:rsidR="00A8624F" w:rsidRDefault="00A8624F" w:rsidP="00A8624F">
      <w:pPr>
        <w:pStyle w:val="p"/>
      </w:pPr>
      <w:r>
        <w:t>The conclusion that the appellant’s maternal uncle and/or sisters would be able to support the appellant financially on return to Tirana was entirely unsupported by any evidence.</w:t>
      </w:r>
    </w:p>
    <w:p w:rsidR="00A8624F" w:rsidRPr="00534244" w:rsidRDefault="00A8624F" w:rsidP="00A8624F">
      <w:pPr>
        <w:pStyle w:val="p"/>
      </w:pPr>
      <w:r>
        <w:t>At paragraph 40 of her decision the judge stated she did “not find it credible that the appellant’s uncle or his siblings would not want to extend a helping hand to him if he do [sic] not want to live with his parents for the reasons they are fully aware of”.</w:t>
      </w:r>
    </w:p>
    <w:p w:rsidR="00A8624F" w:rsidRDefault="00A8624F" w:rsidP="00A8624F">
      <w:pPr>
        <w:pStyle w:val="p"/>
      </w:pPr>
      <w:r>
        <w:t>At paragraph 41 the judge further found: “I find as the appellant’s maternal uncle was willing to get involved in sending him abroad to claim asylum, he should be willing to get involved in providing care and support to the appellant if he is returned to Albania now.”  The judge reached this conclusion despite the appellant’s success on this exact point on appeal to the Upper Tribunal.</w:t>
      </w:r>
    </w:p>
    <w:p w:rsidR="00A8624F" w:rsidRDefault="00A8624F" w:rsidP="00A8624F">
      <w:pPr>
        <w:pStyle w:val="p"/>
      </w:pPr>
      <w:r>
        <w:lastRenderedPageBreak/>
        <w:t>Further, at paragraph 42 the judge considered the appellant’s claim that his uncle would not help him for fear of what his father would do as “just speculation” without providing any further reason for that assessment.  She concluded that the appellant “has reached employable age and should seek employment to support himself while he has the support of his sisters or uncles in providing him with accommodation”.</w:t>
      </w:r>
    </w:p>
    <w:p w:rsidR="00A8624F" w:rsidRDefault="00A8624F" w:rsidP="00A8624F">
      <w:pPr>
        <w:pStyle w:val="p"/>
      </w:pPr>
      <w:r>
        <w:t xml:space="preserve">The appellant’s evidence on the lack of support he would receive from his family was well set out in great detail.  In the light of the overall credibility the appellant’s evidence on this matter was sufficient to discharge the burden of proof on him.  As a matter of </w:t>
      </w:r>
      <w:proofErr w:type="spellStart"/>
      <w:r>
        <w:t>commonsense</w:t>
      </w:r>
      <w:proofErr w:type="spellEnd"/>
      <w:r>
        <w:t>, if the appellant were to reside with his sisters or family he could easily be located and would continue to face a serious risk of domestic violence.</w:t>
      </w:r>
    </w:p>
    <w:p w:rsidR="00A8624F" w:rsidRDefault="00A8624F" w:rsidP="00A8624F">
      <w:pPr>
        <w:pStyle w:val="p"/>
      </w:pPr>
      <w:r>
        <w:t>There is no evidence to challenge the appellant’s assertion that his family did not have the financial means to support him.</w:t>
      </w:r>
    </w:p>
    <w:p w:rsidR="00A8624F" w:rsidRDefault="00A8624F" w:rsidP="00A8624F">
      <w:pPr>
        <w:pStyle w:val="p"/>
      </w:pPr>
      <w:r>
        <w:t>In the circumstances the judge’s conclusion that the appellant could be accommodated and supported by his extended family was not only unsupported by evidence but patently irrational and should be aside.</w:t>
      </w:r>
    </w:p>
    <w:p w:rsidR="00A8624F" w:rsidRDefault="00A8624F" w:rsidP="00A8624F">
      <w:pPr>
        <w:pStyle w:val="h"/>
      </w:pPr>
      <w:r>
        <w:t>Ground (iii)</w:t>
      </w:r>
    </w:p>
    <w:p w:rsidR="00A8624F" w:rsidRDefault="00A8624F" w:rsidP="00A8624F">
      <w:pPr>
        <w:pStyle w:val="p"/>
      </w:pPr>
      <w:r>
        <w:t xml:space="preserve">The judge erred in the assessment of whether there was sufficiency of protection in </w:t>
      </w:r>
      <w:smartTag w:uri="urn:schemas-microsoft-com:office:smarttags" w:element="place">
        <w:smartTag w:uri="urn:schemas-microsoft-com:office:smarttags" w:element="country-region">
          <w:r>
            <w:t>Albania</w:t>
          </w:r>
        </w:smartTag>
      </w:smartTag>
      <w:r>
        <w:t>.</w:t>
      </w:r>
    </w:p>
    <w:p w:rsidR="00A8624F" w:rsidRDefault="00A8624F" w:rsidP="00A8624F">
      <w:pPr>
        <w:pStyle w:val="p"/>
      </w:pPr>
      <w:r>
        <w:t xml:space="preserve">In concluding there was sufficiency of protection for victims of domestic violence in Albania the judge relied solely on one report, that of the </w:t>
      </w:r>
      <w:r w:rsidRPr="000B7AB3">
        <w:t xml:space="preserve">Swedish International Development Cooperation </w:t>
      </w:r>
      <w:r>
        <w:t>“</w:t>
      </w:r>
      <w:r w:rsidRPr="00E2138A">
        <w:t>Making homes violence-free in Albania</w:t>
      </w:r>
      <w:r>
        <w:t>”, see decision at paragraph 2.  She failed to conduct a proper and circumstance-specific assessment of whether there would be sufficiency of protection.</w:t>
      </w:r>
    </w:p>
    <w:p w:rsidR="00A8624F" w:rsidRDefault="00A8624F" w:rsidP="00A8624F">
      <w:pPr>
        <w:pStyle w:val="p"/>
      </w:pPr>
      <w:r>
        <w:t xml:space="preserve">The report in question dealt with gender-based violence against women and girls.  Secondly, the report relied on one example and on one family being provided support.  Thirdly, it identified </w:t>
      </w:r>
      <w:smartTag w:uri="urn:schemas-microsoft-com:office:smarttags" w:element="place">
        <w:smartTag w:uri="urn:schemas-microsoft-com:office:smarttags" w:element="country-region">
          <w:r>
            <w:t>Albania</w:t>
          </w:r>
        </w:smartTag>
      </w:smartTag>
      <w:r>
        <w:t xml:space="preserve"> had a system to assist victims of domestic violence but the judge failed to deal adequately or at all with the voluminous objective evidence.  There was extensive objective evidence dealt with the willingness or capacity of the Albanian police to deal with domestic violence cases.</w:t>
      </w:r>
    </w:p>
    <w:p w:rsidR="00A8624F" w:rsidRDefault="00A8624F" w:rsidP="00A8624F">
      <w:pPr>
        <w:pStyle w:val="h"/>
      </w:pPr>
      <w:r>
        <w:t>Ground (iv)</w:t>
      </w:r>
    </w:p>
    <w:p w:rsidR="00A8624F" w:rsidRPr="00402C88" w:rsidRDefault="00A8624F" w:rsidP="00A8624F">
      <w:pPr>
        <w:pStyle w:val="p"/>
      </w:pPr>
      <w:r>
        <w:t xml:space="preserve">The judge erred in the approach to the best </w:t>
      </w:r>
      <w:r w:rsidR="008D15E9" w:rsidRPr="007C1E5A">
        <w:t>interests’</w:t>
      </w:r>
      <w:r>
        <w:t xml:space="preserve"> analysis under Article 8 by applying Section 117B(5).  The appellant relied on the case of </w:t>
      </w:r>
      <w:proofErr w:type="spellStart"/>
      <w:r w:rsidRPr="00206B3C">
        <w:rPr>
          <w:b/>
          <w:u w:val="single"/>
        </w:rPr>
        <w:t>Rhuppiah</w:t>
      </w:r>
      <w:proofErr w:type="spellEnd"/>
      <w:r w:rsidRPr="00206B3C">
        <w:rPr>
          <w:b/>
          <w:u w:val="single"/>
        </w:rPr>
        <w:t xml:space="preserve"> v </w:t>
      </w:r>
      <w:r>
        <w:rPr>
          <w:b/>
          <w:u w:val="single"/>
        </w:rPr>
        <w:t>Secretary of State for the Home Department</w:t>
      </w:r>
      <w:r w:rsidRPr="00206B3C">
        <w:rPr>
          <w:b/>
        </w:rPr>
        <w:t xml:space="preserve"> [2016]</w:t>
      </w:r>
      <w:r>
        <w:t xml:space="preserve"> that </w:t>
      </w:r>
      <w:r w:rsidRPr="00657B2A">
        <w:t>little weight should be given to a private life established by a person when the person</w:t>
      </w:r>
      <w:r>
        <w:t xml:space="preserve">’s immigration status </w:t>
      </w:r>
      <w:r w:rsidRPr="00657B2A">
        <w:t xml:space="preserve">is </w:t>
      </w:r>
      <w:r>
        <w:t>precarious but the court could depart from that where there were compelling reasons.  The appellant argued it was necessary to depart from the guidance in 117B(5) because of the “special and compelling character” of private life established as a child and because it is necessary to treat the best interests of the child as a primary consideration.</w:t>
      </w:r>
    </w:p>
    <w:p w:rsidR="00A8624F" w:rsidRDefault="00A8624F" w:rsidP="00A8624F">
      <w:pPr>
        <w:pStyle w:val="p"/>
      </w:pPr>
      <w:r>
        <w:lastRenderedPageBreak/>
        <w:t xml:space="preserve">Permission to appeal was recently granted in the Court of Appeal to question whether Section </w:t>
      </w:r>
      <w:r w:rsidRPr="00402C88">
        <w:t>117B(5)</w:t>
      </w:r>
      <w:r>
        <w:t xml:space="preserve"> can apply to private life established as a child in dealing with an adult’s appeal, </w:t>
      </w:r>
      <w:r>
        <w:rPr>
          <w:b/>
          <w:u w:val="single"/>
        </w:rPr>
        <w:t>Ayami v Secretary of State for the Home Department</w:t>
      </w:r>
      <w:r>
        <w:t>.</w:t>
      </w:r>
    </w:p>
    <w:p w:rsidR="00A8624F" w:rsidRDefault="00A8624F" w:rsidP="00A8624F">
      <w:pPr>
        <w:pStyle w:val="h"/>
      </w:pPr>
      <w:r>
        <w:t>Ground (v)</w:t>
      </w:r>
    </w:p>
    <w:p w:rsidR="00A8624F" w:rsidRDefault="00A8624F" w:rsidP="00A8624F">
      <w:pPr>
        <w:pStyle w:val="p"/>
      </w:pPr>
      <w:r>
        <w:t xml:space="preserve">The judge erred in failing to consider in substance whether the appellant would face significant obstacles on return.  It was accepted that this dealt with adults only but was nonetheless the fact that the judge simply </w:t>
      </w:r>
      <w:proofErr w:type="spellStart"/>
      <w:r>
        <w:t>mistransposed</w:t>
      </w:r>
      <w:proofErr w:type="spellEnd"/>
      <w:r>
        <w:t xml:space="preserve"> Section 276ADE, stating that he had not lived here for less than twenty years.  That was evident.</w:t>
      </w:r>
    </w:p>
    <w:p w:rsidR="00A8624F" w:rsidRDefault="00A8624F" w:rsidP="00A8624F">
      <w:pPr>
        <w:pStyle w:val="h"/>
      </w:pPr>
      <w:r>
        <w:t>Conclusions</w:t>
      </w:r>
    </w:p>
    <w:p w:rsidR="00A8624F" w:rsidRDefault="00A8624F" w:rsidP="00A8624F">
      <w:pPr>
        <w:pStyle w:val="p"/>
      </w:pPr>
      <w:r>
        <w:t xml:space="preserve">As set out by </w:t>
      </w:r>
      <w:r w:rsidR="00916235">
        <w:t xml:space="preserve">Judge Macdonald </w:t>
      </w:r>
      <w:r>
        <w:t xml:space="preserve"> in his decision granting permission, “if the judge had reservations of her own about the appellant’s credibility these should arguably have been highlighted at the outset of the appeal”.  As set out in the Court of Appeal in </w:t>
      </w:r>
      <w:r w:rsidRPr="003250EE">
        <w:rPr>
          <w:b/>
          <w:u w:val="single"/>
        </w:rPr>
        <w:t>AM (Afghanistan) v Secretary of State for the Home Department</w:t>
      </w:r>
      <w:r w:rsidRPr="003250EE">
        <w:rPr>
          <w:b/>
        </w:rPr>
        <w:t xml:space="preserve"> [2017] EWCA </w:t>
      </w:r>
      <w:proofErr w:type="spellStart"/>
      <w:r w:rsidRPr="003250EE">
        <w:rPr>
          <w:b/>
        </w:rPr>
        <w:t>Civ</w:t>
      </w:r>
      <w:proofErr w:type="spellEnd"/>
      <w:r w:rsidRPr="003250EE">
        <w:rPr>
          <w:b/>
        </w:rPr>
        <w:t xml:space="preserve"> 1123</w:t>
      </w:r>
      <w:r>
        <w:t>, “</w:t>
      </w:r>
      <w:r w:rsidRPr="003250EE">
        <w:t>in making asylum decisions, the highest standards of procedural fairness are required</w:t>
      </w:r>
      <w:r>
        <w:t>”</w:t>
      </w:r>
      <w:r w:rsidRPr="003250EE">
        <w:t>.</w:t>
      </w:r>
    </w:p>
    <w:p w:rsidR="00A8624F" w:rsidRPr="003250EE" w:rsidRDefault="00A8624F" w:rsidP="00A8624F">
      <w:pPr>
        <w:pStyle w:val="p"/>
      </w:pPr>
      <w:r>
        <w:t xml:space="preserve">I questioned Miss McCallum on the extent of the </w:t>
      </w:r>
      <w:r w:rsidR="00566CB5">
        <w:t>‘</w:t>
      </w:r>
      <w:r>
        <w:t>concession</w:t>
      </w:r>
      <w:r w:rsidR="00566CB5">
        <w:t>’</w:t>
      </w:r>
      <w:r>
        <w:t xml:space="preserve"> which is said to have been made</w:t>
      </w:r>
      <w:r w:rsidR="00566CB5">
        <w:t xml:space="preserve"> regarding the appellant’s account</w:t>
      </w:r>
      <w:r>
        <w:t xml:space="preserve">.  It is quite clear from the Reasons for Refusal Letter and the Secretary of State’s decision at paragraph 50 that the appellant had previously briefly stayed with his maternal uncle in </w:t>
      </w:r>
      <w:smartTag w:uri="urn:schemas-microsoft-com:office:smarttags" w:element="country-region">
        <w:r>
          <w:t>Albania</w:t>
        </w:r>
      </w:smartTag>
      <w:r>
        <w:t xml:space="preserve"> and it was recited that his maternal uncle had contributed to helping him leave </w:t>
      </w:r>
      <w:smartTag w:uri="urn:schemas-microsoft-com:office:smarttags" w:element="place">
        <w:smartTag w:uri="urn:schemas-microsoft-com:office:smarttags" w:element="country-region">
          <w:r>
            <w:t>Albania</w:t>
          </w:r>
        </w:smartTag>
      </w:smartTag>
      <w:r>
        <w:t>.  The Secretary of State stated:</w:t>
      </w:r>
    </w:p>
    <w:p w:rsidR="00A8624F" w:rsidRDefault="00A8624F" w:rsidP="00A8624F">
      <w:pPr>
        <w:pStyle w:val="q"/>
      </w:pPr>
      <w:r w:rsidRPr="003250EE">
        <w:t xml:space="preserve">“It is therefore considered that you have a strong social support network that can assist you on return.  You have also claimed in your witness statement (paragraph 6) that you have studied in </w:t>
      </w:r>
      <w:smartTag w:uri="urn:schemas-microsoft-com:office:smarttags" w:element="place">
        <w:smartTag w:uri="urn:schemas-microsoft-com:office:smarttags" w:element="country-region">
          <w:r w:rsidRPr="003250EE">
            <w:t>Albania</w:t>
          </w:r>
        </w:smartTag>
      </w:smartTag>
      <w:r w:rsidRPr="003250EE">
        <w:t xml:space="preserve">.  Furthermore, whilst in the </w:t>
      </w:r>
      <w:smartTag w:uri="urn:schemas-microsoft-com:office:smarttags" w:element="country-region">
        <w:r w:rsidRPr="003250EE">
          <w:t>UK</w:t>
        </w:r>
      </w:smartTag>
      <w:r w:rsidRPr="003250EE">
        <w:t xml:space="preserve"> you have demonstrated considerable </w:t>
      </w:r>
      <w:r>
        <w:t xml:space="preserve">resilience, adaptability and fortitude by travelling to the </w:t>
      </w:r>
      <w:smartTag w:uri="urn:schemas-microsoft-com:office:smarttags" w:element="place">
        <w:smartTag w:uri="urn:schemas-microsoft-com:office:smarttags" w:element="country-region">
          <w:r>
            <w:t>UK</w:t>
          </w:r>
        </w:smartTag>
      </w:smartTag>
      <w:r>
        <w:t xml:space="preserve"> alone.  This is considered indicative that you are more than capable of adjusting to life in different countries, cities and cultures.”</w:t>
      </w:r>
    </w:p>
    <w:p w:rsidR="00A8624F" w:rsidRDefault="00A8624F" w:rsidP="00A8624F">
      <w:pPr>
        <w:pStyle w:val="p"/>
      </w:pPr>
      <w:r>
        <w:t>As set out in the Rule 24 response, this stated: “A concession that the core account of past persecution is true cannot bind a judge to agree with the opinion of an appellant as to how another person would act in the future.”  As stated, “the judge explains why he thinks that the appellant’s (no doubt sincerely held) belief that he would rec</w:t>
      </w:r>
      <w:r w:rsidR="00566CB5">
        <w:t>eive</w:t>
      </w:r>
      <w:r>
        <w:t xml:space="preserve"> no help on return is speculative and unlikely to be correct.  That is not the same thing as finding the appellant to be an incredible witness.”</w:t>
      </w:r>
    </w:p>
    <w:p w:rsidR="00A8624F" w:rsidRDefault="00C222B8" w:rsidP="00A8624F">
      <w:pPr>
        <w:pStyle w:val="p"/>
      </w:pPr>
      <w:r>
        <w:t>Miss McCallum argued</w:t>
      </w:r>
      <w:r w:rsidR="00A8624F">
        <w:t xml:space="preserve"> that the appellant had not been called to give evidence but, as I pointed out, this was the decision of th</w:t>
      </w:r>
      <w:r w:rsidR="00566CB5">
        <w:t xml:space="preserve">e appellant’s representative although at that </w:t>
      </w:r>
      <w:r w:rsidR="00A8624F">
        <w:t>time the appellant was a minor.</w:t>
      </w:r>
    </w:p>
    <w:p w:rsidR="00916235" w:rsidRDefault="00A8624F" w:rsidP="00A8624F">
      <w:pPr>
        <w:pStyle w:val="p"/>
      </w:pPr>
      <w:r>
        <w:t>That said, it is clear, and as pointed out in the skeleton argument of Miss McCallum, that th</w:t>
      </w:r>
      <w:r w:rsidR="00C222B8">
        <w:t>e judge reasoned</w:t>
      </w:r>
      <w:r>
        <w:t xml:space="preserve"> at paragraph 40: </w:t>
      </w:r>
    </w:p>
    <w:p w:rsidR="00916235" w:rsidRPr="00916235" w:rsidRDefault="00A8624F" w:rsidP="00916235">
      <w:pPr>
        <w:pStyle w:val="p"/>
        <w:numPr>
          <w:ilvl w:val="0"/>
          <w:numId w:val="0"/>
        </w:numPr>
        <w:ind w:left="567" w:firstLine="153"/>
        <w:rPr>
          <w:i/>
        </w:rPr>
      </w:pPr>
      <w:r w:rsidRPr="00916235">
        <w:rPr>
          <w:i/>
        </w:rPr>
        <w:lastRenderedPageBreak/>
        <w:t xml:space="preserve">“I should state here that I do not find it credible that the appellant’s uncle or sisters would not want to extend a helping hand to him if he do not [sic] want to live with his parents for the reasons they are fully aware of…”, </w:t>
      </w:r>
    </w:p>
    <w:p w:rsidR="00916235" w:rsidRDefault="00A8624F" w:rsidP="00916235">
      <w:pPr>
        <w:pStyle w:val="p"/>
        <w:numPr>
          <w:ilvl w:val="0"/>
          <w:numId w:val="0"/>
        </w:numPr>
        <w:ind w:left="567" w:firstLine="153"/>
      </w:pPr>
      <w:r>
        <w:t xml:space="preserve">and </w:t>
      </w:r>
      <w:r w:rsidR="00916235">
        <w:t>at [</w:t>
      </w:r>
      <w:r>
        <w:t>42</w:t>
      </w:r>
      <w:r w:rsidR="00916235">
        <w:t>]</w:t>
      </w:r>
      <w:r>
        <w:t xml:space="preserve">: </w:t>
      </w:r>
    </w:p>
    <w:p w:rsidR="00A8624F" w:rsidRPr="00916235" w:rsidRDefault="00A8624F" w:rsidP="00916235">
      <w:pPr>
        <w:pStyle w:val="p"/>
        <w:numPr>
          <w:ilvl w:val="0"/>
          <w:numId w:val="0"/>
        </w:numPr>
        <w:ind w:left="567" w:firstLine="153"/>
        <w:rPr>
          <w:i/>
        </w:rPr>
      </w:pPr>
      <w:r w:rsidRPr="00916235">
        <w:rPr>
          <w:i/>
        </w:rPr>
        <w:t>“The appellant also said that his uncle would not want to help him because he would be afraid of what the appellant’s father would do.  I find this is just speculation on the appellant’s part.”</w:t>
      </w:r>
    </w:p>
    <w:p w:rsidR="00A8624F" w:rsidRDefault="00A8624F" w:rsidP="00A8624F">
      <w:pPr>
        <w:pStyle w:val="p"/>
      </w:pPr>
      <w:r>
        <w:t>There was an assertion that the Rule 24 response fundamentally misrepresented the nature of the concession made by the Home Office</w:t>
      </w:r>
      <w:r w:rsidR="00916235">
        <w:t xml:space="preserve"> Presenting Officer</w:t>
      </w:r>
      <w:r>
        <w:t xml:space="preserve"> and that a) the concession was not limited to </w:t>
      </w:r>
      <w:r w:rsidR="00916235">
        <w:t xml:space="preserve">the </w:t>
      </w:r>
      <w:r>
        <w:t>“co</w:t>
      </w:r>
      <w:r w:rsidR="00916235">
        <w:t>re account of past persecution”;</w:t>
      </w:r>
      <w:r>
        <w:t xml:space="preserve"> it affected </w:t>
      </w:r>
      <w:r w:rsidRPr="00916235">
        <w:rPr>
          <w:i/>
        </w:rPr>
        <w:t>any evidence</w:t>
      </w:r>
      <w:r>
        <w:t xml:space="preserve"> in support of his asylum claim to which the appellant’s credibility was relevant and b) the judge was not bound to accept the appellant’s evidence as to how his maternal uncle and/or sisters could and would act in the future.</w:t>
      </w:r>
    </w:p>
    <w:p w:rsidR="00916235" w:rsidRDefault="00A8624F" w:rsidP="00A8624F">
      <w:pPr>
        <w:pStyle w:val="p"/>
      </w:pPr>
      <w:r>
        <w:t>There is nothing recorded in relation to the asserted “concession” granted by the</w:t>
      </w:r>
      <w:r w:rsidR="00916235">
        <w:t xml:space="preserve"> Home Office Presenting Officer</w:t>
      </w:r>
      <w:r>
        <w:t xml:space="preserve">.  The Record of Proceedings merely state that </w:t>
      </w:r>
      <w:r w:rsidR="00916235">
        <w:t xml:space="preserve">there were </w:t>
      </w:r>
      <w:r w:rsidR="00606B84">
        <w:t>“submissions only”.  I</w:t>
      </w:r>
      <w:r>
        <w:t xml:space="preserve">t was accepted that </w:t>
      </w:r>
      <w:r w:rsidR="00606B84">
        <w:t>t</w:t>
      </w:r>
      <w:r>
        <w:t xml:space="preserve">he </w:t>
      </w:r>
      <w:r w:rsidR="00606B84">
        <w:t xml:space="preserve">appellant </w:t>
      </w:r>
      <w:r>
        <w:t xml:space="preserve">was abused in the refusal letter and the question was the risk on return.  </w:t>
      </w:r>
    </w:p>
    <w:p w:rsidR="00A8624F" w:rsidRDefault="00A8624F" w:rsidP="00A8624F">
      <w:pPr>
        <w:pStyle w:val="p"/>
      </w:pPr>
      <w:r>
        <w:t xml:space="preserve">Mr Duffy was not clear from the minutes that were available to him that there was any concession made by the </w:t>
      </w:r>
      <w:r w:rsidR="00916235">
        <w:t xml:space="preserve">Home Office Presenting Officer </w:t>
      </w:r>
      <w:r>
        <w:t xml:space="preserve">at the hearing.  I note the record in the decision itself relates at paragraph 15 to </w:t>
      </w:r>
      <w:r w:rsidRPr="00916235">
        <w:rPr>
          <w:i/>
        </w:rPr>
        <w:t>“the parties agree that this appeal would be dealt mainly on submissions</w:t>
      </w:r>
      <w:r>
        <w:t>”.  No record of</w:t>
      </w:r>
      <w:r w:rsidR="00606B84">
        <w:t xml:space="preserve"> a further concession was made and</w:t>
      </w:r>
      <w:r>
        <w:t xml:space="preserve"> I can discern no reference to further concession in the Record of Proceedings.</w:t>
      </w:r>
    </w:p>
    <w:p w:rsidR="00A8624F" w:rsidRDefault="00A8624F" w:rsidP="00A8624F">
      <w:pPr>
        <w:pStyle w:val="p"/>
      </w:pPr>
      <w:r>
        <w:t>Nonetheless, as made out by Miss McCallum, it is axiomatic that the appellant has a fair hearing and it is suggested that the appellant should</w:t>
      </w:r>
      <w:r w:rsidR="00606B84">
        <w:t xml:space="preserve"> have</w:t>
      </w:r>
      <w:r>
        <w:t xml:space="preserve"> be</w:t>
      </w:r>
      <w:r w:rsidR="00606B84">
        <w:t>en</w:t>
      </w:r>
      <w:r>
        <w:t xml:space="preserve"> called to clarify issues in his evidence in relation to credibility</w:t>
      </w:r>
      <w:r w:rsidR="00B40ACD">
        <w:t xml:space="preserve"> on the clearly critical issue of support on return</w:t>
      </w:r>
      <w:r>
        <w:t xml:space="preserve">.  </w:t>
      </w:r>
      <w:r w:rsidR="00B40ACD">
        <w:t xml:space="preserve">Indeed the reference by the judge to credibility may be just an unfortunate expression but if there is acceptance of credibility on the core part of his claim it would be inconsistent to reject another part without giving </w:t>
      </w:r>
      <w:r w:rsidR="00606B84">
        <w:t xml:space="preserve">clear and </w:t>
      </w:r>
      <w:r w:rsidR="00B40ACD">
        <w:t xml:space="preserve">adequate reasoning.  As such it was incumbent upon the judge if she had concerns about specific areas of his evidence to at least put those issues to him or at least advise the representative that there were concerns so that the opportunity was given to him to give evidence and address the issue.  </w:t>
      </w:r>
      <w:r>
        <w:t xml:space="preserve">That is fundamental to the procedure and to the findings of fact within the decision.  </w:t>
      </w:r>
    </w:p>
    <w:p w:rsidR="00A8624F" w:rsidRDefault="00A8624F" w:rsidP="00A8624F">
      <w:pPr>
        <w:pStyle w:val="p"/>
      </w:pPr>
      <w:r>
        <w:t>In relation to ground (ii)  the criticism of the judge’s decision was that the conclusion that the appellant’s maternal uncle and/or sisters would be able to support the appellant on return to Tirana was irrational.  Once again, as it is submitted, the judge came to the contrary finding without having tested the appellant’s evidence.</w:t>
      </w:r>
      <w:r w:rsidR="00AB3407">
        <w:t xml:space="preserve">  There would appear to be errors of law which may affect the outcome as set out in grounds (</w:t>
      </w:r>
      <w:proofErr w:type="spellStart"/>
      <w:r w:rsidR="00AB3407">
        <w:t>i</w:t>
      </w:r>
      <w:proofErr w:type="spellEnd"/>
      <w:r w:rsidR="00AB3407">
        <w:t>) and (ii).</w:t>
      </w:r>
    </w:p>
    <w:p w:rsidR="00A8624F" w:rsidRDefault="00566CB5" w:rsidP="00A8624F">
      <w:pPr>
        <w:pStyle w:val="p"/>
      </w:pPr>
      <w:r>
        <w:t>G</w:t>
      </w:r>
      <w:r w:rsidR="00A8624F">
        <w:t>round</w:t>
      </w:r>
      <w:r>
        <w:t xml:space="preserve"> (iii)</w:t>
      </w:r>
      <w:r w:rsidR="00A8624F">
        <w:t xml:space="preserve"> was that the judge erred in her assessment of whether there was sufficiency of protection in </w:t>
      </w:r>
      <w:smartTag w:uri="urn:schemas-microsoft-com:office:smarttags" w:element="country-region">
        <w:smartTag w:uri="urn:schemas-microsoft-com:office:smarttags" w:element="place">
          <w:r w:rsidR="00A8624F">
            <w:t>Albania</w:t>
          </w:r>
        </w:smartTag>
      </w:smartTag>
      <w:r w:rsidR="00A8624F">
        <w:t xml:space="preserve"> and that she only relied on one specific report, that of the </w:t>
      </w:r>
      <w:r w:rsidR="00A8624F" w:rsidRPr="00433F3C">
        <w:t>Swedish International Development Cooperation</w:t>
      </w:r>
      <w:r w:rsidR="00AB3407">
        <w:t xml:space="preserve"> which referred to </w:t>
      </w:r>
      <w:r w:rsidR="00606B84">
        <w:t xml:space="preserve">women and </w:t>
      </w:r>
      <w:r w:rsidR="00606B84">
        <w:lastRenderedPageBreak/>
        <w:t>girls and not to male victims over 14 years</w:t>
      </w:r>
      <w:r w:rsidR="00A8624F">
        <w:t>.</w:t>
      </w:r>
      <w:r w:rsidR="00606B84">
        <w:t xml:space="preserve">  It was arguable that the judge ignored the remai</w:t>
      </w:r>
      <w:r w:rsidR="008D60DE">
        <w:t>n</w:t>
      </w:r>
      <w:r w:rsidR="00606B84">
        <w:t>ing</w:t>
      </w:r>
      <w:r w:rsidR="00A8624F">
        <w:t xml:space="preserve"> copious evidence</w:t>
      </w:r>
      <w:r w:rsidR="00606B84">
        <w:t>. Although,</w:t>
      </w:r>
      <w:r w:rsidR="00A8624F">
        <w:t xml:space="preserve"> I </w:t>
      </w:r>
      <w:r w:rsidR="00AB3407">
        <w:t xml:space="preserve">do </w:t>
      </w:r>
      <w:r w:rsidR="00A8624F">
        <w:t>note that the judge did make a finding that the appellant could work on return to Albania</w:t>
      </w:r>
      <w:r w:rsidR="00606B84">
        <w:t xml:space="preserve"> that was within the context of the support of the family in terms of accommodation and </w:t>
      </w:r>
      <w:r w:rsidR="008D60DE">
        <w:t>the approach to that latter evidence appears to have been flawed as anal</w:t>
      </w:r>
      <w:r w:rsidR="00606B84">
        <w:t xml:space="preserve">ysed above. </w:t>
      </w:r>
    </w:p>
    <w:p w:rsidR="00A8624F" w:rsidRPr="001E4A7D" w:rsidRDefault="00A8624F" w:rsidP="00A8624F">
      <w:pPr>
        <w:pStyle w:val="p"/>
      </w:pPr>
      <w:r>
        <w:t>I am not persuaded that there is any specific error in the approach of the judge to ground</w:t>
      </w:r>
      <w:r w:rsidR="00606B84">
        <w:t xml:space="preserve"> (iv)</w:t>
      </w:r>
      <w:r>
        <w:t>, to the an</w:t>
      </w:r>
      <w:r w:rsidR="008D15E9">
        <w:t>alysis of the best interests but</w:t>
      </w:r>
      <w:r>
        <w:t xml:space="preserve"> </w:t>
      </w:r>
      <w:r w:rsidR="008D15E9">
        <w:t xml:space="preserve">as for ground (v) </w:t>
      </w:r>
      <w:r>
        <w:t xml:space="preserve">the analysis of any significant obstacles to integration on return </w:t>
      </w:r>
      <w:r w:rsidR="008D15E9">
        <w:t>would be affected by grounds (</w:t>
      </w:r>
      <w:proofErr w:type="spellStart"/>
      <w:r w:rsidR="008D15E9">
        <w:t>i</w:t>
      </w:r>
      <w:proofErr w:type="spellEnd"/>
      <w:r w:rsidR="008D15E9">
        <w:t xml:space="preserve">) and (ii).  </w:t>
      </w:r>
      <w:r>
        <w:t xml:space="preserve"> I have</w:t>
      </w:r>
      <w:r w:rsidR="008D15E9">
        <w:t>, however,</w:t>
      </w:r>
      <w:r>
        <w:t xml:space="preserve"> already found, the findings in relation to the appellant’s credibility are axiomatic and </w:t>
      </w:r>
      <w:r w:rsidR="008D15E9">
        <w:t xml:space="preserve">because </w:t>
      </w:r>
      <w:r>
        <w:t xml:space="preserve">there is an error of law </w:t>
      </w:r>
      <w:r w:rsidR="00606B84">
        <w:t>in relation to grounds (</w:t>
      </w:r>
      <w:proofErr w:type="spellStart"/>
      <w:r w:rsidR="00606B84">
        <w:t>i</w:t>
      </w:r>
      <w:proofErr w:type="spellEnd"/>
      <w:r w:rsidR="00606B84">
        <w:t>) and (ii) and consequently (iii) the decision should be set aside for a fresh hearing.  S</w:t>
      </w:r>
      <w:r>
        <w:t>hould the appellant wish to give evidence that is now a matter for him</w:t>
      </w:r>
      <w:r w:rsidR="00606B84">
        <w:t xml:space="preserve"> but any concerns about his evidence should be raised at the hearing</w:t>
      </w:r>
      <w:r>
        <w:t>.  As such, the matter should be returned to the First-tier Tribunal because of the nature and extent of the findings to be made</w:t>
      </w:r>
      <w:r w:rsidR="008D15E9">
        <w:t xml:space="preserve"> not least on the appellant’ oral evidence</w:t>
      </w:r>
      <w:r>
        <w:t>.</w:t>
      </w:r>
    </w:p>
    <w:p w:rsidR="00B772F0" w:rsidRDefault="00B772F0" w:rsidP="00A8624F">
      <w:pPr>
        <w:spacing w:before="240"/>
        <w:jc w:val="both"/>
        <w:rPr>
          <w:rFonts w:ascii="Book Antiqua" w:hAnsi="Book Antiqua" w:cs="Arial"/>
          <w:b/>
          <w:u w:val="single"/>
        </w:rPr>
      </w:pPr>
    </w:p>
    <w:p w:rsidR="00A8624F" w:rsidRDefault="00A8624F" w:rsidP="00A8624F">
      <w:pPr>
        <w:spacing w:before="240"/>
        <w:jc w:val="both"/>
        <w:rPr>
          <w:rFonts w:ascii="Book Antiqua" w:hAnsi="Book Antiqua" w:cs="Arial"/>
        </w:rPr>
      </w:pPr>
      <w:bookmarkStart w:id="0" w:name="_GoBack"/>
      <w:bookmarkEnd w:id="0"/>
      <w:r>
        <w:rPr>
          <w:rFonts w:ascii="Book Antiqua" w:hAnsi="Book Antiqua" w:cs="Arial"/>
          <w:b/>
          <w:u w:val="single"/>
        </w:rPr>
        <w:t>Notice of Decision</w:t>
      </w:r>
    </w:p>
    <w:p w:rsidR="00A8624F" w:rsidRDefault="00A8624F" w:rsidP="00A8624F">
      <w:pPr>
        <w:spacing w:before="240"/>
        <w:jc w:val="both"/>
        <w:rPr>
          <w:rFonts w:ascii="Book Antiqua" w:hAnsi="Book Antiqua" w:cs="Arial"/>
        </w:rPr>
      </w:pPr>
      <w:r>
        <w:rPr>
          <w:rFonts w:ascii="Book Antiqua" w:hAnsi="Book Antiqua" w:cs="Arial"/>
        </w:rPr>
        <w:t xml:space="preserve">The First-tier Tribunal made an error of law and his decision is set aside.  </w:t>
      </w:r>
      <w:r w:rsidR="00BA1E13">
        <w:rPr>
          <w:rFonts w:ascii="Book Antiqua" w:hAnsi="Book Antiqua" w:cs="Arial"/>
        </w:rPr>
        <w:t xml:space="preserve"> </w:t>
      </w:r>
    </w:p>
    <w:p w:rsidR="00BA1E13" w:rsidRDefault="00BA1E13" w:rsidP="00A8624F">
      <w:pPr>
        <w:spacing w:before="240"/>
        <w:jc w:val="both"/>
        <w:rPr>
          <w:rFonts w:ascii="Book Antiqua" w:hAnsi="Book Antiqua" w:cs="Arial"/>
        </w:rPr>
      </w:pPr>
    </w:p>
    <w:p w:rsidR="00BA1E13" w:rsidRDefault="00BA1E13" w:rsidP="0051391B">
      <w:pPr>
        <w:jc w:val="both"/>
      </w:pPr>
      <w:r>
        <w:rPr>
          <w:rFonts w:ascii="Book Antiqua" w:hAnsi="Book Antiqua" w:cs="Arial"/>
        </w:rPr>
        <w:t>The Judge erred materially for the reasons identified.</w:t>
      </w:r>
      <w:r w:rsidRPr="00BF5D68">
        <w:rPr>
          <w:rFonts w:ascii="Book Antiqua" w:hAnsi="Book Antiqua" w:cs="Arial"/>
        </w:rPr>
        <w:t xml:space="preserve"> </w:t>
      </w:r>
      <w:r>
        <w:rPr>
          <w:rFonts w:ascii="Book Antiqua" w:hAnsi="Book Antiqua" w:cs="Arial"/>
        </w:rPr>
        <w:t>I set aside the decision pursuant to Section 12(2)(a) of the Tribunals Courts and Enforcement Act 2007 (TCE 2007).  Bearing in mind the nature and extent of the findings to be made the matter should be remitted to the First-tier Tribunal under section 12(2) (b) (</w:t>
      </w:r>
      <w:proofErr w:type="spellStart"/>
      <w:r>
        <w:rPr>
          <w:rFonts w:ascii="Book Antiqua" w:hAnsi="Book Antiqua" w:cs="Arial"/>
        </w:rPr>
        <w:t>i</w:t>
      </w:r>
      <w:proofErr w:type="spellEnd"/>
      <w:r>
        <w:rPr>
          <w:rFonts w:ascii="Book Antiqua" w:hAnsi="Book Antiqua" w:cs="Arial"/>
        </w:rPr>
        <w:t>) of the TCE 2007 and further to 7.2 (b) of the Presidential Practice Statement.</w:t>
      </w:r>
    </w:p>
    <w:p w:rsidR="00BA1E13" w:rsidRPr="00B772F0" w:rsidRDefault="00BA1E13" w:rsidP="00A8624F">
      <w:pPr>
        <w:spacing w:before="240"/>
        <w:jc w:val="both"/>
        <w:rPr>
          <w:rFonts w:ascii="Book Antiqua" w:hAnsi="Book Antiqua" w:cs="Arial"/>
        </w:rPr>
      </w:pPr>
      <w:r w:rsidRPr="00B772F0">
        <w:rPr>
          <w:rFonts w:ascii="Book Antiqua" w:hAnsi="Book Antiqua" w:cs="Arial"/>
        </w:rPr>
        <w:t xml:space="preserve">Amended under Rule 42 (b) of The Tribunal Procedure (Upper Tribunal) Rules 2008 </w:t>
      </w:r>
    </w:p>
    <w:p w:rsidR="00BA1E13" w:rsidRPr="0051391B" w:rsidRDefault="00BA1E13" w:rsidP="00A8624F">
      <w:pPr>
        <w:spacing w:before="2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sidRPr="0051391B">
        <w:rPr>
          <w:rFonts w:ascii="Blackadder ITC" w:hAnsi="Blackadder ITC" w:cs="Arial"/>
        </w:rPr>
        <w:t xml:space="preserve">Helen Rimington </w:t>
      </w:r>
      <w:r>
        <w:rPr>
          <w:rFonts w:ascii="Blackadder ITC" w:hAnsi="Blackadder ITC" w:cs="Arial"/>
        </w:rPr>
        <w:t xml:space="preserve">  </w:t>
      </w:r>
      <w:r>
        <w:rPr>
          <w:rFonts w:ascii="Book Antiqua" w:hAnsi="Book Antiqua" w:cs="Arial"/>
        </w:rPr>
        <w:t xml:space="preserve">  U</w:t>
      </w:r>
      <w:r w:rsidR="00E43755">
        <w:rPr>
          <w:rFonts w:ascii="Book Antiqua" w:hAnsi="Book Antiqua" w:cs="Arial"/>
        </w:rPr>
        <w:t xml:space="preserve">pper Tribunal Judge Rimington    </w:t>
      </w:r>
      <w:r>
        <w:rPr>
          <w:rFonts w:ascii="Book Antiqua" w:hAnsi="Book Antiqua" w:cs="Arial"/>
        </w:rPr>
        <w:t xml:space="preserve"> 12</w:t>
      </w:r>
      <w:r w:rsidRPr="0051391B">
        <w:rPr>
          <w:rFonts w:ascii="Book Antiqua" w:hAnsi="Book Antiqua" w:cs="Arial"/>
          <w:vertAlign w:val="superscript"/>
        </w:rPr>
        <w:t>th</w:t>
      </w:r>
      <w:r>
        <w:rPr>
          <w:rFonts w:ascii="Book Antiqua" w:hAnsi="Book Antiqua" w:cs="Arial"/>
        </w:rPr>
        <w:t xml:space="preserve"> March 2018</w:t>
      </w:r>
    </w:p>
    <w:p w:rsidR="00BA1E13" w:rsidRPr="0051391B" w:rsidRDefault="00BA1E13" w:rsidP="00A8624F">
      <w:pPr>
        <w:spacing w:before="240"/>
        <w:jc w:val="both"/>
        <w:rPr>
          <w:rFonts w:ascii="Blackadder ITC" w:hAnsi="Blackadder ITC" w:cs="Arial"/>
        </w:rPr>
      </w:pPr>
    </w:p>
    <w:p w:rsidR="00A8624F" w:rsidRPr="0051391B" w:rsidRDefault="00A8624F" w:rsidP="00A8624F">
      <w:pPr>
        <w:jc w:val="both"/>
        <w:rPr>
          <w:rFonts w:ascii="Blackadder ITC" w:hAnsi="Blackadder ITC" w:cs="Arial"/>
        </w:rPr>
      </w:pPr>
    </w:p>
    <w:p w:rsidR="00A8624F" w:rsidRPr="00B772F0" w:rsidRDefault="00A8624F" w:rsidP="00A8624F">
      <w:pPr>
        <w:jc w:val="both"/>
        <w:rPr>
          <w:rFonts w:ascii="Book Antiqua" w:hAnsi="Book Antiqua" w:cs="Arial"/>
        </w:rPr>
      </w:pPr>
      <w:r w:rsidRPr="00B772F0">
        <w:rPr>
          <w:rFonts w:ascii="Book Antiqua" w:hAnsi="Book Antiqua" w:cs="Arial"/>
          <w:b/>
          <w:u w:val="single"/>
        </w:rPr>
        <w:t>Direction Regarding Anonymity – Rule 14 of the Tribunal Procedure (Upper Tribunal) Rules 2008</w:t>
      </w:r>
    </w:p>
    <w:p w:rsidR="00A8624F" w:rsidRPr="00B772F0" w:rsidRDefault="00A8624F" w:rsidP="00A8624F">
      <w:pPr>
        <w:jc w:val="both"/>
        <w:rPr>
          <w:rFonts w:ascii="Book Antiqua" w:hAnsi="Book Antiqua" w:cs="Arial"/>
        </w:rPr>
      </w:pPr>
    </w:p>
    <w:p w:rsidR="00A8624F" w:rsidRPr="00B772F0" w:rsidRDefault="00A8624F" w:rsidP="00A8624F">
      <w:pPr>
        <w:jc w:val="both"/>
        <w:rPr>
          <w:rFonts w:ascii="Book Antiqua" w:hAnsi="Book Antiqua" w:cs="Arial"/>
        </w:rPr>
      </w:pPr>
      <w:r w:rsidRPr="00B772F0">
        <w:rPr>
          <w:rFonts w:ascii="Book Antiqua" w:hAnsi="Book Antiqua" w:cs="Arial"/>
        </w:rPr>
        <w:t xml:space="preserve">Unless and </w:t>
      </w:r>
      <w:r w:rsidRPr="00B772F0">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A8624F" w:rsidRPr="00B772F0" w:rsidRDefault="00A8624F" w:rsidP="00606B84">
      <w:pPr>
        <w:jc w:val="both"/>
        <w:rPr>
          <w:rFonts w:ascii="Book Antiqua" w:hAnsi="Book Antiqua" w:cs="Arial"/>
        </w:rPr>
      </w:pPr>
    </w:p>
    <w:p w:rsidR="00BA1E13" w:rsidRPr="00B772F0" w:rsidRDefault="00A8624F" w:rsidP="0051391B">
      <w:pPr>
        <w:ind w:left="1440" w:hanging="1440"/>
        <w:jc w:val="both"/>
        <w:rPr>
          <w:rFonts w:ascii="Book Antiqua" w:hAnsi="Book Antiqua" w:cs="Arial"/>
        </w:rPr>
      </w:pPr>
      <w:r w:rsidRPr="00B772F0">
        <w:rPr>
          <w:rFonts w:ascii="Book Antiqua" w:hAnsi="Book Antiqua" w:cs="Arial"/>
        </w:rPr>
        <w:t>Signed</w:t>
      </w:r>
      <w:r w:rsidRPr="00B772F0">
        <w:rPr>
          <w:rFonts w:ascii="Book Antiqua" w:hAnsi="Book Antiqua" w:cs="Arial"/>
        </w:rPr>
        <w:tab/>
      </w:r>
      <w:r w:rsidRPr="00B772F0">
        <w:rPr>
          <w:rFonts w:ascii="Book Antiqua" w:hAnsi="Book Antiqua" w:cs="Arial"/>
        </w:rPr>
        <w:tab/>
      </w:r>
      <w:r w:rsidR="00834653" w:rsidRPr="00B772F0">
        <w:rPr>
          <w:rFonts w:ascii="Blackadder ITC" w:hAnsi="Blackadder ITC" w:cs="Arial"/>
        </w:rPr>
        <w:t>Helen Rimington</w:t>
      </w:r>
      <w:r w:rsidRPr="00B772F0">
        <w:rPr>
          <w:rFonts w:ascii="Book Antiqua" w:hAnsi="Book Antiqua" w:cs="Arial"/>
        </w:rPr>
        <w:tab/>
      </w:r>
      <w:r w:rsidRPr="00B772F0">
        <w:rPr>
          <w:rFonts w:ascii="Book Antiqua" w:hAnsi="Book Antiqua" w:cs="Arial"/>
        </w:rPr>
        <w:tab/>
      </w:r>
      <w:r w:rsidRPr="00B772F0">
        <w:rPr>
          <w:rFonts w:ascii="Book Antiqua" w:hAnsi="Book Antiqua" w:cs="Arial"/>
        </w:rPr>
        <w:tab/>
      </w:r>
      <w:r w:rsidRPr="00B772F0">
        <w:rPr>
          <w:rFonts w:ascii="Book Antiqua" w:hAnsi="Book Antiqua" w:cs="Arial"/>
        </w:rPr>
        <w:tab/>
        <w:t>Date</w:t>
      </w:r>
      <w:r w:rsidR="00834653" w:rsidRPr="00B772F0">
        <w:rPr>
          <w:rFonts w:ascii="Book Antiqua" w:hAnsi="Book Antiqua" w:cs="Arial"/>
        </w:rPr>
        <w:t xml:space="preserve"> </w:t>
      </w:r>
      <w:r w:rsidR="00BA1E13" w:rsidRPr="00B772F0">
        <w:rPr>
          <w:rFonts w:ascii="Book Antiqua" w:hAnsi="Book Antiqua" w:cs="Arial"/>
        </w:rPr>
        <w:t xml:space="preserve">    </w:t>
      </w:r>
    </w:p>
    <w:p w:rsidR="00BA1E13" w:rsidRPr="00B772F0" w:rsidRDefault="00BA1E13" w:rsidP="0051391B">
      <w:pPr>
        <w:ind w:left="1440" w:hanging="1440"/>
        <w:jc w:val="both"/>
        <w:rPr>
          <w:rFonts w:ascii="Book Antiqua" w:hAnsi="Book Antiqua" w:cs="Arial"/>
        </w:rPr>
      </w:pPr>
    </w:p>
    <w:p w:rsidR="00A8624F" w:rsidRPr="00B772F0" w:rsidRDefault="00BA1E13" w:rsidP="0051391B">
      <w:pPr>
        <w:ind w:left="1440" w:hanging="1440"/>
        <w:jc w:val="both"/>
        <w:rPr>
          <w:rFonts w:ascii="Book Antiqua" w:hAnsi="Book Antiqua" w:cs="Arial"/>
        </w:rPr>
      </w:pPr>
      <w:r w:rsidRPr="00B772F0">
        <w:rPr>
          <w:rFonts w:ascii="Book Antiqua" w:hAnsi="Book Antiqua" w:cs="Arial"/>
        </w:rPr>
        <w:t xml:space="preserve">                                                                                         </w:t>
      </w:r>
      <w:r w:rsidR="003B04B9" w:rsidRPr="00B772F0">
        <w:rPr>
          <w:rFonts w:ascii="Book Antiqua" w:hAnsi="Book Antiqua" w:cs="Arial"/>
        </w:rPr>
        <w:t xml:space="preserve">Signed    </w:t>
      </w:r>
      <w:r w:rsidRPr="00B772F0">
        <w:rPr>
          <w:rFonts w:ascii="Book Antiqua" w:hAnsi="Book Antiqua" w:cs="Arial"/>
        </w:rPr>
        <w:t xml:space="preserve"> 12</w:t>
      </w:r>
      <w:r w:rsidRPr="00B772F0">
        <w:rPr>
          <w:rFonts w:ascii="Book Antiqua" w:hAnsi="Book Antiqua" w:cs="Arial"/>
          <w:vertAlign w:val="superscript"/>
        </w:rPr>
        <w:t>th</w:t>
      </w:r>
      <w:r w:rsidRPr="00B772F0">
        <w:rPr>
          <w:rFonts w:ascii="Book Antiqua" w:hAnsi="Book Antiqua" w:cs="Arial"/>
        </w:rPr>
        <w:t xml:space="preserve"> March 2018</w:t>
      </w:r>
    </w:p>
    <w:p w:rsidR="00A8624F" w:rsidRPr="00B772F0" w:rsidRDefault="00A8624F" w:rsidP="00606B84">
      <w:pPr>
        <w:tabs>
          <w:tab w:val="left" w:pos="2520"/>
        </w:tabs>
        <w:jc w:val="both"/>
        <w:rPr>
          <w:rFonts w:ascii="Book Antiqua" w:hAnsi="Book Antiqua" w:cs="Arial"/>
        </w:rPr>
      </w:pPr>
    </w:p>
    <w:p w:rsidR="00A8624F" w:rsidRPr="00B772F0" w:rsidRDefault="00A8624F" w:rsidP="00A8624F">
      <w:pPr>
        <w:tabs>
          <w:tab w:val="left" w:pos="2520"/>
        </w:tabs>
        <w:ind w:left="540" w:hanging="540"/>
        <w:jc w:val="both"/>
        <w:rPr>
          <w:rFonts w:ascii="Book Antiqua" w:hAnsi="Book Antiqua" w:cs="Arial"/>
          <w:color w:val="000000"/>
        </w:rPr>
      </w:pPr>
      <w:r w:rsidRPr="00B772F0">
        <w:rPr>
          <w:rFonts w:ascii="Book Antiqua" w:hAnsi="Book Antiqua" w:cs="Arial"/>
          <w:color w:val="000000"/>
        </w:rPr>
        <w:t xml:space="preserve">Upper Tribunal Judge Rimington </w:t>
      </w:r>
    </w:p>
    <w:p w:rsidR="00A8624F" w:rsidRPr="00B772F0" w:rsidRDefault="00A8624F" w:rsidP="00A8624F">
      <w:pPr>
        <w:tabs>
          <w:tab w:val="left" w:pos="2520"/>
        </w:tabs>
        <w:ind w:left="540" w:hanging="540"/>
        <w:jc w:val="both"/>
        <w:rPr>
          <w:rFonts w:ascii="Book Antiqua" w:hAnsi="Book Antiqua" w:cs="Arial"/>
        </w:rPr>
      </w:pPr>
    </w:p>
    <w:sectPr w:rsidR="00A8624F" w:rsidRPr="00B772F0" w:rsidSect="00B772F0">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800" w:rsidRDefault="00AF7800">
      <w:r>
        <w:separator/>
      </w:r>
    </w:p>
  </w:endnote>
  <w:endnote w:type="continuationSeparator" w:id="0">
    <w:p w:rsidR="00AF7800" w:rsidRDefault="00AF7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4B9" w:rsidRPr="00B772F0" w:rsidRDefault="003B04B9" w:rsidP="00A8624F">
    <w:pPr>
      <w:pStyle w:val="Footer"/>
      <w:jc w:val="center"/>
      <w:rPr>
        <w:rFonts w:ascii="Book Antiqua" w:hAnsi="Book Antiqua" w:cs="Arial"/>
      </w:rPr>
    </w:pPr>
    <w:r w:rsidRPr="00B772F0">
      <w:rPr>
        <w:rStyle w:val="PageNumber"/>
        <w:rFonts w:ascii="Book Antiqua" w:hAnsi="Book Antiqua" w:cs="Arial"/>
      </w:rPr>
      <w:fldChar w:fldCharType="begin"/>
    </w:r>
    <w:r w:rsidRPr="00B772F0">
      <w:rPr>
        <w:rStyle w:val="PageNumber"/>
        <w:rFonts w:ascii="Book Antiqua" w:hAnsi="Book Antiqua" w:cs="Arial"/>
      </w:rPr>
      <w:instrText xml:space="preserve"> PAGE </w:instrText>
    </w:r>
    <w:r w:rsidRPr="00B772F0">
      <w:rPr>
        <w:rStyle w:val="PageNumber"/>
        <w:rFonts w:ascii="Book Antiqua" w:hAnsi="Book Antiqua" w:cs="Arial"/>
      </w:rPr>
      <w:fldChar w:fldCharType="separate"/>
    </w:r>
    <w:r w:rsidR="00B4199A">
      <w:rPr>
        <w:rStyle w:val="PageNumber"/>
        <w:rFonts w:ascii="Book Antiqua" w:hAnsi="Book Antiqua" w:cs="Arial"/>
        <w:noProof/>
      </w:rPr>
      <w:t>8</w:t>
    </w:r>
    <w:r w:rsidRPr="00B772F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4B9" w:rsidRPr="00C4371F" w:rsidRDefault="003B04B9" w:rsidP="00A8624F">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800" w:rsidRDefault="00AF7800">
      <w:r>
        <w:separator/>
      </w:r>
    </w:p>
  </w:footnote>
  <w:footnote w:type="continuationSeparator" w:id="0">
    <w:p w:rsidR="00AF7800" w:rsidRDefault="00AF7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4B9" w:rsidRDefault="003B04B9" w:rsidP="00A8624F">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w:t>
    </w:r>
    <w:r w:rsidRPr="0051707C">
      <w:rPr>
        <w:rFonts w:ascii="Book Antiqua" w:hAnsi="Book Antiqua" w:cs="Arial"/>
        <w:sz w:val="16"/>
        <w:szCs w:val="16"/>
      </w:rPr>
      <w:t>PA/14069/2016</w:t>
    </w:r>
  </w:p>
  <w:p w:rsidR="00B772F0" w:rsidRPr="0051707C" w:rsidRDefault="00B772F0" w:rsidP="00A8624F">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4B9" w:rsidRPr="00C4371F" w:rsidRDefault="003B04B9">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CDC82E4A"/>
    <w:lvl w:ilvl="0" w:tplc="258E3830">
      <w:start w:val="1"/>
      <w:numFmt w:val="decimal"/>
      <w:pStyle w:val="p"/>
      <w:lvlText w:val="%1."/>
      <w:lvlJc w:val="left"/>
      <w:pPr>
        <w:tabs>
          <w:tab w:val="num" w:pos="720"/>
        </w:tabs>
        <w:ind w:left="720" w:hanging="360"/>
      </w:pPr>
    </w:lvl>
    <w:lvl w:ilvl="1" w:tplc="1F345DF8">
      <w:start w:val="1"/>
      <w:numFmt w:val="decimal"/>
      <w:pStyle w:val="subp"/>
      <w:lvlText w:val="(%2)"/>
      <w:lvlJc w:val="left"/>
      <w:pPr>
        <w:tabs>
          <w:tab w:val="num" w:pos="1134"/>
        </w:tabs>
        <w:ind w:left="1134" w:hanging="567"/>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4F"/>
    <w:rsid w:val="00067785"/>
    <w:rsid w:val="000B5231"/>
    <w:rsid w:val="0012185C"/>
    <w:rsid w:val="001252D7"/>
    <w:rsid w:val="00257D10"/>
    <w:rsid w:val="00351331"/>
    <w:rsid w:val="003B04B9"/>
    <w:rsid w:val="00400EEF"/>
    <w:rsid w:val="004E5DC5"/>
    <w:rsid w:val="0051391B"/>
    <w:rsid w:val="00545A98"/>
    <w:rsid w:val="00566CB5"/>
    <w:rsid w:val="005F73CC"/>
    <w:rsid w:val="00606B84"/>
    <w:rsid w:val="00643CD7"/>
    <w:rsid w:val="00660EB0"/>
    <w:rsid w:val="007C7AEC"/>
    <w:rsid w:val="00814F2F"/>
    <w:rsid w:val="00834653"/>
    <w:rsid w:val="008D0FC3"/>
    <w:rsid w:val="008D15E9"/>
    <w:rsid w:val="008D60DE"/>
    <w:rsid w:val="008F49F0"/>
    <w:rsid w:val="00916235"/>
    <w:rsid w:val="00A8624F"/>
    <w:rsid w:val="00AB3407"/>
    <w:rsid w:val="00AB404C"/>
    <w:rsid w:val="00AF7800"/>
    <w:rsid w:val="00B33EFF"/>
    <w:rsid w:val="00B40ACD"/>
    <w:rsid w:val="00B4199A"/>
    <w:rsid w:val="00B772F0"/>
    <w:rsid w:val="00BA1E13"/>
    <w:rsid w:val="00C222B8"/>
    <w:rsid w:val="00CE6066"/>
    <w:rsid w:val="00DA1D52"/>
    <w:rsid w:val="00E43755"/>
    <w:rsid w:val="00EA16E5"/>
    <w:rsid w:val="00F46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21BA8C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62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624F"/>
    <w:pPr>
      <w:tabs>
        <w:tab w:val="center" w:pos="4153"/>
        <w:tab w:val="right" w:pos="8306"/>
      </w:tabs>
    </w:pPr>
  </w:style>
  <w:style w:type="paragraph" w:styleId="Footer">
    <w:name w:val="footer"/>
    <w:basedOn w:val="Normal"/>
    <w:rsid w:val="00A8624F"/>
    <w:pPr>
      <w:tabs>
        <w:tab w:val="center" w:pos="4153"/>
        <w:tab w:val="right" w:pos="8306"/>
      </w:tabs>
    </w:pPr>
  </w:style>
  <w:style w:type="character" w:styleId="PageNumber">
    <w:name w:val="page number"/>
    <w:basedOn w:val="DefaultParagraphFont"/>
    <w:rsid w:val="00A8624F"/>
  </w:style>
  <w:style w:type="table" w:styleId="TableGrid">
    <w:name w:val="Table Grid"/>
    <w:basedOn w:val="TableNormal"/>
    <w:rsid w:val="00A86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A8624F"/>
    <w:pPr>
      <w:numPr>
        <w:numId w:val="1"/>
      </w:numPr>
      <w:tabs>
        <w:tab w:val="clear" w:pos="720"/>
      </w:tabs>
      <w:spacing w:before="240"/>
      <w:ind w:left="567" w:hanging="567"/>
      <w:jc w:val="both"/>
    </w:pPr>
    <w:rPr>
      <w:rFonts w:ascii="Book Antiqua" w:hAnsi="Book Antiqua" w:cs="Arial"/>
    </w:rPr>
  </w:style>
  <w:style w:type="paragraph" w:customStyle="1" w:styleId="q">
    <w:name w:val="q"/>
    <w:basedOn w:val="p"/>
    <w:rsid w:val="00A8624F"/>
    <w:pPr>
      <w:numPr>
        <w:numId w:val="0"/>
      </w:numPr>
      <w:ind w:left="1134"/>
    </w:pPr>
    <w:rPr>
      <w:i/>
    </w:rPr>
  </w:style>
  <w:style w:type="paragraph" w:customStyle="1" w:styleId="h">
    <w:name w:val="h"/>
    <w:basedOn w:val="p"/>
    <w:rsid w:val="00A8624F"/>
    <w:pPr>
      <w:numPr>
        <w:numId w:val="0"/>
      </w:numPr>
    </w:pPr>
    <w:rPr>
      <w:b/>
      <w:u w:val="single"/>
    </w:rPr>
  </w:style>
  <w:style w:type="paragraph" w:customStyle="1" w:styleId="subp">
    <w:name w:val="subp"/>
    <w:basedOn w:val="p"/>
    <w:rsid w:val="00A8624F"/>
    <w:pPr>
      <w:numPr>
        <w:ilvl w:val="1"/>
      </w:numPr>
    </w:pPr>
  </w:style>
  <w:style w:type="paragraph" w:styleId="BalloonText">
    <w:name w:val="Balloon Text"/>
    <w:basedOn w:val="Normal"/>
    <w:semiHidden/>
    <w:rsid w:val="008D15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2946</Words>
  <Characters>14615</Characters>
  <Application>Microsoft Office Word</Application>
  <DocSecurity>0</DocSecurity>
  <Lines>121</Lines>
  <Paragraphs>35</Paragraphs>
  <ScaleCrop>false</ScaleCrop>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2018-07-20T13:30:00Z</dcterms:created>
  <dcterms:modified xsi:type="dcterms:W3CDTF">2018-07-20T13:30:00Z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