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2EE1A" w14:textId="77777777" w:rsidR="00D94AFC" w:rsidRPr="00BC1584" w:rsidRDefault="00721987" w:rsidP="00BC1584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5A28FB81" wp14:editId="449DE52C">
            <wp:extent cx="1195200" cy="10332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200" cy="10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71E6E8" w14:textId="77777777" w:rsidR="008A6059" w:rsidRPr="009B7433" w:rsidRDefault="008A6059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9B7433">
        <w:rPr>
          <w:rFonts w:ascii="Book Antiqua" w:hAnsi="Book Antiqua" w:cs="Arial"/>
          <w:b/>
          <w:color w:val="000000"/>
        </w:rPr>
        <w:t xml:space="preserve">Upper Tribunal </w:t>
      </w:r>
    </w:p>
    <w:p w14:paraId="2BB3F9EB" w14:textId="627042AD" w:rsidR="007B0824" w:rsidRPr="009B7433" w:rsidRDefault="008A6059" w:rsidP="00780F86">
      <w:pPr>
        <w:tabs>
          <w:tab w:val="right" w:pos="9720"/>
        </w:tabs>
        <w:ind w:right="-82"/>
        <w:rPr>
          <w:rFonts w:ascii="Book Antiqua" w:hAnsi="Book Antiqua" w:cs="Arial"/>
          <w:color w:val="000000"/>
        </w:rPr>
      </w:pPr>
      <w:r w:rsidRPr="009B7433">
        <w:rPr>
          <w:rFonts w:ascii="Book Antiqua" w:hAnsi="Book Antiqua" w:cs="Arial"/>
          <w:b/>
          <w:color w:val="000000"/>
        </w:rPr>
        <w:t xml:space="preserve">(Immigration and Asylum </w:t>
      </w:r>
      <w:proofErr w:type="gramStart"/>
      <w:r w:rsidRPr="009B7433">
        <w:rPr>
          <w:rFonts w:ascii="Book Antiqua" w:hAnsi="Book Antiqua" w:cs="Arial"/>
          <w:b/>
          <w:color w:val="000000"/>
        </w:rPr>
        <w:t>Chamber)</w:t>
      </w:r>
      <w:r w:rsidR="000526F8">
        <w:rPr>
          <w:rFonts w:ascii="Book Antiqua" w:hAnsi="Book Antiqua" w:cs="Arial"/>
          <w:b/>
          <w:color w:val="000000"/>
        </w:rPr>
        <w:t xml:space="preserve">   </w:t>
      </w:r>
      <w:proofErr w:type="gramEnd"/>
      <w:r w:rsidR="000526F8">
        <w:rPr>
          <w:rFonts w:ascii="Book Antiqua" w:hAnsi="Book Antiqua" w:cs="Arial"/>
          <w:b/>
          <w:color w:val="000000"/>
        </w:rPr>
        <w:t xml:space="preserve">                     </w:t>
      </w:r>
      <w:r w:rsidR="00B3524D" w:rsidRPr="000526F8">
        <w:rPr>
          <w:rFonts w:ascii="Book Antiqua" w:hAnsi="Book Antiqua" w:cs="Arial"/>
          <w:b/>
          <w:color w:val="000000"/>
        </w:rPr>
        <w:t>Appeal Number</w:t>
      </w:r>
      <w:r w:rsidR="00D53769" w:rsidRPr="000526F8">
        <w:rPr>
          <w:rFonts w:ascii="Book Antiqua" w:hAnsi="Book Antiqua" w:cs="Arial"/>
          <w:b/>
          <w:color w:val="000000"/>
        </w:rPr>
        <w:t>:</w:t>
      </w:r>
      <w:r w:rsidR="00B3524D" w:rsidRPr="000526F8">
        <w:rPr>
          <w:rFonts w:ascii="Book Antiqua" w:hAnsi="Book Antiqua" w:cs="Arial"/>
          <w:b/>
          <w:color w:val="000000"/>
        </w:rPr>
        <w:t xml:space="preserve"> </w:t>
      </w:r>
      <w:r w:rsidR="00165AC1" w:rsidRPr="000526F8">
        <w:rPr>
          <w:rFonts w:ascii="Book Antiqua" w:hAnsi="Book Antiqua" w:cs="Arial"/>
          <w:b/>
          <w:caps/>
          <w:color w:val="000000"/>
        </w:rPr>
        <w:t>pa/14077/2016</w:t>
      </w:r>
    </w:p>
    <w:p w14:paraId="14B5F179" w14:textId="77777777" w:rsidR="00C345E1" w:rsidRPr="009B7433" w:rsidRDefault="00C345E1" w:rsidP="00C345E1">
      <w:pPr>
        <w:jc w:val="center"/>
        <w:rPr>
          <w:rFonts w:ascii="Book Antiqua" w:hAnsi="Book Antiqua" w:cs="Arial"/>
          <w:color w:val="000000"/>
        </w:rPr>
      </w:pPr>
    </w:p>
    <w:p w14:paraId="22FD685B" w14:textId="77777777" w:rsidR="00C345E1" w:rsidRPr="009B7433" w:rsidRDefault="00C345E1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9B7433">
        <w:rPr>
          <w:rFonts w:ascii="Book Antiqua" w:hAnsi="Book Antiqua" w:cs="Arial"/>
          <w:b/>
          <w:color w:val="000000"/>
          <w:u w:val="single"/>
        </w:rPr>
        <w:t>THE IMMIGRATION ACTS</w:t>
      </w:r>
    </w:p>
    <w:p w14:paraId="03FE7664" w14:textId="77777777" w:rsidR="00C345E1" w:rsidRPr="009B7433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245"/>
        <w:gridCol w:w="4763"/>
      </w:tblGrid>
      <w:tr w:rsidR="00D22636" w:rsidRPr="009B7433" w14:paraId="443A3F60" w14:textId="77777777" w:rsidTr="000526F8">
        <w:tc>
          <w:tcPr>
            <w:tcW w:w="5245" w:type="dxa"/>
          </w:tcPr>
          <w:p w14:paraId="54109FC9" w14:textId="77777777" w:rsidR="00D22636" w:rsidRPr="009B7433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9B7433">
              <w:rPr>
                <w:rFonts w:ascii="Book Antiqua" w:hAnsi="Book Antiqua" w:cs="Arial"/>
                <w:b/>
              </w:rPr>
              <w:t xml:space="preserve">Heard at </w:t>
            </w:r>
            <w:r w:rsidR="00165AC1">
              <w:rPr>
                <w:rFonts w:ascii="Book Antiqua" w:hAnsi="Book Antiqua" w:cs="Arial"/>
                <w:b/>
              </w:rPr>
              <w:t>Newport</w:t>
            </w:r>
          </w:p>
        </w:tc>
        <w:tc>
          <w:tcPr>
            <w:tcW w:w="4763" w:type="dxa"/>
          </w:tcPr>
          <w:p w14:paraId="1CCECA79" w14:textId="4387BF77" w:rsidR="00D22636" w:rsidRPr="009B7433" w:rsidRDefault="000526F8" w:rsidP="00093D4D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 xml:space="preserve"> </w:t>
            </w:r>
            <w:r w:rsidR="00D949B7">
              <w:rPr>
                <w:rFonts w:ascii="Book Antiqua" w:hAnsi="Book Antiqua" w:cs="Arial"/>
                <w:b/>
                <w:color w:val="000000"/>
              </w:rPr>
              <w:t>Decision &amp; Reasons</w:t>
            </w:r>
            <w:r w:rsidR="00283659" w:rsidRPr="009B7433">
              <w:rPr>
                <w:rFonts w:ascii="Book Antiqua" w:hAnsi="Book Antiqua" w:cs="Arial"/>
                <w:b/>
                <w:color w:val="000000"/>
              </w:rPr>
              <w:t xml:space="preserve"> Promulgated</w:t>
            </w:r>
          </w:p>
        </w:tc>
      </w:tr>
      <w:tr w:rsidR="00D22636" w:rsidRPr="009B7433" w14:paraId="68B53E42" w14:textId="77777777" w:rsidTr="000526F8">
        <w:tc>
          <w:tcPr>
            <w:tcW w:w="5245" w:type="dxa"/>
          </w:tcPr>
          <w:p w14:paraId="099E214B" w14:textId="77777777" w:rsidR="00D22636" w:rsidRPr="009B7433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9B7433">
              <w:rPr>
                <w:rFonts w:ascii="Book Antiqua" w:hAnsi="Book Antiqua" w:cs="Arial"/>
                <w:b/>
              </w:rPr>
              <w:t xml:space="preserve">On </w:t>
            </w:r>
            <w:r w:rsidR="00165AC1">
              <w:rPr>
                <w:rFonts w:ascii="Book Antiqua" w:hAnsi="Book Antiqua" w:cs="Arial"/>
                <w:b/>
              </w:rPr>
              <w:t>3 May 2018</w:t>
            </w:r>
          </w:p>
        </w:tc>
        <w:tc>
          <w:tcPr>
            <w:tcW w:w="4763" w:type="dxa"/>
          </w:tcPr>
          <w:p w14:paraId="126FDE71" w14:textId="49C91777" w:rsidR="00D22636" w:rsidRPr="009B7433" w:rsidRDefault="000526F8" w:rsidP="004A184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 </w:t>
            </w:r>
            <w:r w:rsidR="00CD01BB">
              <w:rPr>
                <w:rFonts w:ascii="Book Antiqua" w:hAnsi="Book Antiqua" w:cs="Arial"/>
                <w:b/>
              </w:rPr>
              <w:t>On 17 May 2018</w:t>
            </w:r>
          </w:p>
        </w:tc>
      </w:tr>
      <w:tr w:rsidR="00D22636" w:rsidRPr="009B7433" w14:paraId="59CF3275" w14:textId="77777777" w:rsidTr="000526F8">
        <w:tc>
          <w:tcPr>
            <w:tcW w:w="5245" w:type="dxa"/>
          </w:tcPr>
          <w:p w14:paraId="0C226670" w14:textId="77777777" w:rsidR="00D22636" w:rsidRPr="009B7433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763" w:type="dxa"/>
          </w:tcPr>
          <w:p w14:paraId="1EC07EDA" w14:textId="028801B3" w:rsidR="00D22636" w:rsidRPr="009B7433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14:paraId="427B6FCE" w14:textId="77777777" w:rsidR="00A15234" w:rsidRPr="009B7433" w:rsidRDefault="00A15234" w:rsidP="00A15234">
      <w:pPr>
        <w:jc w:val="center"/>
        <w:rPr>
          <w:rFonts w:ascii="Book Antiqua" w:hAnsi="Book Antiqua" w:cs="Arial"/>
        </w:rPr>
      </w:pPr>
    </w:p>
    <w:p w14:paraId="147CF859" w14:textId="77777777" w:rsidR="00A15234" w:rsidRPr="009B7433" w:rsidRDefault="00207617" w:rsidP="00A15234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t>Befo</w:t>
      </w:r>
      <w:r w:rsidR="00A15234" w:rsidRPr="009B7433">
        <w:rPr>
          <w:rFonts w:ascii="Book Antiqua" w:hAnsi="Book Antiqua" w:cs="Arial"/>
          <w:b/>
        </w:rPr>
        <w:t>re</w:t>
      </w:r>
    </w:p>
    <w:p w14:paraId="19501EE3" w14:textId="77777777" w:rsidR="00A15234" w:rsidRPr="009B7433" w:rsidRDefault="00A15234" w:rsidP="00A15234">
      <w:pPr>
        <w:jc w:val="center"/>
        <w:rPr>
          <w:rFonts w:ascii="Book Antiqua" w:hAnsi="Book Antiqua" w:cs="Arial"/>
          <w:b/>
        </w:rPr>
      </w:pPr>
    </w:p>
    <w:p w14:paraId="31BDB8EA" w14:textId="77777777" w:rsidR="001B186A" w:rsidRPr="009B7433" w:rsidRDefault="00C23DFC" w:rsidP="00165AC1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 xml:space="preserve">UPPER TRIBUNAL JUDGE </w:t>
      </w:r>
      <w:r w:rsidR="009669C6">
        <w:rPr>
          <w:rFonts w:ascii="Book Antiqua" w:hAnsi="Book Antiqua" w:cs="Arial"/>
          <w:b/>
          <w:color w:val="000000"/>
        </w:rPr>
        <w:t>GRUBB</w:t>
      </w:r>
    </w:p>
    <w:p w14:paraId="566BC9AA" w14:textId="77777777" w:rsidR="00D20757" w:rsidRPr="009B7433" w:rsidRDefault="00D20757" w:rsidP="00A15234">
      <w:pPr>
        <w:jc w:val="center"/>
        <w:rPr>
          <w:rFonts w:ascii="Book Antiqua" w:hAnsi="Book Antiqua" w:cs="Arial"/>
          <w:b/>
        </w:rPr>
      </w:pPr>
    </w:p>
    <w:p w14:paraId="002464BD" w14:textId="77777777" w:rsidR="00A845DC" w:rsidRPr="009B7433" w:rsidRDefault="00A845DC" w:rsidP="00A15234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t>Between</w:t>
      </w:r>
    </w:p>
    <w:p w14:paraId="0F39624E" w14:textId="77777777" w:rsidR="00A845DC" w:rsidRPr="009B7433" w:rsidRDefault="00A845DC" w:rsidP="00A15234">
      <w:pPr>
        <w:jc w:val="center"/>
        <w:rPr>
          <w:rFonts w:ascii="Book Antiqua" w:hAnsi="Book Antiqua" w:cs="Arial"/>
          <w:b/>
        </w:rPr>
      </w:pPr>
    </w:p>
    <w:p w14:paraId="277D144B" w14:textId="77777777" w:rsidR="00A845DC" w:rsidRDefault="00165AC1" w:rsidP="00A15234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EF</w:t>
      </w:r>
    </w:p>
    <w:p w14:paraId="04804DCF" w14:textId="77777777" w:rsidR="00D949B7" w:rsidRPr="000526F8" w:rsidRDefault="00D949B7" w:rsidP="00D949B7">
      <w:pPr>
        <w:jc w:val="center"/>
        <w:rPr>
          <w:rFonts w:ascii="Book Antiqua" w:hAnsi="Book Antiqua" w:cs="Arial"/>
          <w:caps/>
        </w:rPr>
      </w:pPr>
      <w:r w:rsidRPr="000526F8">
        <w:rPr>
          <w:rFonts w:ascii="Book Antiqua" w:hAnsi="Book Antiqua" w:cs="Arial"/>
          <w:caps/>
        </w:rPr>
        <w:t xml:space="preserve">(ANONYMITY DIRECTION </w:t>
      </w:r>
      <w:r w:rsidR="00994D33" w:rsidRPr="000526F8">
        <w:rPr>
          <w:rFonts w:ascii="Book Antiqua" w:hAnsi="Book Antiqua" w:cs="Arial"/>
          <w:caps/>
        </w:rPr>
        <w:t>MADE</w:t>
      </w:r>
      <w:r w:rsidRPr="000526F8">
        <w:rPr>
          <w:rFonts w:ascii="Book Antiqua" w:hAnsi="Book Antiqua" w:cs="Arial"/>
          <w:caps/>
        </w:rPr>
        <w:t>)</w:t>
      </w:r>
    </w:p>
    <w:p w14:paraId="4935AB9B" w14:textId="77777777" w:rsidR="00704B61" w:rsidRPr="009B7433" w:rsidRDefault="00704B61" w:rsidP="00A15234">
      <w:pPr>
        <w:jc w:val="center"/>
        <w:rPr>
          <w:rFonts w:ascii="Book Antiqua" w:hAnsi="Book Antiqua" w:cs="Arial"/>
          <w:b/>
        </w:rPr>
      </w:pPr>
    </w:p>
    <w:p w14:paraId="2B0535FF" w14:textId="77777777" w:rsidR="00704B61" w:rsidRPr="009B7433" w:rsidRDefault="00704B61" w:rsidP="00704B61">
      <w:pPr>
        <w:jc w:val="right"/>
        <w:rPr>
          <w:rFonts w:ascii="Book Antiqua" w:hAnsi="Book Antiqua" w:cs="Arial"/>
          <w:u w:val="single"/>
        </w:rPr>
      </w:pPr>
      <w:r w:rsidRPr="009B7433">
        <w:rPr>
          <w:rFonts w:ascii="Book Antiqua" w:hAnsi="Book Antiqua" w:cs="Arial"/>
          <w:u w:val="single"/>
        </w:rPr>
        <w:t>Appellant</w:t>
      </w:r>
    </w:p>
    <w:p w14:paraId="01F54591" w14:textId="77777777" w:rsidR="00704B61" w:rsidRPr="009B7433" w:rsidRDefault="00DD5071" w:rsidP="00704B61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t>and</w:t>
      </w:r>
    </w:p>
    <w:p w14:paraId="397A7B8E" w14:textId="429604E6" w:rsidR="00DD5071" w:rsidRDefault="00DD5071" w:rsidP="00704B61">
      <w:pPr>
        <w:jc w:val="center"/>
        <w:rPr>
          <w:rFonts w:ascii="Book Antiqua" w:hAnsi="Book Antiqua" w:cs="Arial"/>
          <w:b/>
        </w:rPr>
      </w:pPr>
    </w:p>
    <w:p w14:paraId="1046CF23" w14:textId="37EC090C" w:rsidR="000526F8" w:rsidRPr="009B7433" w:rsidRDefault="000526F8" w:rsidP="00704B61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THE SECRETARY OF STATE FOR THE HOME DEPARTMENT</w:t>
      </w:r>
    </w:p>
    <w:p w14:paraId="5AC769BF" w14:textId="77777777" w:rsidR="00DD5071" w:rsidRPr="009B7433" w:rsidRDefault="00DD5071" w:rsidP="00DD5071">
      <w:pPr>
        <w:jc w:val="right"/>
        <w:rPr>
          <w:rFonts w:ascii="Book Antiqua" w:hAnsi="Book Antiqua" w:cs="Arial"/>
          <w:u w:val="single"/>
        </w:rPr>
      </w:pPr>
      <w:r w:rsidRPr="009B7433">
        <w:rPr>
          <w:rFonts w:ascii="Book Antiqua" w:hAnsi="Book Antiqua" w:cs="Arial"/>
          <w:u w:val="single"/>
        </w:rPr>
        <w:t>Respondent</w:t>
      </w:r>
    </w:p>
    <w:p w14:paraId="2F309DED" w14:textId="77777777" w:rsidR="00DD5071" w:rsidRPr="009B7433" w:rsidRDefault="00DD5071" w:rsidP="00DD5071">
      <w:pPr>
        <w:rPr>
          <w:rFonts w:ascii="Book Antiqua" w:hAnsi="Book Antiqua" w:cs="Arial"/>
          <w:u w:val="single"/>
        </w:rPr>
      </w:pPr>
    </w:p>
    <w:p w14:paraId="3DFDF2DA" w14:textId="77777777" w:rsidR="00DD5071" w:rsidRPr="009B7433" w:rsidRDefault="00DE7DB7" w:rsidP="00DD5071">
      <w:pPr>
        <w:rPr>
          <w:rFonts w:ascii="Book Antiqua" w:hAnsi="Book Antiqua" w:cs="Arial"/>
        </w:rPr>
      </w:pPr>
      <w:r w:rsidRPr="009B7433">
        <w:rPr>
          <w:rFonts w:ascii="Book Antiqua" w:hAnsi="Book Antiqua" w:cs="Arial"/>
          <w:b/>
          <w:u w:val="single"/>
        </w:rPr>
        <w:t>Representation</w:t>
      </w:r>
      <w:r w:rsidRPr="009B7433">
        <w:rPr>
          <w:rFonts w:ascii="Book Antiqua" w:hAnsi="Book Antiqua" w:cs="Arial"/>
          <w:b/>
        </w:rPr>
        <w:t>:</w:t>
      </w:r>
    </w:p>
    <w:p w14:paraId="525A61FF" w14:textId="77777777" w:rsidR="00DE7DB7" w:rsidRPr="009B7433" w:rsidRDefault="00DE7DB7" w:rsidP="00DD5071">
      <w:pPr>
        <w:rPr>
          <w:rFonts w:ascii="Book Antiqua" w:hAnsi="Book Antiqua" w:cs="Arial"/>
        </w:rPr>
      </w:pPr>
    </w:p>
    <w:p w14:paraId="706E5471" w14:textId="77777777" w:rsidR="00DE7DB7" w:rsidRPr="009B7433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9B7433">
        <w:rPr>
          <w:rFonts w:ascii="Book Antiqua" w:hAnsi="Book Antiqua" w:cs="Arial"/>
        </w:rPr>
        <w:t>For the Appellant:</w:t>
      </w:r>
      <w:r w:rsidRPr="009B7433">
        <w:rPr>
          <w:rFonts w:ascii="Book Antiqua" w:hAnsi="Book Antiqua" w:cs="Arial"/>
        </w:rPr>
        <w:tab/>
      </w:r>
      <w:r w:rsidR="00165AC1">
        <w:rPr>
          <w:rFonts w:ascii="Book Antiqua" w:hAnsi="Book Antiqua" w:cs="Arial"/>
        </w:rPr>
        <w:t>In person</w:t>
      </w:r>
    </w:p>
    <w:p w14:paraId="53AA66F7" w14:textId="77777777" w:rsidR="00DE7DB7" w:rsidRPr="009B7433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9B7433">
        <w:rPr>
          <w:rFonts w:ascii="Book Antiqua" w:hAnsi="Book Antiqua" w:cs="Arial"/>
        </w:rPr>
        <w:t>For the Respondent:</w:t>
      </w:r>
      <w:r w:rsidRPr="009B7433">
        <w:rPr>
          <w:rFonts w:ascii="Book Antiqua" w:hAnsi="Book Antiqua" w:cs="Arial"/>
        </w:rPr>
        <w:tab/>
      </w:r>
      <w:r w:rsidR="00165AC1">
        <w:rPr>
          <w:rFonts w:ascii="Book Antiqua" w:hAnsi="Book Antiqua" w:cs="Arial"/>
        </w:rPr>
        <w:t>Mr P Duffy, Senior Home Office Presenting Officer</w:t>
      </w:r>
    </w:p>
    <w:p w14:paraId="4B3CEB92" w14:textId="77777777" w:rsidR="00DE7DB7" w:rsidRPr="009B7433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14:paraId="7B2611B5" w14:textId="77777777" w:rsidR="00DE7DB7" w:rsidRPr="009B7433" w:rsidRDefault="00DE7DB7" w:rsidP="000A0743">
      <w:pPr>
        <w:jc w:val="center"/>
        <w:rPr>
          <w:rFonts w:ascii="Book Antiqua" w:hAnsi="Book Antiqua" w:cs="Arial"/>
        </w:rPr>
      </w:pPr>
    </w:p>
    <w:p w14:paraId="7E824C81" w14:textId="77777777" w:rsidR="00402B9E" w:rsidRPr="009B7433" w:rsidRDefault="00D949B7" w:rsidP="004D6B45">
      <w:pPr>
        <w:tabs>
          <w:tab w:val="left" w:pos="2520"/>
        </w:tabs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9B7433">
        <w:rPr>
          <w:rFonts w:ascii="Book Antiqua" w:hAnsi="Book Antiqua" w:cs="Arial"/>
          <w:b/>
          <w:u w:val="single"/>
        </w:rPr>
        <w:t>AND REASONS</w:t>
      </w:r>
    </w:p>
    <w:p w14:paraId="7B1B3ED6" w14:textId="1175C0E2" w:rsidR="00165AC1" w:rsidRPr="00BD0B72" w:rsidRDefault="00D35BDB" w:rsidP="00165AC1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Pursuant to </w:t>
      </w:r>
      <w:r w:rsidR="00CA1BB0">
        <w:rPr>
          <w:rFonts w:ascii="Book Antiqua" w:hAnsi="Book Antiqua" w:cs="Arial"/>
        </w:rPr>
        <w:t>r</w:t>
      </w:r>
      <w:r w:rsidR="00165AC1">
        <w:rPr>
          <w:rFonts w:ascii="Book Antiqua" w:hAnsi="Book Antiqua" w:cs="Arial"/>
        </w:rPr>
        <w:t>ule 14 of the Tribunal Procedure (Upper Tribunal) Rules 2008 (SI2008/2698) I make an anonymity order prohibiting the disclosure or publication of any matter likely to lead to members of the public identifying the appellant.  A failure to comply with this direction could lead to Contempt of Court proceedings.</w:t>
      </w:r>
    </w:p>
    <w:p w14:paraId="5F468CEE" w14:textId="77777777" w:rsidR="00165AC1" w:rsidRDefault="00540B0B" w:rsidP="00165AC1">
      <w:pPr>
        <w:numPr>
          <w:ilvl w:val="0"/>
          <w:numId w:val="1"/>
        </w:num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</w:t>
      </w:r>
      <w:r w:rsidR="00165AC1">
        <w:rPr>
          <w:rFonts w:ascii="Book Antiqua" w:hAnsi="Book Antiqua" w:cs="Arial"/>
        </w:rPr>
        <w:t>appellant is a citizen of Libya who was born on 1 March 1992.  He entered the UK illegally, at an uncertain time, before he was encountered and arrested on suspicion of illegal entry on 14 November 2014.</w:t>
      </w:r>
    </w:p>
    <w:p w14:paraId="30996399" w14:textId="77777777" w:rsidR="00165AC1" w:rsidRDefault="00165AC1" w:rsidP="00EA79AF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On 11 June 2016, the appellant claimed asylum.  </w:t>
      </w:r>
    </w:p>
    <w:p w14:paraId="078EB5F5" w14:textId="77777777" w:rsidR="00165AC1" w:rsidRDefault="00165AC1" w:rsidP="00EA79AF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lastRenderedPageBreak/>
        <w:t>On 9 December 2016, the Secretary of State refused the appellant’s claims for asylum, humanitarian protection and on human rights grounds.</w:t>
      </w:r>
    </w:p>
    <w:p w14:paraId="08E73586" w14:textId="77777777" w:rsidR="00165AC1" w:rsidRDefault="00165AC1" w:rsidP="00EA79AF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appellant appealed to the First-tier Tribunal.  In a determination promulgated on 18 May 2017, Judge Walker dismissed the appellant’s appeal on all grounds.</w:t>
      </w:r>
    </w:p>
    <w:p w14:paraId="28FD0E07" w14:textId="2724B52B" w:rsidR="00165AC1" w:rsidRDefault="00165AC1" w:rsidP="00EA79AF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appellant sought permission to appeal to the Upper Tribunal</w:t>
      </w:r>
      <w:r w:rsidR="00262665">
        <w:rPr>
          <w:rFonts w:ascii="Book Antiqua" w:hAnsi="Book Antiqua" w:cs="Arial"/>
        </w:rPr>
        <w:t xml:space="preserve"> challenging the decision in respect of humanitarian protection</w:t>
      </w:r>
      <w:r>
        <w:rPr>
          <w:rFonts w:ascii="Book Antiqua" w:hAnsi="Book Antiqua" w:cs="Arial"/>
        </w:rPr>
        <w:t xml:space="preserve">.  Permission was initially refused by the First-tier Tribunal on 7 September 2017.  However, on 30 October 2017, the Upper Tribunal (UTJ Jordan) granted the appellant permission to appeal. </w:t>
      </w:r>
    </w:p>
    <w:p w14:paraId="0F0FECCD" w14:textId="36E3013D" w:rsidR="00165AC1" w:rsidRDefault="00165AC1" w:rsidP="00EA79AF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On 17 November 2017, the Secretary of State filed a </w:t>
      </w:r>
      <w:r w:rsidR="0030431A">
        <w:rPr>
          <w:rFonts w:ascii="Book Antiqua" w:hAnsi="Book Antiqua" w:cs="Arial"/>
        </w:rPr>
        <w:t>r</w:t>
      </w:r>
      <w:r>
        <w:rPr>
          <w:rFonts w:ascii="Book Antiqua" w:hAnsi="Book Antiqua" w:cs="Arial"/>
        </w:rPr>
        <w:t>ule 24 response seeking to uphold the First-tier Tribunal’s decision.</w:t>
      </w:r>
    </w:p>
    <w:p w14:paraId="70FC282C" w14:textId="08DD7790" w:rsidR="00165AC1" w:rsidRDefault="00165AC1" w:rsidP="00EA79AF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Before me,</w:t>
      </w:r>
      <w:r w:rsidR="00721987">
        <w:rPr>
          <w:rFonts w:ascii="Book Antiqua" w:hAnsi="Book Antiqua" w:cs="Arial"/>
        </w:rPr>
        <w:t xml:space="preserve"> Mr Duffy, who represented the S</w:t>
      </w:r>
      <w:r>
        <w:rPr>
          <w:rFonts w:ascii="Book Antiqua" w:hAnsi="Book Antiqua" w:cs="Arial"/>
        </w:rPr>
        <w:t>ecretary of State conceded that the judge had erred in law</w:t>
      </w:r>
      <w:r w:rsidR="00721987">
        <w:rPr>
          <w:rFonts w:ascii="Book Antiqua" w:hAnsi="Book Antiqua" w:cs="Arial"/>
        </w:rPr>
        <w:t xml:space="preserve"> in her consideration of the background e</w:t>
      </w:r>
      <w:r w:rsidR="00A879D7">
        <w:rPr>
          <w:rFonts w:ascii="Book Antiqua" w:hAnsi="Book Antiqua" w:cs="Arial"/>
        </w:rPr>
        <w:t xml:space="preserve">vidence relating to the Art </w:t>
      </w:r>
      <w:r w:rsidR="00721987">
        <w:rPr>
          <w:rFonts w:ascii="Book Antiqua" w:hAnsi="Book Antiqua" w:cs="Arial"/>
        </w:rPr>
        <w:t xml:space="preserve">15(c) risk in Libya which, shortly after her decision, had led to the country guidance decision in </w:t>
      </w:r>
      <w:r w:rsidR="00721987" w:rsidRPr="00C50108">
        <w:rPr>
          <w:rFonts w:ascii="Book Antiqua" w:hAnsi="Book Antiqua" w:cs="Arial"/>
          <w:u w:val="single"/>
        </w:rPr>
        <w:t>ZMM</w:t>
      </w:r>
      <w:r w:rsidR="00721987">
        <w:rPr>
          <w:rFonts w:ascii="Book Antiqua" w:hAnsi="Book Antiqua" w:cs="Arial"/>
        </w:rPr>
        <w:t xml:space="preserve"> (Article 15(c)) Libya CG [2017] UKUT 263 (IAC)</w:t>
      </w:r>
      <w:r w:rsidR="00DA1BE4">
        <w:rPr>
          <w:rFonts w:ascii="Book Antiqua" w:hAnsi="Book Antiqua" w:cs="Arial"/>
        </w:rPr>
        <w:t>.</w:t>
      </w:r>
      <w:r w:rsidR="00721987">
        <w:rPr>
          <w:rFonts w:ascii="Book Antiqua" w:hAnsi="Book Antiqua" w:cs="Arial"/>
        </w:rPr>
        <w:t xml:space="preserve">  Mr Duffy accepted that the appellant’s return to Libya would breach Ar</w:t>
      </w:r>
      <w:r w:rsidR="004B0352">
        <w:rPr>
          <w:rFonts w:ascii="Book Antiqua" w:hAnsi="Book Antiqua" w:cs="Arial"/>
        </w:rPr>
        <w:t>t</w:t>
      </w:r>
      <w:r w:rsidR="00721987">
        <w:rPr>
          <w:rFonts w:ascii="Book Antiqua" w:hAnsi="Book Antiqua" w:cs="Arial"/>
        </w:rPr>
        <w:t xml:space="preserve"> 15(c) and he invited me to set aside the First-tier Tribunal’s decision and t</w:t>
      </w:r>
      <w:r w:rsidR="00A879D7">
        <w:rPr>
          <w:rFonts w:ascii="Book Antiqua" w:hAnsi="Book Antiqua" w:cs="Arial"/>
        </w:rPr>
        <w:t>o allow the appeal under Art</w:t>
      </w:r>
      <w:r w:rsidR="00721987">
        <w:rPr>
          <w:rFonts w:ascii="Book Antiqua" w:hAnsi="Book Antiqua" w:cs="Arial"/>
        </w:rPr>
        <w:t xml:space="preserve"> 15(c).</w:t>
      </w:r>
    </w:p>
    <w:p w14:paraId="33408D34" w14:textId="744FE891" w:rsidR="00AA0828" w:rsidRPr="00AA0828" w:rsidRDefault="00AA0828" w:rsidP="00AA0828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AA0828">
        <w:rPr>
          <w:rFonts w:ascii="Book Antiqua" w:hAnsi="Book Antiqua" w:cs="Arial"/>
          <w:b/>
          <w:u w:val="single"/>
        </w:rPr>
        <w:t>Decision</w:t>
      </w:r>
    </w:p>
    <w:p w14:paraId="149E0690" w14:textId="77777777" w:rsidR="00721987" w:rsidRDefault="00721987" w:rsidP="00EA79AF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In the light of that concession, I am satisfied that the decision of the First-tier Tribunal </w:t>
      </w:r>
      <w:r w:rsidR="00030479">
        <w:rPr>
          <w:rFonts w:ascii="Book Antiqua" w:hAnsi="Book Antiqua" w:cs="Arial"/>
        </w:rPr>
        <w:t>to dismiss the a</w:t>
      </w:r>
      <w:r>
        <w:rPr>
          <w:rFonts w:ascii="Book Antiqua" w:hAnsi="Book Antiqua" w:cs="Arial"/>
        </w:rPr>
        <w:t>ppellant’s appeal on humanitarian protection grounds involved the making of an error of law.  That decision is set aside.</w:t>
      </w:r>
    </w:p>
    <w:p w14:paraId="0D6E8F6B" w14:textId="77777777" w:rsidR="00721987" w:rsidRDefault="00721987" w:rsidP="00EA79AF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I remake the decision allowing the appellant’s appeal on humanitarian protection grou</w:t>
      </w:r>
      <w:r w:rsidR="00A879D7">
        <w:rPr>
          <w:rFonts w:ascii="Book Antiqua" w:hAnsi="Book Antiqua" w:cs="Arial"/>
        </w:rPr>
        <w:t>nds, namely Art</w:t>
      </w:r>
      <w:r>
        <w:rPr>
          <w:rFonts w:ascii="Book Antiqua" w:hAnsi="Book Antiqua" w:cs="Arial"/>
        </w:rPr>
        <w:t xml:space="preserve"> 15(c) of the Qualification Directive.  </w:t>
      </w:r>
    </w:p>
    <w:p w14:paraId="6580ABD3" w14:textId="5A9E0146" w:rsidR="00721987" w:rsidRPr="009B7433" w:rsidRDefault="00721987" w:rsidP="00EA79AF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judge’s decision to dismiss the appellant’s appeal on asylum and human rights grounds</w:t>
      </w:r>
      <w:r w:rsidR="00CA0492">
        <w:rPr>
          <w:rFonts w:ascii="Book Antiqua" w:hAnsi="Book Antiqua" w:cs="Arial"/>
        </w:rPr>
        <w:t>, which has not been challenged,</w:t>
      </w:r>
      <w:r>
        <w:rPr>
          <w:rFonts w:ascii="Book Antiqua" w:hAnsi="Book Antiqua" w:cs="Arial"/>
        </w:rPr>
        <w:t xml:space="preserve"> stands. </w:t>
      </w:r>
    </w:p>
    <w:p w14:paraId="144CA116" w14:textId="77777777" w:rsidR="00D949B7" w:rsidRPr="00D949B7" w:rsidRDefault="00D949B7" w:rsidP="00D949B7">
      <w:pPr>
        <w:jc w:val="both"/>
        <w:rPr>
          <w:rFonts w:ascii="Book Antiqua" w:hAnsi="Book Antiqua" w:cs="Arial"/>
        </w:rPr>
      </w:pPr>
    </w:p>
    <w:p w14:paraId="5ACC7DE4" w14:textId="77777777" w:rsidR="009F5220" w:rsidRPr="009B7433" w:rsidRDefault="009F5220" w:rsidP="000A0743">
      <w:pPr>
        <w:jc w:val="both"/>
        <w:rPr>
          <w:rFonts w:ascii="Book Antiqua" w:hAnsi="Book Antiqua" w:cs="Arial"/>
        </w:rPr>
      </w:pPr>
    </w:p>
    <w:p w14:paraId="104A30C1" w14:textId="77777777" w:rsidR="009669C6" w:rsidRPr="002B02F3" w:rsidRDefault="009669C6" w:rsidP="009669C6">
      <w:pPr>
        <w:ind w:left="540" w:hanging="540"/>
        <w:jc w:val="right"/>
        <w:rPr>
          <w:rFonts w:ascii="Book Antiqua" w:hAnsi="Book Antiqua" w:cs="Arial"/>
        </w:rPr>
      </w:pPr>
      <w:r>
        <w:rPr>
          <w:rFonts w:ascii="Book Antiqua" w:hAnsi="Book Antiqua" w:cs="Arial"/>
        </w:rPr>
        <w:t>Signed</w:t>
      </w:r>
    </w:p>
    <w:p w14:paraId="0A155CCB" w14:textId="7D07D8A4" w:rsidR="009669C6" w:rsidRPr="002B02F3" w:rsidRDefault="00051F2A" w:rsidP="009669C6">
      <w:pPr>
        <w:tabs>
          <w:tab w:val="left" w:pos="2520"/>
        </w:tabs>
        <w:ind w:left="540" w:hanging="540"/>
        <w:jc w:val="right"/>
        <w:rPr>
          <w:rFonts w:ascii="Book Antiqua" w:hAnsi="Book Antiqua" w:cs="Arial"/>
        </w:rPr>
      </w:pPr>
      <w:r>
        <w:rPr>
          <w:noProof/>
        </w:rPr>
        <w:drawing>
          <wp:inline distT="0" distB="0" distL="0" distR="0" wp14:anchorId="6F95BFFF" wp14:editId="4ED9F3B7">
            <wp:extent cx="1943100" cy="459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590FD" w14:textId="77777777" w:rsidR="009669C6" w:rsidRDefault="009669C6" w:rsidP="009669C6">
      <w:pPr>
        <w:tabs>
          <w:tab w:val="left" w:pos="2520"/>
        </w:tabs>
        <w:ind w:left="540" w:hanging="540"/>
        <w:jc w:val="right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A Grubb</w:t>
      </w:r>
    </w:p>
    <w:p w14:paraId="34E8316C" w14:textId="4D2B26E0" w:rsidR="00D949B7" w:rsidRDefault="009669C6" w:rsidP="009669C6">
      <w:pPr>
        <w:jc w:val="right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Judge of the Upper Tribunal</w:t>
      </w:r>
    </w:p>
    <w:p w14:paraId="0B7F3492" w14:textId="6435E51A" w:rsidR="00051F2A" w:rsidRDefault="00051F2A" w:rsidP="009669C6">
      <w:pPr>
        <w:jc w:val="right"/>
        <w:rPr>
          <w:rFonts w:ascii="Book Antiqua" w:hAnsi="Book Antiqua" w:cs="Arial"/>
        </w:rPr>
      </w:pPr>
    </w:p>
    <w:p w14:paraId="6E8407B7" w14:textId="52984ABB" w:rsidR="00B95326" w:rsidRPr="009B7433" w:rsidRDefault="00051F2A" w:rsidP="00CE51B1">
      <w:pPr>
        <w:jc w:val="right"/>
        <w:rPr>
          <w:rFonts w:ascii="Book Antiqua" w:hAnsi="Book Antiqua" w:cs="Arial"/>
        </w:rPr>
      </w:pPr>
      <w:r>
        <w:rPr>
          <w:rFonts w:ascii="Book Antiqua" w:hAnsi="Book Antiqua" w:cs="Arial"/>
        </w:rPr>
        <w:t>14 May 2018</w:t>
      </w:r>
    </w:p>
    <w:sectPr w:rsidR="00B95326" w:rsidRPr="009B7433" w:rsidSect="000526F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568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1E9B2" w14:textId="77777777" w:rsidR="005A1FDF" w:rsidRDefault="005A1FDF">
      <w:r>
        <w:separator/>
      </w:r>
    </w:p>
  </w:endnote>
  <w:endnote w:type="continuationSeparator" w:id="0">
    <w:p w14:paraId="5C70873B" w14:textId="77777777" w:rsidR="005A1FDF" w:rsidRDefault="005A1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8551C" w14:textId="467BEDC9" w:rsidR="008A6059" w:rsidRPr="00425B99" w:rsidRDefault="008A6059" w:rsidP="00593795">
    <w:pPr>
      <w:pStyle w:val="Footer"/>
      <w:jc w:val="center"/>
      <w:rPr>
        <w:rFonts w:ascii="Book Antiqua" w:hAnsi="Book Antiqua" w:cs="Arial"/>
      </w:rPr>
    </w:pPr>
    <w:r w:rsidRPr="00425B99">
      <w:rPr>
        <w:rStyle w:val="PageNumber"/>
        <w:rFonts w:ascii="Book Antiqua" w:hAnsi="Book Antiqua" w:cs="Arial"/>
      </w:rPr>
      <w:fldChar w:fldCharType="begin"/>
    </w:r>
    <w:r w:rsidRPr="00425B99">
      <w:rPr>
        <w:rStyle w:val="PageNumber"/>
        <w:rFonts w:ascii="Book Antiqua" w:hAnsi="Book Antiqua" w:cs="Arial"/>
      </w:rPr>
      <w:instrText xml:space="preserve"> PAGE </w:instrText>
    </w:r>
    <w:r w:rsidRPr="00425B99">
      <w:rPr>
        <w:rStyle w:val="PageNumber"/>
        <w:rFonts w:ascii="Book Antiqua" w:hAnsi="Book Antiqua" w:cs="Arial"/>
      </w:rPr>
      <w:fldChar w:fldCharType="separate"/>
    </w:r>
    <w:r w:rsidR="00461FB9">
      <w:rPr>
        <w:rStyle w:val="PageNumber"/>
        <w:rFonts w:ascii="Book Antiqua" w:hAnsi="Book Antiqua" w:cs="Arial"/>
        <w:noProof/>
      </w:rPr>
      <w:t>2</w:t>
    </w:r>
    <w:r w:rsidRPr="00425B99">
      <w:rPr>
        <w:rStyle w:val="PageNumber"/>
        <w:rFonts w:ascii="Book Antiqua" w:hAnsi="Book Antiqua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A723B" w14:textId="77777777" w:rsidR="008A6059" w:rsidRPr="009B7433" w:rsidRDefault="008A6059" w:rsidP="004B70D7">
    <w:pPr>
      <w:jc w:val="center"/>
      <w:rPr>
        <w:rFonts w:ascii="Book Antiqua" w:hAnsi="Book Antiqua" w:cs="Arial"/>
        <w:b/>
      </w:rPr>
    </w:pPr>
    <w:r w:rsidRPr="009B7433">
      <w:rPr>
        <w:rFonts w:ascii="Book Antiqua" w:hAnsi="Book Antiqua" w:cs="Arial"/>
        <w:b/>
        <w:spacing w:val="-6"/>
      </w:rPr>
      <w:t>©</w:t>
    </w:r>
    <w:r w:rsidR="003704A6"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344E7" w14:textId="77777777" w:rsidR="005A1FDF" w:rsidRDefault="005A1FDF">
      <w:r>
        <w:separator/>
      </w:r>
    </w:p>
  </w:footnote>
  <w:footnote w:type="continuationSeparator" w:id="0">
    <w:p w14:paraId="01EDC26F" w14:textId="77777777" w:rsidR="005A1FDF" w:rsidRDefault="005A1F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4F968" w14:textId="22D392DD" w:rsidR="008A6059" w:rsidRDefault="008A6059" w:rsidP="00593795">
    <w:pPr>
      <w:pStyle w:val="Header"/>
      <w:jc w:val="right"/>
      <w:rPr>
        <w:rFonts w:ascii="Book Antiqua" w:hAnsi="Book Antiqua" w:cs="Arial"/>
        <w:sz w:val="16"/>
        <w:szCs w:val="16"/>
      </w:rPr>
    </w:pPr>
    <w:r w:rsidRPr="009B7433">
      <w:rPr>
        <w:rFonts w:ascii="Book Antiqua" w:hAnsi="Book Antiqua" w:cs="Arial"/>
        <w:sz w:val="16"/>
        <w:szCs w:val="16"/>
      </w:rPr>
      <w:t xml:space="preserve">Appeal Number: </w:t>
    </w:r>
    <w:r w:rsidR="00165AC1">
      <w:rPr>
        <w:rFonts w:ascii="Book Antiqua" w:hAnsi="Book Antiqua" w:cs="Arial"/>
        <w:sz w:val="16"/>
        <w:szCs w:val="16"/>
      </w:rPr>
      <w:t>PA/14077/2016</w:t>
    </w:r>
  </w:p>
  <w:p w14:paraId="29B5E37B" w14:textId="77777777" w:rsidR="00425B99" w:rsidRPr="009B7433" w:rsidRDefault="00425B99" w:rsidP="00593795">
    <w:pPr>
      <w:pStyle w:val="Header"/>
      <w:jc w:val="right"/>
      <w:rPr>
        <w:rFonts w:ascii="Book Antiqua" w:hAnsi="Book Antiqua"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FDF50" w14:textId="77777777" w:rsidR="009B7433" w:rsidRPr="009B7433" w:rsidRDefault="009B7433">
    <w:pPr>
      <w:pStyle w:val="Header"/>
      <w:rPr>
        <w:rFonts w:ascii="Book Antiqua" w:hAnsi="Book Antiqua"/>
      </w:rPr>
    </w:pPr>
    <w:r w:rsidRPr="009B7433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A2A5D"/>
    <w:multiLevelType w:val="multilevel"/>
    <w:tmpl w:val="16786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ACB1666"/>
    <w:multiLevelType w:val="multilevel"/>
    <w:tmpl w:val="DBEEB33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AC1"/>
    <w:rsid w:val="00000621"/>
    <w:rsid w:val="000036C2"/>
    <w:rsid w:val="00016C1A"/>
    <w:rsid w:val="00030479"/>
    <w:rsid w:val="00033588"/>
    <w:rsid w:val="00033D3D"/>
    <w:rsid w:val="0004776F"/>
    <w:rsid w:val="00051F2A"/>
    <w:rsid w:val="000526F8"/>
    <w:rsid w:val="00052895"/>
    <w:rsid w:val="00062F02"/>
    <w:rsid w:val="00071A7E"/>
    <w:rsid w:val="000746C0"/>
    <w:rsid w:val="00074D1D"/>
    <w:rsid w:val="00092580"/>
    <w:rsid w:val="00093D4D"/>
    <w:rsid w:val="000A0743"/>
    <w:rsid w:val="000D5D94"/>
    <w:rsid w:val="000D6B23"/>
    <w:rsid w:val="000F1A0E"/>
    <w:rsid w:val="001165A7"/>
    <w:rsid w:val="00136829"/>
    <w:rsid w:val="0016508E"/>
    <w:rsid w:val="00165AC1"/>
    <w:rsid w:val="00167D3A"/>
    <w:rsid w:val="00173F50"/>
    <w:rsid w:val="00185986"/>
    <w:rsid w:val="001A3082"/>
    <w:rsid w:val="001A53AD"/>
    <w:rsid w:val="001B186A"/>
    <w:rsid w:val="001B2F75"/>
    <w:rsid w:val="001C6F5F"/>
    <w:rsid w:val="001D6167"/>
    <w:rsid w:val="001F2716"/>
    <w:rsid w:val="001F3AC0"/>
    <w:rsid w:val="00207617"/>
    <w:rsid w:val="0023134B"/>
    <w:rsid w:val="00262665"/>
    <w:rsid w:val="00283659"/>
    <w:rsid w:val="002C6BD4"/>
    <w:rsid w:val="002D68BF"/>
    <w:rsid w:val="002E4541"/>
    <w:rsid w:val="002F6B98"/>
    <w:rsid w:val="0030431A"/>
    <w:rsid w:val="0031410B"/>
    <w:rsid w:val="00336CBF"/>
    <w:rsid w:val="00343FE3"/>
    <w:rsid w:val="003546C8"/>
    <w:rsid w:val="003704A6"/>
    <w:rsid w:val="003825D4"/>
    <w:rsid w:val="003A7CF2"/>
    <w:rsid w:val="003B7D6D"/>
    <w:rsid w:val="003C5CE5"/>
    <w:rsid w:val="003D6FAD"/>
    <w:rsid w:val="003E267B"/>
    <w:rsid w:val="003E7CD1"/>
    <w:rsid w:val="00402B9E"/>
    <w:rsid w:val="004249CB"/>
    <w:rsid w:val="00425B99"/>
    <w:rsid w:val="0044127D"/>
    <w:rsid w:val="004448DB"/>
    <w:rsid w:val="00446C9A"/>
    <w:rsid w:val="00450CAF"/>
    <w:rsid w:val="00452F2B"/>
    <w:rsid w:val="00461FB9"/>
    <w:rsid w:val="00477193"/>
    <w:rsid w:val="00492E0F"/>
    <w:rsid w:val="004A1848"/>
    <w:rsid w:val="004A2D15"/>
    <w:rsid w:val="004A534C"/>
    <w:rsid w:val="004A6F4A"/>
    <w:rsid w:val="004B0352"/>
    <w:rsid w:val="004B70D7"/>
    <w:rsid w:val="004C1886"/>
    <w:rsid w:val="004D6B45"/>
    <w:rsid w:val="004E4717"/>
    <w:rsid w:val="00507FEC"/>
    <w:rsid w:val="00510F0E"/>
    <w:rsid w:val="00521ED3"/>
    <w:rsid w:val="00540B0B"/>
    <w:rsid w:val="005479E1"/>
    <w:rsid w:val="00553028"/>
    <w:rsid w:val="00553E0A"/>
    <w:rsid w:val="005570FD"/>
    <w:rsid w:val="005575EA"/>
    <w:rsid w:val="0057790C"/>
    <w:rsid w:val="00593795"/>
    <w:rsid w:val="005A1FDF"/>
    <w:rsid w:val="005A75FF"/>
    <w:rsid w:val="005D10AB"/>
    <w:rsid w:val="00601D8F"/>
    <w:rsid w:val="00605582"/>
    <w:rsid w:val="00606A60"/>
    <w:rsid w:val="00611F34"/>
    <w:rsid w:val="00621FE8"/>
    <w:rsid w:val="006434B6"/>
    <w:rsid w:val="00653E97"/>
    <w:rsid w:val="006667DB"/>
    <w:rsid w:val="00684A74"/>
    <w:rsid w:val="00684FE7"/>
    <w:rsid w:val="0068620A"/>
    <w:rsid w:val="00690B8A"/>
    <w:rsid w:val="006F2CF1"/>
    <w:rsid w:val="007038ED"/>
    <w:rsid w:val="00703BC3"/>
    <w:rsid w:val="00704B61"/>
    <w:rsid w:val="00715A64"/>
    <w:rsid w:val="00721987"/>
    <w:rsid w:val="00740C1F"/>
    <w:rsid w:val="007552A9"/>
    <w:rsid w:val="0075658A"/>
    <w:rsid w:val="00761858"/>
    <w:rsid w:val="00767D59"/>
    <w:rsid w:val="00776E97"/>
    <w:rsid w:val="00780F86"/>
    <w:rsid w:val="007912AD"/>
    <w:rsid w:val="007B0824"/>
    <w:rsid w:val="007B5D3C"/>
    <w:rsid w:val="00815011"/>
    <w:rsid w:val="00821B72"/>
    <w:rsid w:val="00823EF2"/>
    <w:rsid w:val="008303B8"/>
    <w:rsid w:val="00833DCE"/>
    <w:rsid w:val="00833E86"/>
    <w:rsid w:val="00871D34"/>
    <w:rsid w:val="008A25EC"/>
    <w:rsid w:val="008A6059"/>
    <w:rsid w:val="008A70EC"/>
    <w:rsid w:val="008B270C"/>
    <w:rsid w:val="008B5078"/>
    <w:rsid w:val="008C3D3D"/>
    <w:rsid w:val="008D4131"/>
    <w:rsid w:val="008F1932"/>
    <w:rsid w:val="0090151B"/>
    <w:rsid w:val="009042A9"/>
    <w:rsid w:val="00921062"/>
    <w:rsid w:val="009669C6"/>
    <w:rsid w:val="009722BC"/>
    <w:rsid w:val="009727A3"/>
    <w:rsid w:val="00987774"/>
    <w:rsid w:val="00994D33"/>
    <w:rsid w:val="009A11E8"/>
    <w:rsid w:val="009B7433"/>
    <w:rsid w:val="009C57C8"/>
    <w:rsid w:val="009F5220"/>
    <w:rsid w:val="00A07919"/>
    <w:rsid w:val="00A15234"/>
    <w:rsid w:val="00A172F5"/>
    <w:rsid w:val="00A201AB"/>
    <w:rsid w:val="00A31C8B"/>
    <w:rsid w:val="00A509FA"/>
    <w:rsid w:val="00A845DC"/>
    <w:rsid w:val="00A879D7"/>
    <w:rsid w:val="00AA0828"/>
    <w:rsid w:val="00AE66DC"/>
    <w:rsid w:val="00AE6FC5"/>
    <w:rsid w:val="00B26AA2"/>
    <w:rsid w:val="00B34BD2"/>
    <w:rsid w:val="00B3524D"/>
    <w:rsid w:val="00B40F69"/>
    <w:rsid w:val="00B46616"/>
    <w:rsid w:val="00B47B0C"/>
    <w:rsid w:val="00B528BB"/>
    <w:rsid w:val="00B7040A"/>
    <w:rsid w:val="00B83391"/>
    <w:rsid w:val="00B95326"/>
    <w:rsid w:val="00BC1584"/>
    <w:rsid w:val="00BD0B72"/>
    <w:rsid w:val="00BD4196"/>
    <w:rsid w:val="00BF22CA"/>
    <w:rsid w:val="00BF23BB"/>
    <w:rsid w:val="00C23DFC"/>
    <w:rsid w:val="00C26032"/>
    <w:rsid w:val="00C345E1"/>
    <w:rsid w:val="00C43BFD"/>
    <w:rsid w:val="00C50108"/>
    <w:rsid w:val="00C6048A"/>
    <w:rsid w:val="00C649D0"/>
    <w:rsid w:val="00CA0492"/>
    <w:rsid w:val="00CA1BB0"/>
    <w:rsid w:val="00CB6E35"/>
    <w:rsid w:val="00CD01BB"/>
    <w:rsid w:val="00CE09B1"/>
    <w:rsid w:val="00CE1A46"/>
    <w:rsid w:val="00CE51B1"/>
    <w:rsid w:val="00D05EA6"/>
    <w:rsid w:val="00D15920"/>
    <w:rsid w:val="00D20757"/>
    <w:rsid w:val="00D22636"/>
    <w:rsid w:val="00D35BDB"/>
    <w:rsid w:val="00D40FD9"/>
    <w:rsid w:val="00D53769"/>
    <w:rsid w:val="00D606FA"/>
    <w:rsid w:val="00D6602D"/>
    <w:rsid w:val="00D73A36"/>
    <w:rsid w:val="00D85C13"/>
    <w:rsid w:val="00D9111A"/>
    <w:rsid w:val="00D91BE3"/>
    <w:rsid w:val="00D949B7"/>
    <w:rsid w:val="00D94AFC"/>
    <w:rsid w:val="00DA1BE4"/>
    <w:rsid w:val="00DB70AE"/>
    <w:rsid w:val="00DD351D"/>
    <w:rsid w:val="00DD5071"/>
    <w:rsid w:val="00DD5C39"/>
    <w:rsid w:val="00DE5CD4"/>
    <w:rsid w:val="00DE7DB7"/>
    <w:rsid w:val="00E00A0A"/>
    <w:rsid w:val="00E066DE"/>
    <w:rsid w:val="00E07F57"/>
    <w:rsid w:val="00E30683"/>
    <w:rsid w:val="00E35656"/>
    <w:rsid w:val="00E403E4"/>
    <w:rsid w:val="00E42107"/>
    <w:rsid w:val="00E453D8"/>
    <w:rsid w:val="00E50BCE"/>
    <w:rsid w:val="00E574BF"/>
    <w:rsid w:val="00E61292"/>
    <w:rsid w:val="00E77C4D"/>
    <w:rsid w:val="00E81D01"/>
    <w:rsid w:val="00EA20DA"/>
    <w:rsid w:val="00EA79AF"/>
    <w:rsid w:val="00EB485A"/>
    <w:rsid w:val="00EE45D8"/>
    <w:rsid w:val="00F22EDA"/>
    <w:rsid w:val="00F470D6"/>
    <w:rsid w:val="00F5589A"/>
    <w:rsid w:val="00FC40FA"/>
    <w:rsid w:val="00FF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634709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B95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2018-06-11T16:13:00Z</dcterms:created>
  <dcterms:modified xsi:type="dcterms:W3CDTF">2018-06-11T16:13:00Z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