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538FF"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538FF">
        <w:rPr>
          <w:rFonts w:ascii="Book Antiqua" w:hAnsi="Book Antiqua" w:cs="Arial"/>
          <w:caps/>
        </w:rPr>
        <w:t>PA/14284/2016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E958E2" w:rsidRPr="00F5664C" w:rsidRDefault="00E958E2" w:rsidP="00C345E1">
      <w:pPr>
        <w:jc w:val="center"/>
        <w:rPr>
          <w:rFonts w:ascii="Book Antiqua" w:hAnsi="Book Antiqua" w:cs="Arial"/>
          <w:b/>
          <w:u w:val="single"/>
        </w:rPr>
      </w:pPr>
    </w:p>
    <w:p w:rsidR="00C345E1" w:rsidRPr="00F5664C" w:rsidRDefault="00C345E1" w:rsidP="00DA3CAB">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538FF">
              <w:rPr>
                <w:rFonts w:ascii="Book Antiqua" w:hAnsi="Book Antiqua" w:cs="Arial"/>
                <w:b/>
              </w:rPr>
              <w:t>Manchester Civil Justice Centre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538FF">
              <w:rPr>
                <w:rFonts w:ascii="Book Antiqua" w:hAnsi="Book Antiqua" w:cs="Arial"/>
                <w:b/>
              </w:rPr>
              <w:t>9</w:t>
            </w:r>
            <w:r w:rsidR="00F538FF" w:rsidRPr="00F538FF">
              <w:rPr>
                <w:rFonts w:ascii="Book Antiqua" w:hAnsi="Book Antiqua" w:cs="Arial"/>
                <w:b/>
                <w:vertAlign w:val="superscript"/>
              </w:rPr>
              <w:t>th</w:t>
            </w:r>
            <w:r w:rsidR="00F538FF">
              <w:rPr>
                <w:rFonts w:ascii="Book Antiqua" w:hAnsi="Book Antiqua" w:cs="Arial"/>
                <w:b/>
              </w:rPr>
              <w:t xml:space="preserve"> July 2018</w:t>
            </w:r>
          </w:p>
        </w:tc>
        <w:tc>
          <w:tcPr>
            <w:tcW w:w="3960" w:type="dxa"/>
          </w:tcPr>
          <w:p w:rsidR="00D22636" w:rsidRPr="00F5664C" w:rsidRDefault="00A74606" w:rsidP="004A1848">
            <w:pPr>
              <w:jc w:val="both"/>
              <w:rPr>
                <w:rFonts w:ascii="Book Antiqua" w:hAnsi="Book Antiqua" w:cs="Arial"/>
                <w:b/>
              </w:rPr>
            </w:pPr>
            <w:r>
              <w:rPr>
                <w:rFonts w:ascii="Book Antiqua" w:hAnsi="Book Antiqua" w:cs="Arial"/>
                <w:b/>
              </w:rPr>
              <w:t>On 17</w:t>
            </w:r>
            <w:r w:rsidRPr="00A74606">
              <w:rPr>
                <w:rFonts w:ascii="Book Antiqua" w:hAnsi="Book Antiqua" w:cs="Arial"/>
                <w:b/>
                <w:vertAlign w:val="superscript"/>
              </w:rPr>
              <w:t>th</w:t>
            </w:r>
            <w:r>
              <w:rPr>
                <w:rFonts w:ascii="Book Antiqua" w:hAnsi="Book Antiqua" w:cs="Arial"/>
                <w:b/>
              </w:rPr>
              <w:t xml:space="preserve"> July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F538FF">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Default="00B16F58" w:rsidP="00F538FF">
      <w:pPr>
        <w:rPr>
          <w:rFonts w:ascii="Book Antiqua" w:hAnsi="Book Antiqua" w:cs="Arial"/>
          <w:b/>
        </w:rPr>
      </w:pPr>
    </w:p>
    <w:p w:rsidR="00E958E2" w:rsidRPr="00F5664C" w:rsidRDefault="00E958E2" w:rsidP="00F538FF">
      <w:pP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F538FF" w:rsidRPr="00F5664C" w:rsidRDefault="00F538FF" w:rsidP="00A15234">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F538FF" w:rsidRDefault="00F538FF" w:rsidP="00F538FF">
      <w:pPr>
        <w:jc w:val="center"/>
        <w:rPr>
          <w:rFonts w:ascii="Book Antiqua" w:hAnsi="Book Antiqua" w:cs="Arial"/>
          <w:b/>
          <w:caps/>
        </w:rPr>
      </w:pPr>
      <w:r>
        <w:rPr>
          <w:rFonts w:ascii="Book Antiqua" w:hAnsi="Book Antiqua" w:cs="Arial"/>
          <w:b/>
          <w:caps/>
        </w:rPr>
        <w:t>MN</w:t>
      </w:r>
    </w:p>
    <w:p w:rsidR="00DD5071" w:rsidRPr="00F5664C" w:rsidRDefault="00F538FF" w:rsidP="00F538FF">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made</w:t>
      </w:r>
      <w:r w:rsidRPr="00F13D39">
        <w:rPr>
          <w:rFonts w:ascii="Book Antiqua" w:hAnsi="Book Antiqua" w:cs="Arial"/>
          <w:b/>
          <w:caps/>
        </w:rPr>
        <w:t>)</w:t>
      </w:r>
    </w:p>
    <w:p w:rsidR="00DD5071" w:rsidRPr="00F5664C" w:rsidRDefault="00DD5071" w:rsidP="00DA3CAB">
      <w:pPr>
        <w:jc w:val="right"/>
        <w:rPr>
          <w:rFonts w:ascii="Book Antiqua" w:hAnsi="Book Antiqua" w:cs="Arial"/>
          <w:u w:val="single"/>
        </w:rPr>
      </w:pPr>
      <w:r w:rsidRPr="00F5664C">
        <w:rPr>
          <w:rFonts w:ascii="Book Antiqua" w:hAnsi="Book Antiqua" w:cs="Arial"/>
          <w:u w:val="single"/>
        </w:rPr>
        <w:t>Respondent</w:t>
      </w:r>
    </w:p>
    <w:p w:rsidR="00E958E2" w:rsidRDefault="00E958E2" w:rsidP="00DD5071">
      <w:pPr>
        <w:rPr>
          <w:rFonts w:ascii="Book Antiqua" w:hAnsi="Book Antiqua" w:cs="Arial"/>
          <w:b/>
          <w:u w:val="single"/>
        </w:rPr>
      </w:pPr>
    </w:p>
    <w:p w:rsidR="00E958E2" w:rsidRDefault="00E958E2"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538FF">
        <w:rPr>
          <w:rFonts w:ascii="Book Antiqua" w:hAnsi="Book Antiqua" w:cs="Arial"/>
        </w:rPr>
        <w:t>Mr C Bates, Senior Home Office Presenting Officer</w:t>
      </w:r>
    </w:p>
    <w:p w:rsidR="00DE7DB7" w:rsidRPr="00F5664C" w:rsidRDefault="00DE7DB7" w:rsidP="00F538FF">
      <w:pPr>
        <w:tabs>
          <w:tab w:val="left" w:pos="2520"/>
        </w:tabs>
        <w:ind w:left="2552" w:hanging="2552"/>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538FF">
        <w:rPr>
          <w:rFonts w:ascii="Book Antiqua" w:hAnsi="Book Antiqua" w:cs="Arial"/>
        </w:rPr>
        <w:t>Miss L Bashow of Counsel instructed by Compass Immigration Law Ltd</w:t>
      </w:r>
    </w:p>
    <w:p w:rsidR="00DE7DB7" w:rsidRPr="00F5664C" w:rsidRDefault="00DE7DB7" w:rsidP="00DA3CAB">
      <w:pPr>
        <w:tabs>
          <w:tab w:val="left" w:pos="2520"/>
        </w:tabs>
        <w:rPr>
          <w:rFonts w:ascii="Book Antiqua" w:hAnsi="Book Antiqua" w:cs="Arial"/>
        </w:rPr>
      </w:pPr>
    </w:p>
    <w:p w:rsidR="00E958E2" w:rsidRDefault="00E958E2" w:rsidP="00402B9E">
      <w:pPr>
        <w:tabs>
          <w:tab w:val="left" w:pos="2520"/>
        </w:tabs>
        <w:jc w:val="center"/>
        <w:rPr>
          <w:rFonts w:ascii="Book Antiqua" w:hAnsi="Book Antiqua" w:cs="Arial"/>
          <w:b/>
          <w:u w:val="single"/>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38FF" w:rsidRDefault="00B626FA" w:rsidP="00402B9E">
      <w:pPr>
        <w:tabs>
          <w:tab w:val="left" w:pos="2520"/>
        </w:tabs>
        <w:jc w:val="both"/>
        <w:rPr>
          <w:rFonts w:ascii="Book Antiqua" w:hAnsi="Book Antiqua" w:cs="Arial"/>
          <w:b/>
        </w:rPr>
      </w:pPr>
    </w:p>
    <w:p w:rsidR="00F538FF" w:rsidRPr="00F538FF" w:rsidRDefault="00F538FF" w:rsidP="00402B9E">
      <w:pPr>
        <w:tabs>
          <w:tab w:val="left" w:pos="2520"/>
        </w:tabs>
        <w:jc w:val="both"/>
        <w:rPr>
          <w:rFonts w:ascii="Book Antiqua" w:hAnsi="Book Antiqua" w:cs="Arial"/>
          <w:b/>
        </w:rPr>
      </w:pPr>
      <w:r w:rsidRPr="00F538FF">
        <w:rPr>
          <w:rFonts w:ascii="Book Antiqua" w:hAnsi="Book Antiqua" w:cs="Arial"/>
          <w:b/>
        </w:rPr>
        <w:t>Introduction and Background</w:t>
      </w:r>
    </w:p>
    <w:p w:rsidR="005E5DFF" w:rsidRDefault="00F538FF" w:rsidP="005E5DFF">
      <w:pPr>
        <w:numPr>
          <w:ilvl w:val="0"/>
          <w:numId w:val="3"/>
        </w:numPr>
        <w:spacing w:before="240"/>
        <w:jc w:val="both"/>
        <w:rPr>
          <w:rFonts w:ascii="Book Antiqua" w:hAnsi="Book Antiqua" w:cs="Arial"/>
        </w:rPr>
      </w:pPr>
      <w:r>
        <w:rPr>
          <w:rFonts w:ascii="Book Antiqua" w:hAnsi="Book Antiqua" w:cs="Arial"/>
        </w:rPr>
        <w:t>The Secretary of State appeals against a decision of Judge Cruthers (the judge) of the First-tier Tribunal (the FTT) promulgated on 12</w:t>
      </w:r>
      <w:r w:rsidRPr="00F538FF">
        <w:rPr>
          <w:rFonts w:ascii="Book Antiqua" w:hAnsi="Book Antiqua" w:cs="Arial"/>
          <w:vertAlign w:val="superscript"/>
        </w:rPr>
        <w:t>th</w:t>
      </w:r>
      <w:r>
        <w:rPr>
          <w:rFonts w:ascii="Book Antiqua" w:hAnsi="Book Antiqua" w:cs="Arial"/>
        </w:rPr>
        <w:t xml:space="preserve"> March 2018.  </w:t>
      </w:r>
    </w:p>
    <w:p w:rsidR="00F538FF" w:rsidRDefault="00F538FF" w:rsidP="005E5DFF">
      <w:pPr>
        <w:numPr>
          <w:ilvl w:val="0"/>
          <w:numId w:val="3"/>
        </w:numPr>
        <w:spacing w:before="240"/>
        <w:jc w:val="both"/>
        <w:rPr>
          <w:rFonts w:ascii="Book Antiqua" w:hAnsi="Book Antiqua" w:cs="Arial"/>
        </w:rPr>
      </w:pPr>
      <w:r>
        <w:rPr>
          <w:rFonts w:ascii="Book Antiqua" w:hAnsi="Book Antiqua" w:cs="Arial"/>
        </w:rPr>
        <w:t xml:space="preserve">The Respondent before the Upper Tribunal was the Appellant before the FTT and I will refer to him as the Claimant. </w:t>
      </w:r>
    </w:p>
    <w:p w:rsidR="00F538FF" w:rsidRDefault="00F538FF" w:rsidP="005E5DFF">
      <w:pPr>
        <w:numPr>
          <w:ilvl w:val="0"/>
          <w:numId w:val="3"/>
        </w:numPr>
        <w:spacing w:before="240"/>
        <w:jc w:val="both"/>
        <w:rPr>
          <w:rFonts w:ascii="Book Antiqua" w:hAnsi="Book Antiqua" w:cs="Arial"/>
        </w:rPr>
      </w:pPr>
      <w:r>
        <w:rPr>
          <w:rFonts w:ascii="Book Antiqua" w:hAnsi="Book Antiqua" w:cs="Arial"/>
        </w:rPr>
        <w:lastRenderedPageBreak/>
        <w:t>The Claimant is an Iranian citizen born 18</w:t>
      </w:r>
      <w:r w:rsidRPr="00F538FF">
        <w:rPr>
          <w:rFonts w:ascii="Book Antiqua" w:hAnsi="Book Antiqua" w:cs="Arial"/>
          <w:vertAlign w:val="superscript"/>
        </w:rPr>
        <w:t>th</w:t>
      </w:r>
      <w:r>
        <w:rPr>
          <w:rFonts w:ascii="Book Antiqua" w:hAnsi="Book Antiqua" w:cs="Arial"/>
        </w:rPr>
        <w:t xml:space="preserve"> August 1984 who appealed against the Respondent’s decision dated 19</w:t>
      </w:r>
      <w:r w:rsidRPr="00F538FF">
        <w:rPr>
          <w:rFonts w:ascii="Book Antiqua" w:hAnsi="Book Antiqua" w:cs="Arial"/>
          <w:vertAlign w:val="superscript"/>
        </w:rPr>
        <w:t>th</w:t>
      </w:r>
      <w:r>
        <w:rPr>
          <w:rFonts w:ascii="Book Antiqua" w:hAnsi="Book Antiqua" w:cs="Arial"/>
        </w:rPr>
        <w:t xml:space="preserve"> December 2016 to refuse his protection and human rights claim.  The claim was made on the basis of conversion from Islam to Christianity.  The Claimant claimed that he had converted so that he is now a Jehovah’s Witness.  </w:t>
      </w:r>
    </w:p>
    <w:p w:rsidR="00F538FF" w:rsidRDefault="00F538FF" w:rsidP="005E5DFF">
      <w:pPr>
        <w:numPr>
          <w:ilvl w:val="0"/>
          <w:numId w:val="3"/>
        </w:numPr>
        <w:spacing w:before="240"/>
        <w:jc w:val="both"/>
        <w:rPr>
          <w:rFonts w:ascii="Book Antiqua" w:hAnsi="Book Antiqua" w:cs="Arial"/>
        </w:rPr>
      </w:pPr>
      <w:r>
        <w:rPr>
          <w:rFonts w:ascii="Book Antiqua" w:hAnsi="Book Antiqua" w:cs="Arial"/>
        </w:rPr>
        <w:t xml:space="preserve">The Respondent accepted that if the Claimant was a genuine convert to Christianity he would be at risk if returned to Iran, but did not accept that there had been a genuine conversion.  </w:t>
      </w:r>
    </w:p>
    <w:p w:rsidR="00F538FF" w:rsidRDefault="00F538FF" w:rsidP="005E5DFF">
      <w:pPr>
        <w:numPr>
          <w:ilvl w:val="0"/>
          <w:numId w:val="3"/>
        </w:numPr>
        <w:spacing w:before="240"/>
        <w:jc w:val="both"/>
        <w:rPr>
          <w:rFonts w:ascii="Book Antiqua" w:hAnsi="Book Antiqua" w:cs="Arial"/>
        </w:rPr>
      </w:pPr>
      <w:r>
        <w:rPr>
          <w:rFonts w:ascii="Book Antiqua" w:hAnsi="Book Antiqua" w:cs="Arial"/>
        </w:rPr>
        <w:t>The appeal was initially heard by Judge Holt on 31</w:t>
      </w:r>
      <w:r w:rsidRPr="00F538FF">
        <w:rPr>
          <w:rFonts w:ascii="Book Antiqua" w:hAnsi="Book Antiqua" w:cs="Arial"/>
          <w:vertAlign w:val="superscript"/>
        </w:rPr>
        <w:t>st</w:t>
      </w:r>
      <w:r>
        <w:rPr>
          <w:rFonts w:ascii="Book Antiqua" w:hAnsi="Book Antiqua" w:cs="Arial"/>
        </w:rPr>
        <w:t xml:space="preserve"> January 2017 and dismissed in a decision promulgated on 22</w:t>
      </w:r>
      <w:r w:rsidRPr="00F538FF">
        <w:rPr>
          <w:rFonts w:ascii="Book Antiqua" w:hAnsi="Book Antiqua" w:cs="Arial"/>
          <w:vertAlign w:val="superscript"/>
        </w:rPr>
        <w:t>nd</w:t>
      </w:r>
      <w:r>
        <w:rPr>
          <w:rFonts w:ascii="Book Antiqua" w:hAnsi="Book Antiqua" w:cs="Arial"/>
        </w:rPr>
        <w:t xml:space="preserve"> February 2017.  Material errors of law were found in this decision by Upper Tribunal Judge Smith who in a decision promulgated on 25</w:t>
      </w:r>
      <w:r w:rsidRPr="00F538FF">
        <w:rPr>
          <w:rFonts w:ascii="Book Antiqua" w:hAnsi="Book Antiqua" w:cs="Arial"/>
          <w:vertAlign w:val="superscript"/>
        </w:rPr>
        <w:t>th</w:t>
      </w:r>
      <w:r>
        <w:rPr>
          <w:rFonts w:ascii="Book Antiqua" w:hAnsi="Book Antiqua" w:cs="Arial"/>
        </w:rPr>
        <w:t xml:space="preserve"> August 2017, set aside the FTT decision and remitted the appeal back to the FTT to be heard afresh.</w:t>
      </w:r>
    </w:p>
    <w:p w:rsidR="00F538FF" w:rsidRDefault="00F538FF" w:rsidP="005E5DFF">
      <w:pPr>
        <w:numPr>
          <w:ilvl w:val="0"/>
          <w:numId w:val="3"/>
        </w:numPr>
        <w:spacing w:before="240"/>
        <w:jc w:val="both"/>
        <w:rPr>
          <w:rFonts w:ascii="Book Antiqua" w:hAnsi="Book Antiqua" w:cs="Arial"/>
        </w:rPr>
      </w:pPr>
      <w:r>
        <w:rPr>
          <w:rFonts w:ascii="Book Antiqua" w:hAnsi="Book Antiqua" w:cs="Arial"/>
        </w:rPr>
        <w:t>Judge Cruthers heard the appeal on 14</w:t>
      </w:r>
      <w:r w:rsidRPr="00F538FF">
        <w:rPr>
          <w:rFonts w:ascii="Book Antiqua" w:hAnsi="Book Antiqua" w:cs="Arial"/>
          <w:vertAlign w:val="superscript"/>
        </w:rPr>
        <w:t>th</w:t>
      </w:r>
      <w:r>
        <w:rPr>
          <w:rFonts w:ascii="Book Antiqua" w:hAnsi="Book Antiqua" w:cs="Arial"/>
        </w:rPr>
        <w:t xml:space="preserve"> February 2018.  After hearing evidence from the Claimant, and two witnesses Mr Edmans and Mr Nikrooz, the judge accepted that the Claimant had proved to a reasonable degree of likelihood that he had converted to Christianity.</w:t>
      </w:r>
      <w:r w:rsidR="00AF5F1F">
        <w:rPr>
          <w:rFonts w:ascii="Book Antiqua" w:hAnsi="Book Antiqua" w:cs="Arial"/>
        </w:rPr>
        <w:t xml:space="preserve">  In reaching this decision the judge took into account that the Claimant had initially been refused asylum on 7</w:t>
      </w:r>
      <w:r w:rsidR="00AF5F1F" w:rsidRPr="00AF5F1F">
        <w:rPr>
          <w:rFonts w:ascii="Book Antiqua" w:hAnsi="Book Antiqua" w:cs="Arial"/>
          <w:vertAlign w:val="superscript"/>
        </w:rPr>
        <w:t>th</w:t>
      </w:r>
      <w:r w:rsidR="00AF5F1F">
        <w:rPr>
          <w:rFonts w:ascii="Book Antiqua" w:hAnsi="Book Antiqua" w:cs="Arial"/>
        </w:rPr>
        <w:t xml:space="preserve"> January 2015, and there had been a previous appeal hearing before Judge Lloyd-Smith in May 2015, which had bee</w:t>
      </w:r>
      <w:r w:rsidR="007C7382">
        <w:rPr>
          <w:rFonts w:ascii="Book Antiqua" w:hAnsi="Book Antiqua" w:cs="Arial"/>
        </w:rPr>
        <w:t xml:space="preserve">n dismissed, and that decision </w:t>
      </w:r>
      <w:r w:rsidR="00AF5F1F">
        <w:rPr>
          <w:rFonts w:ascii="Book Antiqua" w:hAnsi="Book Antiqua" w:cs="Arial"/>
        </w:rPr>
        <w:t>had never been successfully challenged.  In</w:t>
      </w:r>
      <w:r w:rsidR="007F5D33">
        <w:rPr>
          <w:rFonts w:ascii="Book Antiqua" w:hAnsi="Book Antiqua" w:cs="Arial"/>
        </w:rPr>
        <w:t xml:space="preserve"> relation to that decision the judge considered the principles in </w:t>
      </w:r>
      <w:r w:rsidR="007F5D33" w:rsidRPr="00C42F96">
        <w:rPr>
          <w:rFonts w:ascii="Book Antiqua" w:hAnsi="Book Antiqua" w:cs="Arial"/>
          <w:u w:val="single"/>
        </w:rPr>
        <w:t>Devaseelan</w:t>
      </w:r>
      <w:r w:rsidR="007F5D33" w:rsidRPr="00C42F96">
        <w:rPr>
          <w:rFonts w:ascii="Book Antiqua" w:hAnsi="Book Antiqua" w:cs="Arial"/>
        </w:rPr>
        <w:t xml:space="preserve"> [2002] UKIAT 00702</w:t>
      </w:r>
      <w:r w:rsidR="007F5D33">
        <w:rPr>
          <w:rFonts w:ascii="Book Antiqua" w:hAnsi="Book Antiqua" w:cs="Arial"/>
        </w:rPr>
        <w:t xml:space="preserve">.  </w:t>
      </w:r>
    </w:p>
    <w:p w:rsidR="007F5D33" w:rsidRDefault="00547B51" w:rsidP="005E5DFF">
      <w:pPr>
        <w:numPr>
          <w:ilvl w:val="0"/>
          <w:numId w:val="3"/>
        </w:numPr>
        <w:spacing w:before="240"/>
        <w:jc w:val="both"/>
        <w:rPr>
          <w:rFonts w:ascii="Book Antiqua" w:hAnsi="Book Antiqua" w:cs="Arial"/>
        </w:rPr>
      </w:pPr>
      <w:r>
        <w:rPr>
          <w:rFonts w:ascii="Book Antiqua" w:hAnsi="Book Antiqua" w:cs="Arial"/>
        </w:rPr>
        <w:t>The decision made by Judge Cruthers caused the Secretary of State to apply for permission to appeal to the Upper Tribunal.  The grounds seeking permission to appeal are summarised below.</w:t>
      </w:r>
    </w:p>
    <w:p w:rsidR="00547B51" w:rsidRDefault="00513902"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erred in considering the </w:t>
      </w:r>
      <w:r w:rsidRPr="00C42F96">
        <w:rPr>
          <w:rFonts w:ascii="Book Antiqua" w:hAnsi="Book Antiqua" w:cs="Arial"/>
          <w:u w:val="single"/>
        </w:rPr>
        <w:t>Devaseelan</w:t>
      </w:r>
      <w:r>
        <w:rPr>
          <w:rFonts w:ascii="Book Antiqua" w:hAnsi="Book Antiqua" w:cs="Arial"/>
        </w:rPr>
        <w:t xml:space="preserve"> principles, in relation to the strong adverse credibilit</w:t>
      </w:r>
      <w:r w:rsidR="00770539">
        <w:rPr>
          <w:rFonts w:ascii="Book Antiqua" w:hAnsi="Book Antiqua" w:cs="Arial"/>
        </w:rPr>
        <w:t>y findings made by Judge Lloyd-</w:t>
      </w:r>
      <w:r>
        <w:rPr>
          <w:rFonts w:ascii="Book Antiqua" w:hAnsi="Book Antiqua" w:cs="Arial"/>
        </w:rPr>
        <w:t>Smith.  It was submitted that the judge had erred and failed to adequately explain his conclusion that the conversion was genuine, given the previous findings that the Appellant was an incredible witness, and the adverse findings made at the hearing which amounted to further adverse credibility findings.  By way of example the judge had found that the Appellant had not told the truth about attempting to convert people by knocking on doors, because he did not have a sufficient grasp of English</w:t>
      </w:r>
      <w:r w:rsidR="00CF1F16">
        <w:rPr>
          <w:rFonts w:ascii="Book Antiqua" w:hAnsi="Book Antiqua" w:cs="Arial"/>
        </w:rPr>
        <w:t xml:space="preserve">. </w:t>
      </w:r>
      <w:proofErr w:type="gramStart"/>
      <w:r w:rsidR="00CF1F16">
        <w:rPr>
          <w:rFonts w:ascii="Book Antiqua" w:hAnsi="Book Antiqua" w:cs="Arial"/>
        </w:rPr>
        <w:t>Also</w:t>
      </w:r>
      <w:proofErr w:type="gramEnd"/>
      <w:r>
        <w:rPr>
          <w:rFonts w:ascii="Book Antiqua" w:hAnsi="Book Antiqua" w:cs="Arial"/>
        </w:rPr>
        <w:t xml:space="preserve"> he did not know the specific Jehovah’s Witness</w:t>
      </w:r>
      <w:r w:rsidR="009E0542">
        <w:rPr>
          <w:rFonts w:ascii="Book Antiqua" w:hAnsi="Book Antiqua" w:cs="Arial"/>
        </w:rPr>
        <w:t>es’</w:t>
      </w:r>
      <w:r>
        <w:rPr>
          <w:rFonts w:ascii="Book Antiqua" w:hAnsi="Book Antiqua" w:cs="Arial"/>
        </w:rPr>
        <w:t xml:space="preserve"> name for the Old and New Testament and did not know the name of the national headquarters.  Neither of the two people the Appellant claimed to have converted attended </w:t>
      </w:r>
      <w:r w:rsidR="00A079A4">
        <w:rPr>
          <w:rFonts w:ascii="Book Antiqua" w:hAnsi="Book Antiqua" w:cs="Arial"/>
        </w:rPr>
        <w:t>the hearing to give evidence, a</w:t>
      </w:r>
      <w:r>
        <w:rPr>
          <w:rFonts w:ascii="Book Antiqua" w:hAnsi="Book Antiqua" w:cs="Arial"/>
        </w:rPr>
        <w:t>nd the judge described other aspects of the Appellant’s claim as vague and implausible.  These findings are contained at paragraphs 58</w:t>
      </w:r>
      <w:r w:rsidR="00F560E2">
        <w:rPr>
          <w:rFonts w:ascii="Book Antiqua" w:hAnsi="Book Antiqua" w:cs="Arial"/>
        </w:rPr>
        <w:t>-</w:t>
      </w:r>
      <w:r>
        <w:rPr>
          <w:rFonts w:ascii="Book Antiqua" w:hAnsi="Book Antiqua" w:cs="Arial"/>
        </w:rPr>
        <w:t>62.</w:t>
      </w:r>
    </w:p>
    <w:p w:rsidR="00513902" w:rsidRDefault="00513902"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placed too much weight on the evidence of the two witnesses and their evidence did not explain why the </w:t>
      </w:r>
      <w:r w:rsidR="00A25DA3">
        <w:rPr>
          <w:rFonts w:ascii="Book Antiqua" w:hAnsi="Book Antiqua" w:cs="Arial"/>
        </w:rPr>
        <w:t>Claim</w:t>
      </w:r>
      <w:r>
        <w:rPr>
          <w:rFonts w:ascii="Book Antiqua" w:hAnsi="Book Antiqua" w:cs="Arial"/>
        </w:rPr>
        <w:t>ant demonstrated little knowledge of the basic details of the faith at the hearing, and the witnesses had not taken into account that a person may learn religious teachings solely because they want to remain in the UK, as opposed to genuinely converting.</w:t>
      </w:r>
    </w:p>
    <w:p w:rsidR="00513902" w:rsidRDefault="00513902" w:rsidP="005E5DFF">
      <w:pPr>
        <w:numPr>
          <w:ilvl w:val="0"/>
          <w:numId w:val="3"/>
        </w:numPr>
        <w:spacing w:before="240"/>
        <w:jc w:val="both"/>
        <w:rPr>
          <w:rFonts w:ascii="Book Antiqua" w:hAnsi="Book Antiqua" w:cs="Arial"/>
        </w:rPr>
      </w:pPr>
      <w:r>
        <w:rPr>
          <w:rFonts w:ascii="Book Antiqua" w:hAnsi="Book Antiqua" w:cs="Arial"/>
        </w:rPr>
        <w:lastRenderedPageBreak/>
        <w:t xml:space="preserve">It was also submitted that the judge had apparently treated the </w:t>
      </w:r>
      <w:r w:rsidR="00C13172">
        <w:rPr>
          <w:rFonts w:ascii="Book Antiqua" w:hAnsi="Book Antiqua" w:cs="Arial"/>
        </w:rPr>
        <w:t>Claim</w:t>
      </w:r>
      <w:r>
        <w:rPr>
          <w:rFonts w:ascii="Book Antiqua" w:hAnsi="Book Antiqua" w:cs="Arial"/>
        </w:rPr>
        <w:t xml:space="preserve">ant’s baptism as being near determinative of his genuine conversion.  </w:t>
      </w:r>
    </w:p>
    <w:p w:rsidR="00513902" w:rsidRDefault="00513902" w:rsidP="005E5DFF">
      <w:pPr>
        <w:numPr>
          <w:ilvl w:val="0"/>
          <w:numId w:val="3"/>
        </w:numPr>
        <w:spacing w:before="240"/>
        <w:jc w:val="both"/>
        <w:rPr>
          <w:rFonts w:ascii="Book Antiqua" w:hAnsi="Book Antiqua" w:cs="Arial"/>
        </w:rPr>
      </w:pPr>
      <w:r>
        <w:rPr>
          <w:rFonts w:ascii="Book Antiqua" w:hAnsi="Book Antiqua" w:cs="Arial"/>
        </w:rPr>
        <w:t>Permission to appeal was granted by Judge L Murray of the FTT in the following terms;</w:t>
      </w:r>
    </w:p>
    <w:p w:rsidR="00513902" w:rsidRPr="00C9611D" w:rsidRDefault="00513902" w:rsidP="00513902">
      <w:pPr>
        <w:spacing w:before="240"/>
        <w:ind w:left="1701" w:hanging="567"/>
        <w:jc w:val="both"/>
        <w:rPr>
          <w:rFonts w:ascii="Book Antiqua" w:hAnsi="Book Antiqua" w:cs="Arial"/>
          <w:sz w:val="22"/>
          <w:szCs w:val="22"/>
        </w:rPr>
      </w:pPr>
      <w:r w:rsidRPr="00C9611D">
        <w:rPr>
          <w:rFonts w:ascii="Book Antiqua" w:hAnsi="Book Antiqua" w:cs="Arial"/>
          <w:sz w:val="22"/>
          <w:szCs w:val="22"/>
        </w:rPr>
        <w:t>“3.</w:t>
      </w:r>
      <w:r w:rsidRPr="00C9611D">
        <w:rPr>
          <w:rFonts w:ascii="Book Antiqua" w:hAnsi="Book Antiqua" w:cs="Arial"/>
          <w:sz w:val="22"/>
          <w:szCs w:val="22"/>
        </w:rPr>
        <w:tab/>
        <w:t>It is arguable that, despite setting out the adverse credibility findings in the previous determination in full, the First-tier Tribunal Judge fails adequately to explain why in the light of these comprehensive adverse findings that the Appellant is now to be believed in relation to his conversion to Christianity.”</w:t>
      </w:r>
    </w:p>
    <w:p w:rsidR="00513902" w:rsidRDefault="00F77B1F" w:rsidP="005E5DFF">
      <w:pPr>
        <w:numPr>
          <w:ilvl w:val="0"/>
          <w:numId w:val="3"/>
        </w:numPr>
        <w:spacing w:before="240"/>
        <w:jc w:val="both"/>
        <w:rPr>
          <w:rFonts w:ascii="Book Antiqua" w:hAnsi="Book Antiqua" w:cs="Arial"/>
        </w:rPr>
      </w:pPr>
      <w:r>
        <w:rPr>
          <w:rFonts w:ascii="Book Antiqua" w:hAnsi="Book Antiqua" w:cs="Arial"/>
        </w:rPr>
        <w:t>Following the grant of permission the Claimant did no</w:t>
      </w:r>
      <w:r w:rsidR="006E7667">
        <w:rPr>
          <w:rFonts w:ascii="Book Antiqua" w:hAnsi="Book Antiqua" w:cs="Arial"/>
        </w:rPr>
        <w:t>t lodge a response pursuant to r</w:t>
      </w:r>
      <w:r>
        <w:rPr>
          <w:rFonts w:ascii="Book Antiqua" w:hAnsi="Book Antiqua" w:cs="Arial"/>
        </w:rPr>
        <w:t>ule 24 of The Tribunal Procedure (Upper Tri</w:t>
      </w:r>
      <w:r w:rsidR="006E7667">
        <w:rPr>
          <w:rFonts w:ascii="Book Antiqua" w:hAnsi="Book Antiqua" w:cs="Arial"/>
        </w:rPr>
        <w:t>bunal) r</w:t>
      </w:r>
      <w:r>
        <w:rPr>
          <w:rFonts w:ascii="Book Antiqua" w:hAnsi="Book Antiqua" w:cs="Arial"/>
        </w:rPr>
        <w:t xml:space="preserve">ules 2008.  </w:t>
      </w:r>
    </w:p>
    <w:p w:rsidR="00F77B1F" w:rsidRDefault="00F77B1F"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FTT had erred in law such that the decision must be set aside.  </w:t>
      </w:r>
    </w:p>
    <w:p w:rsidR="00F77B1F" w:rsidRPr="00C9182C" w:rsidRDefault="00F77B1F" w:rsidP="00C9182C">
      <w:pPr>
        <w:spacing w:before="240"/>
        <w:jc w:val="both"/>
        <w:rPr>
          <w:rFonts w:ascii="Book Antiqua" w:hAnsi="Book Antiqua" w:cs="Arial"/>
          <w:b/>
        </w:rPr>
      </w:pPr>
      <w:r w:rsidRPr="00C9182C">
        <w:rPr>
          <w:rFonts w:ascii="Book Antiqua" w:hAnsi="Book Antiqua" w:cs="Arial"/>
          <w:b/>
        </w:rPr>
        <w:t>The Upper Tribunal Hearing</w:t>
      </w:r>
    </w:p>
    <w:p w:rsidR="00F77B1F" w:rsidRDefault="0017363C" w:rsidP="005E5DFF">
      <w:pPr>
        <w:numPr>
          <w:ilvl w:val="0"/>
          <w:numId w:val="3"/>
        </w:numPr>
        <w:spacing w:before="240"/>
        <w:jc w:val="both"/>
        <w:rPr>
          <w:rFonts w:ascii="Book Antiqua" w:hAnsi="Book Antiqua" w:cs="Arial"/>
        </w:rPr>
      </w:pPr>
      <w:r>
        <w:rPr>
          <w:rFonts w:ascii="Book Antiqua" w:hAnsi="Book Antiqua" w:cs="Arial"/>
        </w:rPr>
        <w:t xml:space="preserve">On behalf of the Secretary of State Mr Bates relied upon the grounds contained within the application for permission to appeal.  It was submitted that the judge had found the evidence of the two witnesses to be determinative, as it had been recorded at paragraph 52, that without that evidence, the appeal would have been dismissed.  It was submitted that the judge was wrong to regard the witness evidence as determinative.  Mr Bates pointed out that the </w:t>
      </w:r>
      <w:r w:rsidR="00B74913">
        <w:rPr>
          <w:rFonts w:ascii="Book Antiqua" w:hAnsi="Book Antiqua" w:cs="Arial"/>
        </w:rPr>
        <w:t>Claim</w:t>
      </w:r>
      <w:r>
        <w:rPr>
          <w:rFonts w:ascii="Book Antiqua" w:hAnsi="Book Antiqua" w:cs="Arial"/>
        </w:rPr>
        <w:t xml:space="preserve">ant had been introduced to the Jehovah’s Witness faith by a man called Mohammad Reza, who the judge found at paragraph 66 had stopped attending church after securing refugee status.  This indicated that the witnesses </w:t>
      </w:r>
      <w:r w:rsidR="00B74913">
        <w:rPr>
          <w:rFonts w:ascii="Book Antiqua" w:hAnsi="Book Antiqua" w:cs="Arial"/>
        </w:rPr>
        <w:t>had been</w:t>
      </w:r>
      <w:r>
        <w:rPr>
          <w:rFonts w:ascii="Book Antiqua" w:hAnsi="Book Antiqua" w:cs="Arial"/>
        </w:rPr>
        <w:t xml:space="preserve"> wrong to believe that Mr Reza was a genuine Christian.</w:t>
      </w:r>
    </w:p>
    <w:p w:rsidR="0017363C" w:rsidRDefault="0017363C" w:rsidP="005E5DFF">
      <w:pPr>
        <w:numPr>
          <w:ilvl w:val="0"/>
          <w:numId w:val="3"/>
        </w:numPr>
        <w:spacing w:before="240"/>
        <w:jc w:val="both"/>
        <w:rPr>
          <w:rFonts w:ascii="Book Antiqua" w:hAnsi="Book Antiqua" w:cs="Arial"/>
        </w:rPr>
      </w:pPr>
      <w:r>
        <w:rPr>
          <w:rFonts w:ascii="Book Antiqua" w:hAnsi="Book Antiqua" w:cs="Arial"/>
        </w:rPr>
        <w:t>It was submitted that the witnesses had spoken of “very robust efforts” at paragraph 69, to ensure that all baptisms are genuine, but no detail had been given of the procedure for checking that an applicant for baptism was genuine.</w:t>
      </w:r>
    </w:p>
    <w:p w:rsidR="0017363C" w:rsidRDefault="0017363C" w:rsidP="005E5DFF">
      <w:pPr>
        <w:numPr>
          <w:ilvl w:val="0"/>
          <w:numId w:val="3"/>
        </w:numPr>
        <w:spacing w:before="240"/>
        <w:jc w:val="both"/>
        <w:rPr>
          <w:rFonts w:ascii="Book Antiqua" w:hAnsi="Book Antiqua" w:cs="Arial"/>
        </w:rPr>
      </w:pPr>
      <w:r>
        <w:rPr>
          <w:rFonts w:ascii="Book Antiqua" w:hAnsi="Book Antiqua" w:cs="Arial"/>
        </w:rPr>
        <w:t>Mr Bates submitted that the judge had failed to undertake an independent assessment of credibility and had found in favour of the Claimant simply because the witnesses believed him</w:t>
      </w:r>
      <w:r w:rsidR="00951587">
        <w:rPr>
          <w:rFonts w:ascii="Book Antiqua" w:hAnsi="Book Antiqua" w:cs="Arial"/>
        </w:rPr>
        <w:t>.</w:t>
      </w:r>
      <w:r w:rsidR="00624C29">
        <w:rPr>
          <w:rFonts w:ascii="Book Antiqua" w:hAnsi="Book Antiqua" w:cs="Arial"/>
        </w:rPr>
        <w:t xml:space="preserve">  The </w:t>
      </w:r>
      <w:r>
        <w:rPr>
          <w:rFonts w:ascii="Book Antiqua" w:hAnsi="Book Antiqua" w:cs="Arial"/>
        </w:rPr>
        <w:t>judge had failed to adequately explain why he regarded the evidence of the witnesses as being so strong.</w:t>
      </w:r>
    </w:p>
    <w:p w:rsidR="0017363C" w:rsidRDefault="0017363C" w:rsidP="005E5DFF">
      <w:pPr>
        <w:numPr>
          <w:ilvl w:val="0"/>
          <w:numId w:val="3"/>
        </w:numPr>
        <w:spacing w:before="240"/>
        <w:jc w:val="both"/>
        <w:rPr>
          <w:rFonts w:ascii="Book Antiqua" w:hAnsi="Book Antiqua" w:cs="Arial"/>
        </w:rPr>
      </w:pPr>
      <w:r>
        <w:rPr>
          <w:rFonts w:ascii="Book Antiqua" w:hAnsi="Book Antiqua" w:cs="Arial"/>
        </w:rPr>
        <w:t>On behalf of the Claimant M</w:t>
      </w:r>
      <w:r w:rsidR="006B0662">
        <w:rPr>
          <w:rFonts w:ascii="Book Antiqua" w:hAnsi="Book Antiqua" w:cs="Arial"/>
        </w:rPr>
        <w:t>iss</w:t>
      </w:r>
      <w:r>
        <w:rPr>
          <w:rFonts w:ascii="Book Antiqua" w:hAnsi="Book Antiqua" w:cs="Arial"/>
        </w:rPr>
        <w:t xml:space="preserve"> </w:t>
      </w:r>
      <w:proofErr w:type="spellStart"/>
      <w:r>
        <w:rPr>
          <w:rFonts w:ascii="Book Antiqua" w:hAnsi="Book Antiqua" w:cs="Arial"/>
        </w:rPr>
        <w:t>Bashow</w:t>
      </w:r>
      <w:proofErr w:type="spellEnd"/>
      <w:r>
        <w:rPr>
          <w:rFonts w:ascii="Book Antiqua" w:hAnsi="Book Antiqua" w:cs="Arial"/>
        </w:rPr>
        <w:t xml:space="preserve"> submitted that the judge had given clear reasons for the findings that he had made.  The reasoning given by the judge disclosed no error of law, and the judge had correctly followed the guidance in case law by referring to the decision in </w:t>
      </w:r>
      <w:r w:rsidRPr="00A379C4">
        <w:rPr>
          <w:rFonts w:ascii="Book Antiqua" w:hAnsi="Book Antiqua" w:cs="Arial"/>
          <w:u w:val="single"/>
        </w:rPr>
        <w:t>Ali Dorodian</w:t>
      </w:r>
      <w:r>
        <w:rPr>
          <w:rFonts w:ascii="Book Antiqua" w:hAnsi="Book Antiqua" w:cs="Arial"/>
        </w:rPr>
        <w:t>.</w:t>
      </w:r>
    </w:p>
    <w:p w:rsidR="001C794C" w:rsidRDefault="001C794C" w:rsidP="005E5DFF">
      <w:pPr>
        <w:numPr>
          <w:ilvl w:val="0"/>
          <w:numId w:val="3"/>
        </w:numPr>
        <w:spacing w:before="240"/>
        <w:jc w:val="both"/>
        <w:rPr>
          <w:rFonts w:ascii="Book Antiqua" w:hAnsi="Book Antiqua" w:cs="Arial"/>
        </w:rPr>
      </w:pPr>
      <w:r>
        <w:rPr>
          <w:rFonts w:ascii="Book Antiqua" w:hAnsi="Book Antiqua" w:cs="Arial"/>
        </w:rPr>
        <w:t xml:space="preserve">The judge was entitled to give weight to the witness evidence and had given reasons for attaching weight to that evidence.  The judge had correctly applied the </w:t>
      </w:r>
      <w:r w:rsidRPr="00B90142">
        <w:rPr>
          <w:rFonts w:ascii="Book Antiqua" w:hAnsi="Book Antiqua" w:cs="Arial"/>
          <w:u w:val="single"/>
        </w:rPr>
        <w:t>Devaseelan</w:t>
      </w:r>
      <w:r>
        <w:rPr>
          <w:rFonts w:ascii="Book Antiqua" w:hAnsi="Book Antiqua" w:cs="Arial"/>
        </w:rPr>
        <w:t xml:space="preserve"> guidelines.  The judge had correctly followed the guidance in </w:t>
      </w:r>
      <w:r w:rsidRPr="0052385F">
        <w:rPr>
          <w:rFonts w:ascii="Book Antiqua" w:hAnsi="Book Antiqua" w:cs="Arial"/>
          <w:u w:val="single"/>
        </w:rPr>
        <w:t>SJ</w:t>
      </w:r>
      <w:r>
        <w:rPr>
          <w:rFonts w:ascii="Book Antiqua" w:hAnsi="Book Antiqua" w:cs="Arial"/>
        </w:rPr>
        <w:t xml:space="preserve"> Iran [2003] UKIAT 00158 in which </w:t>
      </w:r>
      <w:r w:rsidR="00550406">
        <w:rPr>
          <w:rFonts w:ascii="Book Antiqua" w:hAnsi="Book Antiqua" w:cs="Arial"/>
        </w:rPr>
        <w:t>an Adjudicator had rejected an A</w:t>
      </w:r>
      <w:r>
        <w:rPr>
          <w:rFonts w:ascii="Book Antiqua" w:hAnsi="Book Antiqua" w:cs="Arial"/>
        </w:rPr>
        <w:t xml:space="preserve">ppellant’s claim to have converted to Christianity, but on appeal the IAT heard evidence from the Appellant and a Minister </w:t>
      </w:r>
      <w:r>
        <w:rPr>
          <w:rFonts w:ascii="Book Antiqua" w:hAnsi="Book Antiqua" w:cs="Arial"/>
        </w:rPr>
        <w:lastRenderedPageBreak/>
        <w:t>of the Church, and based on that evidence allowed the appeal as it was accepted that the Appellant was committed to the Christian faith.  It was submitted that in this case, the judge had not erred by relying upon the evidence of the two witnesses, who are both elders with the Jehovah’s Witness</w:t>
      </w:r>
      <w:r w:rsidR="00495E26">
        <w:rPr>
          <w:rFonts w:ascii="Book Antiqua" w:hAnsi="Book Antiqua" w:cs="Arial"/>
        </w:rPr>
        <w:t>es</w:t>
      </w:r>
      <w:r w:rsidR="00E4372D">
        <w:rPr>
          <w:rFonts w:ascii="Book Antiqua" w:hAnsi="Book Antiqua" w:cs="Arial"/>
        </w:rPr>
        <w:t>’</w:t>
      </w:r>
      <w:r w:rsidR="00495E26">
        <w:rPr>
          <w:rFonts w:ascii="Book Antiqua" w:hAnsi="Book Antiqua" w:cs="Arial"/>
        </w:rPr>
        <w:t xml:space="preserve"> faith.  </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It was not accepted that the Claimant had displayed little knowledge of the faith as the Secretary of State had accepted at paragraph 33 of the refusal decision that the Claimant had demonstrated a reasonable knowledge of the bible when interviewed.  It was submitted that the judge was entitled to take into account the Claimant’s knowledge of the Christian faith, the evidence of his regular attendance at church and the duration that he had been attending</w:t>
      </w:r>
      <w:r w:rsidR="009A4C36">
        <w:rPr>
          <w:rFonts w:ascii="Book Antiqua" w:hAnsi="Book Antiqua" w:cs="Arial"/>
        </w:rPr>
        <w:t>, t</w:t>
      </w:r>
      <w:r>
        <w:rPr>
          <w:rFonts w:ascii="Book Antiqua" w:hAnsi="Book Antiqua" w:cs="Arial"/>
        </w:rPr>
        <w:t xml:space="preserve">he evidence of the witnesses, and the fact that there was </w:t>
      </w:r>
      <w:r w:rsidR="00D701DC">
        <w:rPr>
          <w:rFonts w:ascii="Book Antiqua" w:hAnsi="Book Antiqua" w:cs="Arial"/>
        </w:rPr>
        <w:t xml:space="preserve">a </w:t>
      </w:r>
      <w:r>
        <w:rPr>
          <w:rFonts w:ascii="Book Antiqua" w:hAnsi="Book Antiqua" w:cs="Arial"/>
        </w:rPr>
        <w:t xml:space="preserve">robust process before an individual could be baptised.  </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In response Mr Bate</w:t>
      </w:r>
      <w:r w:rsidR="00CB568F">
        <w:rPr>
          <w:rFonts w:ascii="Book Antiqua" w:hAnsi="Book Antiqua" w:cs="Arial"/>
        </w:rPr>
        <w:t xml:space="preserve">s </w:t>
      </w:r>
      <w:r>
        <w:rPr>
          <w:rFonts w:ascii="Book Antiqua" w:hAnsi="Book Antiqua" w:cs="Arial"/>
        </w:rPr>
        <w:t>submitted that the judge was wrong to attach weight to the fact that the Claimant had continued to att</w:t>
      </w:r>
      <w:r w:rsidR="000B0C68">
        <w:rPr>
          <w:rFonts w:ascii="Book Antiqua" w:hAnsi="Book Antiqua" w:cs="Arial"/>
        </w:rPr>
        <w:t xml:space="preserve">end church after refusal of </w:t>
      </w:r>
      <w:r>
        <w:rPr>
          <w:rFonts w:ascii="Book Antiqua" w:hAnsi="Book Antiqua" w:cs="Arial"/>
        </w:rPr>
        <w:t xml:space="preserve">his first appeal, and had been baptised.  An explanation for that could be that if the </w:t>
      </w:r>
      <w:r w:rsidR="00CB568F">
        <w:rPr>
          <w:rFonts w:ascii="Book Antiqua" w:hAnsi="Book Antiqua" w:cs="Arial"/>
        </w:rPr>
        <w:t>Claim</w:t>
      </w:r>
      <w:r>
        <w:rPr>
          <w:rFonts w:ascii="Book Antiqua" w:hAnsi="Book Antiqua" w:cs="Arial"/>
        </w:rPr>
        <w:t xml:space="preserve">ant wished to succeed with his appeal, he had to maintain attendance at church and apply for baptism.  It was submitted that the judge had erred by not appreciating that the Appellant’s claim was manufactured, with manufactured evidence.  </w:t>
      </w:r>
    </w:p>
    <w:p w:rsidR="00495E26" w:rsidRPr="00495E26" w:rsidRDefault="00495E26" w:rsidP="00495E26">
      <w:pPr>
        <w:spacing w:before="240"/>
        <w:jc w:val="both"/>
        <w:rPr>
          <w:rFonts w:ascii="Book Antiqua" w:hAnsi="Book Antiqua" w:cs="Arial"/>
          <w:b/>
        </w:rPr>
      </w:pPr>
      <w:r w:rsidRPr="00495E26">
        <w:rPr>
          <w:rFonts w:ascii="Book Antiqua" w:hAnsi="Book Antiqua" w:cs="Arial"/>
          <w:b/>
        </w:rPr>
        <w:t>My Conclusions and Reasons</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 xml:space="preserve">Following the appeal hearing in May 2015, the </w:t>
      </w:r>
      <w:r w:rsidR="00204857">
        <w:rPr>
          <w:rFonts w:ascii="Book Antiqua" w:hAnsi="Book Antiqua" w:cs="Arial"/>
        </w:rPr>
        <w:t>Claim</w:t>
      </w:r>
      <w:r>
        <w:rPr>
          <w:rFonts w:ascii="Book Antiqua" w:hAnsi="Book Antiqua" w:cs="Arial"/>
        </w:rPr>
        <w:t xml:space="preserve">ant made further submissions, based upon his conversion to Christianity, which the </w:t>
      </w:r>
      <w:r w:rsidR="000C6A6D">
        <w:rPr>
          <w:rFonts w:ascii="Book Antiqua" w:hAnsi="Book Antiqua" w:cs="Arial"/>
        </w:rPr>
        <w:t>Secretary of State</w:t>
      </w:r>
      <w:r>
        <w:rPr>
          <w:rFonts w:ascii="Book Antiqua" w:hAnsi="Book Antiqua" w:cs="Arial"/>
        </w:rPr>
        <w:t xml:space="preserve"> accepted amounted to a fresh claim for international protection.  Those further submissions were refused on 20</w:t>
      </w:r>
      <w:r w:rsidRPr="00495E26">
        <w:rPr>
          <w:rFonts w:ascii="Book Antiqua" w:hAnsi="Book Antiqua" w:cs="Arial"/>
          <w:vertAlign w:val="superscript"/>
        </w:rPr>
        <w:t>th</w:t>
      </w:r>
      <w:r>
        <w:rPr>
          <w:rFonts w:ascii="Book Antiqua" w:hAnsi="Book Antiqua" w:cs="Arial"/>
        </w:rPr>
        <w:t xml:space="preserve"> December 2016. </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 xml:space="preserve">The judge had to take into account, notwithstanding that the submissions amounted to a fresh claim, the findings made by Judge Lloyd-Smith in May 2015, in accordance with the guidance in </w:t>
      </w:r>
      <w:r w:rsidRPr="007A7252">
        <w:rPr>
          <w:rFonts w:ascii="Book Antiqua" w:hAnsi="Book Antiqua" w:cs="Arial"/>
          <w:u w:val="single"/>
        </w:rPr>
        <w:t>Devaseelan</w:t>
      </w:r>
      <w:r>
        <w:rPr>
          <w:rFonts w:ascii="Book Antiqua" w:hAnsi="Book Antiqua" w:cs="Arial"/>
        </w:rPr>
        <w:t>.  I find that the judge appropriately followed that guidance, and my reasons for reaching this conclusion are set out below.</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 xml:space="preserve">The judge set out the principles in </w:t>
      </w:r>
      <w:r w:rsidRPr="00353CBC">
        <w:rPr>
          <w:rFonts w:ascii="Book Antiqua" w:hAnsi="Book Antiqua" w:cs="Arial"/>
          <w:u w:val="single"/>
        </w:rPr>
        <w:t>Devaseelan</w:t>
      </w:r>
      <w:r>
        <w:rPr>
          <w:rFonts w:ascii="Book Antiqua" w:hAnsi="Book Antiqua" w:cs="Arial"/>
        </w:rPr>
        <w:t xml:space="preserve"> at paragraph 23 of his decision.  In my view the judge then demonstrated that he had correctly applied those principles.  Not only did the judge apply the principles in </w:t>
      </w:r>
      <w:r w:rsidRPr="004110C9">
        <w:rPr>
          <w:rFonts w:ascii="Book Antiqua" w:hAnsi="Book Antiqua" w:cs="Arial"/>
          <w:u w:val="single"/>
        </w:rPr>
        <w:t>Devaseelan</w:t>
      </w:r>
      <w:r>
        <w:rPr>
          <w:rFonts w:ascii="Book Antiqua" w:hAnsi="Book Antiqua" w:cs="Arial"/>
        </w:rPr>
        <w:t xml:space="preserve">, it is my view that he undertook a comprehensive examination of all the evidence that was presented in connection with this appeal.  </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 xml:space="preserve">Having set out the </w:t>
      </w:r>
      <w:r w:rsidRPr="004110C9">
        <w:rPr>
          <w:rFonts w:ascii="Book Antiqua" w:hAnsi="Book Antiqua" w:cs="Arial"/>
          <w:u w:val="single"/>
        </w:rPr>
        <w:t>Devaseelan</w:t>
      </w:r>
      <w:r>
        <w:rPr>
          <w:rFonts w:ascii="Book Antiqua" w:hAnsi="Book Antiqua" w:cs="Arial"/>
        </w:rPr>
        <w:t xml:space="preserve"> principles, the judge then set out, at length, t</w:t>
      </w:r>
      <w:r w:rsidR="000F5C34">
        <w:rPr>
          <w:rFonts w:ascii="Book Antiqua" w:hAnsi="Book Antiqua" w:cs="Arial"/>
        </w:rPr>
        <w:t>he findings made by Judge Lloyd-</w:t>
      </w:r>
      <w:r>
        <w:rPr>
          <w:rFonts w:ascii="Book Antiqua" w:hAnsi="Book Antiqua" w:cs="Arial"/>
        </w:rPr>
        <w:t>Smith.  These findings are contained at paragraphs 55(i)-(viii) and 56 of the judge’s decision.</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 xml:space="preserve">The judge demonstrated that he was aware of the </w:t>
      </w:r>
      <w:r w:rsidRPr="008D2040">
        <w:rPr>
          <w:rFonts w:ascii="Book Antiqua" w:hAnsi="Book Antiqua" w:cs="Arial"/>
          <w:u w:val="single"/>
        </w:rPr>
        <w:t>Devaseelan</w:t>
      </w:r>
      <w:r>
        <w:rPr>
          <w:rFonts w:ascii="Book Antiqua" w:hAnsi="Book Antiqua" w:cs="Arial"/>
        </w:rPr>
        <w:t xml:space="preserve"> principles, and the adverse findings made in the previous appeal.  The judge then at paragraphs 57-62 sets out further adverse findings, which</w:t>
      </w:r>
      <w:r w:rsidR="00285F17">
        <w:rPr>
          <w:rFonts w:ascii="Book Antiqua" w:hAnsi="Book Antiqua" w:cs="Arial"/>
        </w:rPr>
        <w:t xml:space="preserve"> are</w:t>
      </w:r>
      <w:r>
        <w:rPr>
          <w:rFonts w:ascii="Book Antiqua" w:hAnsi="Book Antiqua" w:cs="Arial"/>
        </w:rPr>
        <w:t xml:space="preserve"> summarised at paragraph 4 of the grounds seeking permission to appeal.</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lastRenderedPageBreak/>
        <w:t>The judge proceeds to carry out a balancing exercise, because at paragraph</w:t>
      </w:r>
      <w:r w:rsidR="009D4CF9">
        <w:rPr>
          <w:rFonts w:ascii="Book Antiqua" w:hAnsi="Book Antiqua" w:cs="Arial"/>
        </w:rPr>
        <w:t>s</w:t>
      </w:r>
      <w:r>
        <w:rPr>
          <w:rFonts w:ascii="Book Antiqua" w:hAnsi="Book Antiqua" w:cs="Arial"/>
        </w:rPr>
        <w:t xml:space="preserve"> 63-72 he sets out factors which in his view assist the </w:t>
      </w:r>
      <w:r w:rsidR="00635A4A">
        <w:rPr>
          <w:rFonts w:ascii="Book Antiqua" w:hAnsi="Book Antiqua" w:cs="Arial"/>
        </w:rPr>
        <w:t>Clai</w:t>
      </w:r>
      <w:r w:rsidR="00DC1BBD">
        <w:rPr>
          <w:rFonts w:ascii="Book Antiqua" w:hAnsi="Book Antiqua" w:cs="Arial"/>
        </w:rPr>
        <w:t>m</w:t>
      </w:r>
      <w:r>
        <w:rPr>
          <w:rFonts w:ascii="Book Antiqua" w:hAnsi="Book Antiqua" w:cs="Arial"/>
        </w:rPr>
        <w:t>ant.  One of the points made is the passage of time.  This is not the only point but it is relevant.</w:t>
      </w:r>
    </w:p>
    <w:p w:rsidR="00495E26" w:rsidRDefault="00495E26" w:rsidP="005E5DFF">
      <w:pPr>
        <w:numPr>
          <w:ilvl w:val="0"/>
          <w:numId w:val="3"/>
        </w:numPr>
        <w:spacing w:before="240"/>
        <w:jc w:val="both"/>
        <w:rPr>
          <w:rFonts w:ascii="Book Antiqua" w:hAnsi="Book Antiqua" w:cs="Arial"/>
        </w:rPr>
      </w:pPr>
      <w:r>
        <w:rPr>
          <w:rFonts w:ascii="Book Antiqua" w:hAnsi="Book Antiqua" w:cs="Arial"/>
        </w:rPr>
        <w:t>In my view it cannot be said that the judge did not consider the possibility that the Claimant may have manufactured a false claim.  At paragraph 66 the judge records that Mr Ed</w:t>
      </w:r>
      <w:r w:rsidR="00113F4A">
        <w:rPr>
          <w:rFonts w:ascii="Book Antiqua" w:hAnsi="Book Antiqua" w:cs="Arial"/>
        </w:rPr>
        <w:t>mans “was realistic enough to accept the possibility that people might be using the Jehovah’s Witnesses</w:t>
      </w:r>
      <w:r w:rsidR="006A4C61">
        <w:rPr>
          <w:rFonts w:ascii="Book Antiqua" w:hAnsi="Book Antiqua" w:cs="Arial"/>
        </w:rPr>
        <w:t>’</w:t>
      </w:r>
      <w:r w:rsidR="00113F4A">
        <w:rPr>
          <w:rFonts w:ascii="Book Antiqua" w:hAnsi="Book Antiqua" w:cs="Arial"/>
        </w:rPr>
        <w:t xml:space="preserve"> faith to stay in the UK.”  It was also recorded that Mr Edmans felt that the faith had been used “when someone like Mohammad Reza secured refugee status in the UK and then stopped attending.”</w:t>
      </w:r>
    </w:p>
    <w:p w:rsidR="00113F4A" w:rsidRDefault="00113F4A" w:rsidP="005E5DFF">
      <w:pPr>
        <w:numPr>
          <w:ilvl w:val="0"/>
          <w:numId w:val="3"/>
        </w:numPr>
        <w:spacing w:before="240"/>
        <w:jc w:val="both"/>
        <w:rPr>
          <w:rFonts w:ascii="Book Antiqua" w:hAnsi="Book Antiqua" w:cs="Arial"/>
        </w:rPr>
      </w:pPr>
      <w:r>
        <w:rPr>
          <w:rFonts w:ascii="Book Antiqua" w:hAnsi="Book Antiqua" w:cs="Arial"/>
        </w:rPr>
        <w:t xml:space="preserve">The judge recorded at paragraph 65 that he had no doubts as to the sincerity of the two witnesses who gave evidence before him.  In my view the judge did not allow the appeal simply because the witnesses are sincere.  The judge took into account that the Claimant had been baptised.  This was not the case when the </w:t>
      </w:r>
      <w:r w:rsidR="000309AD">
        <w:rPr>
          <w:rFonts w:ascii="Book Antiqua" w:hAnsi="Book Antiqua" w:cs="Arial"/>
        </w:rPr>
        <w:t>appeal was heard by Judge Lloyd-</w:t>
      </w:r>
      <w:r>
        <w:rPr>
          <w:rFonts w:ascii="Book Antiqua" w:hAnsi="Book Antiqua" w:cs="Arial"/>
        </w:rPr>
        <w:t xml:space="preserve">Smith.  </w:t>
      </w:r>
    </w:p>
    <w:p w:rsidR="00113F4A" w:rsidRDefault="00113F4A" w:rsidP="005E5DFF">
      <w:pPr>
        <w:numPr>
          <w:ilvl w:val="0"/>
          <w:numId w:val="3"/>
        </w:numPr>
        <w:spacing w:before="240"/>
        <w:jc w:val="both"/>
        <w:rPr>
          <w:rFonts w:ascii="Book Antiqua" w:hAnsi="Book Antiqua" w:cs="Arial"/>
        </w:rPr>
      </w:pPr>
      <w:r>
        <w:rPr>
          <w:rFonts w:ascii="Book Antiqua" w:hAnsi="Book Antiqua" w:cs="Arial"/>
        </w:rPr>
        <w:t>In my view, reading the judge’s decision as a whole, it is</w:t>
      </w:r>
      <w:r w:rsidR="00005C7D">
        <w:rPr>
          <w:rFonts w:ascii="Book Antiqua" w:hAnsi="Book Antiqua" w:cs="Arial"/>
        </w:rPr>
        <w:t xml:space="preserve"> </w:t>
      </w:r>
      <w:r>
        <w:rPr>
          <w:rFonts w:ascii="Book Antiqua" w:hAnsi="Book Antiqua" w:cs="Arial"/>
        </w:rPr>
        <w:t>not the case that the baptism is determinative or as claimed in paragraph 7 of the Secretary of State’s grounds “near determinative of the question of his genuine conversion.”  The judge was entitled to place weight upon the baptism</w:t>
      </w:r>
      <w:r w:rsidR="00FB1B71">
        <w:rPr>
          <w:rFonts w:ascii="Book Antiqua" w:hAnsi="Book Antiqua" w:cs="Arial"/>
        </w:rPr>
        <w:t xml:space="preserve"> and that efforts </w:t>
      </w:r>
      <w:r w:rsidR="00262071">
        <w:rPr>
          <w:rFonts w:ascii="Book Antiqua" w:hAnsi="Book Antiqua" w:cs="Arial"/>
        </w:rPr>
        <w:t xml:space="preserve">are made to ensure that all baptisms are genuine.  Both witnesses confirmed to the judge that </w:t>
      </w:r>
      <w:r w:rsidR="00FB1B71">
        <w:rPr>
          <w:rFonts w:ascii="Book Antiqua" w:hAnsi="Book Antiqua" w:cs="Arial"/>
        </w:rPr>
        <w:t xml:space="preserve">  </w:t>
      </w:r>
      <w:r w:rsidR="00262071">
        <w:rPr>
          <w:rFonts w:ascii="Book Antiqua" w:hAnsi="Book Antiqua" w:cs="Arial"/>
        </w:rPr>
        <w:t xml:space="preserve">they were aware of the possibility of their faith being misused for immigration status purposes, but notwithstanding that, the witnesses believed that the </w:t>
      </w:r>
      <w:r w:rsidR="00FB1B71">
        <w:rPr>
          <w:rFonts w:ascii="Book Antiqua" w:hAnsi="Book Antiqua" w:cs="Arial"/>
        </w:rPr>
        <w:t>Claim</w:t>
      </w:r>
      <w:r w:rsidR="00262071">
        <w:rPr>
          <w:rFonts w:ascii="Book Antiqua" w:hAnsi="Book Antiqua" w:cs="Arial"/>
        </w:rPr>
        <w:t>ant was a genuine convert.</w:t>
      </w:r>
    </w:p>
    <w:p w:rsidR="00262071" w:rsidRDefault="005D6FA3" w:rsidP="005E5DFF">
      <w:pPr>
        <w:numPr>
          <w:ilvl w:val="0"/>
          <w:numId w:val="3"/>
        </w:numPr>
        <w:spacing w:before="240"/>
        <w:jc w:val="both"/>
        <w:rPr>
          <w:rFonts w:ascii="Book Antiqua" w:hAnsi="Book Antiqua" w:cs="Arial"/>
        </w:rPr>
      </w:pPr>
      <w:r>
        <w:rPr>
          <w:rFonts w:ascii="Book Antiqua" w:hAnsi="Book Antiqua" w:cs="Arial"/>
        </w:rPr>
        <w:t>It is relevant</w:t>
      </w:r>
      <w:r w:rsidR="00F204F7">
        <w:rPr>
          <w:rFonts w:ascii="Book Antiqua" w:hAnsi="Book Antiqua" w:cs="Arial"/>
        </w:rPr>
        <w:t xml:space="preserve">, and the judge took into account, the length of time that the </w:t>
      </w:r>
      <w:r w:rsidR="008D15F1">
        <w:rPr>
          <w:rFonts w:ascii="Book Antiqua" w:hAnsi="Book Antiqua" w:cs="Arial"/>
        </w:rPr>
        <w:t>Claim</w:t>
      </w:r>
      <w:r w:rsidR="00F204F7">
        <w:rPr>
          <w:rFonts w:ascii="Book Antiqua" w:hAnsi="Book Antiqua" w:cs="Arial"/>
        </w:rPr>
        <w:t xml:space="preserve">ant had been attending the church and the regularity of his attendance.  </w:t>
      </w:r>
    </w:p>
    <w:p w:rsidR="00F204F7" w:rsidRDefault="00F204F7" w:rsidP="005E5DFF">
      <w:pPr>
        <w:numPr>
          <w:ilvl w:val="0"/>
          <w:numId w:val="3"/>
        </w:numPr>
        <w:spacing w:before="240"/>
        <w:jc w:val="both"/>
        <w:rPr>
          <w:rFonts w:ascii="Book Antiqua" w:hAnsi="Book Antiqua" w:cs="Arial"/>
        </w:rPr>
      </w:pPr>
      <w:r>
        <w:rPr>
          <w:rFonts w:ascii="Book Antiqua" w:hAnsi="Book Antiqua" w:cs="Arial"/>
        </w:rPr>
        <w:t>Both witnesses referred to an “examination by elders” before an individual is accepted as a Jehovah’s Witness, and Mr Edm</w:t>
      </w:r>
      <w:r w:rsidR="00C91D8A">
        <w:rPr>
          <w:rFonts w:ascii="Book Antiqua" w:hAnsi="Book Antiqua" w:cs="Arial"/>
        </w:rPr>
        <w:t>a</w:t>
      </w:r>
      <w:r>
        <w:rPr>
          <w:rFonts w:ascii="Book Antiqua" w:hAnsi="Book Antiqua" w:cs="Arial"/>
        </w:rPr>
        <w:t>ns explained that if an individual wishes to be baptised, they are asked “some 30 or 40 questions</w:t>
      </w:r>
      <w:r w:rsidR="008D48D5">
        <w:rPr>
          <w:rFonts w:ascii="Book Antiqua" w:hAnsi="Book Antiqua" w:cs="Arial"/>
        </w:rPr>
        <w:t>”</w:t>
      </w:r>
      <w:r>
        <w:rPr>
          <w:rFonts w:ascii="Book Antiqua" w:hAnsi="Book Antiqua" w:cs="Arial"/>
        </w:rPr>
        <w:t xml:space="preserve"> by three different elders, to try to ensure that they understand the subject of the faith. </w:t>
      </w:r>
    </w:p>
    <w:p w:rsidR="00F204F7" w:rsidRDefault="00F204F7" w:rsidP="005E5DFF">
      <w:pPr>
        <w:numPr>
          <w:ilvl w:val="0"/>
          <w:numId w:val="3"/>
        </w:numPr>
        <w:spacing w:before="240"/>
        <w:jc w:val="both"/>
        <w:rPr>
          <w:rFonts w:ascii="Book Antiqua" w:hAnsi="Book Antiqua" w:cs="Arial"/>
        </w:rPr>
      </w:pPr>
      <w:r>
        <w:rPr>
          <w:rFonts w:ascii="Book Antiqua" w:hAnsi="Book Antiqua" w:cs="Arial"/>
        </w:rPr>
        <w:t>The judge has considered all aspects of this case, and taken fully into account the findings made in the previous appeal, and has properly conducted a balancing exercise.  The judge was entitled to reach the conclusion that the Claimant had genuinely converted, notwithstanding the adverse points which the judge fairly set out in his decision.</w:t>
      </w:r>
    </w:p>
    <w:p w:rsidR="00F204F7" w:rsidRPr="00F5664C" w:rsidRDefault="00F204F7" w:rsidP="005E5DFF">
      <w:pPr>
        <w:numPr>
          <w:ilvl w:val="0"/>
          <w:numId w:val="3"/>
        </w:numPr>
        <w:spacing w:before="240"/>
        <w:jc w:val="both"/>
        <w:rPr>
          <w:rFonts w:ascii="Book Antiqua" w:hAnsi="Book Antiqua" w:cs="Arial"/>
        </w:rPr>
      </w:pPr>
      <w:r>
        <w:rPr>
          <w:rFonts w:ascii="Book Antiqua" w:hAnsi="Book Antiqua" w:cs="Arial"/>
        </w:rPr>
        <w:t xml:space="preserve">The grounds upon which permission to appeal were granted, display a disagreement with the conclusion reached by the judge, but they do not disclose a material error of law.  The judge was entitled to make the findings that he did, based upon the evidence before him, and has provided adequate and sustainable reasons for those findings.  </w:t>
      </w:r>
    </w:p>
    <w:p w:rsidR="00E958E2" w:rsidRDefault="00E958E2" w:rsidP="005E5DFF">
      <w:pPr>
        <w:spacing w:before="240"/>
        <w:jc w:val="both"/>
        <w:rPr>
          <w:rFonts w:ascii="Book Antiqua" w:hAnsi="Book Antiqua" w:cs="Arial"/>
          <w:b/>
        </w:rPr>
      </w:pP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lastRenderedPageBreak/>
        <w:t xml:space="preserve">The </w:t>
      </w:r>
      <w:r w:rsidR="00F204F7">
        <w:rPr>
          <w:rFonts w:ascii="Book Antiqua" w:hAnsi="Book Antiqua" w:cs="Arial"/>
        </w:rPr>
        <w:t>decision of the FTT does not disclose a material error of law.  The decision is not set aside and the appeal of the Secretary of State is dismissed.</w:t>
      </w:r>
    </w:p>
    <w:p w:rsidR="00E958E2" w:rsidRDefault="00E958E2" w:rsidP="00F13D39">
      <w:pPr>
        <w:jc w:val="both"/>
        <w:rPr>
          <w:rFonts w:ascii="Book Antiqua" w:hAnsi="Book Antiqua" w:cs="Arial"/>
          <w:b/>
        </w:rPr>
      </w:pPr>
    </w:p>
    <w:p w:rsidR="00F204F7" w:rsidRPr="00F204F7" w:rsidRDefault="00F204F7" w:rsidP="00F13D39">
      <w:pPr>
        <w:jc w:val="both"/>
        <w:rPr>
          <w:rFonts w:ascii="Book Antiqua" w:hAnsi="Book Antiqua" w:cs="Arial"/>
          <w:b/>
        </w:rPr>
      </w:pPr>
      <w:r w:rsidRPr="00F204F7">
        <w:rPr>
          <w:rFonts w:ascii="Book Antiqua" w:hAnsi="Book Antiqua" w:cs="Arial"/>
          <w:b/>
        </w:rPr>
        <w:t>Anonymity</w:t>
      </w:r>
    </w:p>
    <w:p w:rsidR="00F204F7" w:rsidRPr="00F13D39" w:rsidRDefault="00F204F7" w:rsidP="00F13D39">
      <w:pPr>
        <w:jc w:val="both"/>
        <w:rPr>
          <w:rFonts w:ascii="Book Antiqua" w:hAnsi="Book Antiqua" w:cs="Arial"/>
        </w:rPr>
      </w:pPr>
    </w:p>
    <w:p w:rsidR="00F13D39" w:rsidRPr="00687601" w:rsidRDefault="00F204F7" w:rsidP="00F13D39">
      <w:pPr>
        <w:jc w:val="both"/>
        <w:rPr>
          <w:rFonts w:ascii="Book Antiqua" w:hAnsi="Book Antiqua" w:cs="Arial"/>
        </w:rPr>
      </w:pPr>
      <w:r>
        <w:rPr>
          <w:rFonts w:ascii="Book Antiqua" w:hAnsi="Book Antiqua" w:cs="Arial"/>
        </w:rPr>
        <w:t xml:space="preserve">The FTT made an anonymity direction.  Unless and until a Tribunal or court directs otherwise the Claimant is granted anonymity.  No report of these proceedings shall directly or indirectly identify the Claimant </w:t>
      </w:r>
      <w:r w:rsidR="00850617">
        <w:rPr>
          <w:rFonts w:ascii="Book Antiqua" w:hAnsi="Book Antiqua" w:cs="Arial"/>
        </w:rPr>
        <w:t>or any member of</w:t>
      </w:r>
      <w:r>
        <w:rPr>
          <w:rFonts w:ascii="Book Antiqua" w:hAnsi="Book Antiqua" w:cs="Arial"/>
        </w:rPr>
        <w:t xml:space="preserve"> his family. </w:t>
      </w:r>
      <w:r w:rsidR="00F13D39" w:rsidRPr="00F13D39">
        <w:rPr>
          <w:rFonts w:ascii="Book Antiqua" w:hAnsi="Book Antiqua"/>
        </w:rPr>
        <w:t xml:space="preserve"> This direct</w:t>
      </w:r>
      <w:r>
        <w:rPr>
          <w:rFonts w:ascii="Book Antiqua" w:hAnsi="Book Antiqua"/>
        </w:rPr>
        <w:t>ion applies both to the Claimant and to the Secretary of State.</w:t>
      </w:r>
      <w:r w:rsidR="00F13D39" w:rsidRPr="00F13D39">
        <w:rPr>
          <w:rFonts w:ascii="Book Antiqua" w:hAnsi="Book Antiqua"/>
        </w:rPr>
        <w:t xml:space="preserve">  Failure to comply with this direction could lead to contempt of court proceedings.</w:t>
      </w:r>
      <w:r>
        <w:rPr>
          <w:rFonts w:ascii="Book Antiqua" w:hAnsi="Book Antiqua"/>
        </w:rPr>
        <w:t xml:space="preserve">  This</w:t>
      </w:r>
      <w:r w:rsidR="003B314F">
        <w:rPr>
          <w:rFonts w:ascii="Book Antiqua" w:hAnsi="Book Antiqua"/>
        </w:rPr>
        <w:t xml:space="preserve"> direction is made pursuant to r</w:t>
      </w:r>
      <w:r>
        <w:rPr>
          <w:rFonts w:ascii="Book Antiqua" w:hAnsi="Book Antiqua"/>
        </w:rPr>
        <w:t xml:space="preserve">ule 14 of the Tribunal </w:t>
      </w:r>
      <w:r w:rsidR="003B314F">
        <w:rPr>
          <w:rFonts w:ascii="Book Antiqua" w:hAnsi="Book Antiqua"/>
        </w:rPr>
        <w:t>Procedure (Upper Tribunal) r</w:t>
      </w:r>
      <w:r>
        <w:rPr>
          <w:rFonts w:ascii="Book Antiqua" w:hAnsi="Book Antiqua"/>
        </w:rPr>
        <w:t xml:space="preserve">ules 2008. </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204F7">
        <w:rPr>
          <w:rFonts w:ascii="Book Antiqua" w:hAnsi="Book Antiqua" w:cs="Arial"/>
        </w:rPr>
        <w:t xml:space="preserve"> 9</w:t>
      </w:r>
      <w:r w:rsidR="00F204F7" w:rsidRPr="00F204F7">
        <w:rPr>
          <w:rFonts w:ascii="Book Antiqua" w:hAnsi="Book Antiqua" w:cs="Arial"/>
          <w:vertAlign w:val="superscript"/>
        </w:rPr>
        <w:t>th</w:t>
      </w:r>
      <w:r w:rsidR="00F204F7">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C16DA7" w:rsidRDefault="00C16DA7" w:rsidP="000369F5">
      <w:pPr>
        <w:tabs>
          <w:tab w:val="left" w:pos="2520"/>
        </w:tabs>
        <w:jc w:val="both"/>
        <w:rPr>
          <w:rFonts w:ascii="Book Antiqua" w:hAnsi="Book Antiqua" w:cs="Arial"/>
        </w:rPr>
      </w:pPr>
    </w:p>
    <w:p w:rsidR="00C16DA7" w:rsidRDefault="00C16DA7"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204F7" w:rsidRDefault="00F204F7" w:rsidP="00F13D39">
      <w:pPr>
        <w:jc w:val="both"/>
        <w:rPr>
          <w:rFonts w:ascii="Book Antiqua" w:hAnsi="Book Antiqua" w:cs="Arial"/>
        </w:rPr>
      </w:pPr>
    </w:p>
    <w:p w:rsidR="00F13D39" w:rsidRDefault="00F204F7" w:rsidP="00F13D39">
      <w:pPr>
        <w:jc w:val="both"/>
        <w:rPr>
          <w:rFonts w:ascii="Book Antiqua" w:hAnsi="Book Antiqua" w:cs="Arial"/>
        </w:rPr>
      </w:pPr>
      <w:r>
        <w:rPr>
          <w:rFonts w:ascii="Book Antiqua" w:hAnsi="Book Antiqua" w:cs="Arial"/>
        </w:rPr>
        <w:t>Because the decision of the FTT stands so does the decision not to make a fee award.</w:t>
      </w:r>
    </w:p>
    <w:p w:rsidR="00F13D39" w:rsidRDefault="00F13D39" w:rsidP="00F13D39">
      <w:pPr>
        <w:jc w:val="both"/>
        <w:rPr>
          <w:rFonts w:ascii="Book Antiqua" w:hAnsi="Book Antiqua" w:cs="Arial"/>
        </w:rPr>
      </w:pPr>
    </w:p>
    <w:p w:rsidR="00CE1374" w:rsidRDefault="00CE1374"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F204F7">
        <w:rPr>
          <w:rFonts w:ascii="Book Antiqua" w:hAnsi="Book Antiqua" w:cs="Arial"/>
        </w:rPr>
        <w:t xml:space="preserve"> 9</w:t>
      </w:r>
      <w:r w:rsidR="00F204F7" w:rsidRPr="00F204F7">
        <w:rPr>
          <w:rFonts w:ascii="Book Antiqua" w:hAnsi="Book Antiqua" w:cs="Arial"/>
          <w:vertAlign w:val="superscript"/>
        </w:rPr>
        <w:t>th</w:t>
      </w:r>
      <w:r w:rsidR="00F204F7">
        <w:rPr>
          <w:rFonts w:ascii="Book Antiqua" w:hAnsi="Book Antiqua" w:cs="Arial"/>
        </w:rPr>
        <w:t xml:space="preserve"> July 2018</w:t>
      </w:r>
    </w:p>
    <w:p w:rsidR="00F13D39" w:rsidRPr="00F5664C" w:rsidRDefault="00F13D39" w:rsidP="00F13D39">
      <w:pPr>
        <w:tabs>
          <w:tab w:val="left" w:pos="2520"/>
        </w:tabs>
        <w:jc w:val="both"/>
        <w:rPr>
          <w:rFonts w:ascii="Book Antiqua" w:hAnsi="Book Antiqua" w:cs="Arial"/>
        </w:rPr>
      </w:pPr>
    </w:p>
    <w:p w:rsidR="005B7789" w:rsidRPr="00F5664C" w:rsidRDefault="00F13D39" w:rsidP="00111370">
      <w:pPr>
        <w:tabs>
          <w:tab w:val="left" w:pos="2520"/>
        </w:tabs>
        <w:jc w:val="both"/>
        <w:rPr>
          <w:rFonts w:ascii="Book Antiqua" w:hAnsi="Book Antiqua" w:cs="Arial"/>
        </w:rPr>
      </w:pPr>
      <w:r>
        <w:rPr>
          <w:rFonts w:ascii="Book Antiqua" w:hAnsi="Book Antiqua" w:cs="Arial"/>
        </w:rPr>
        <w:t>Deputy Upper Tribunal Judge M A Hall</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FD6" w:rsidRDefault="001C7FD6">
      <w:r>
        <w:separator/>
      </w:r>
    </w:p>
  </w:endnote>
  <w:endnote w:type="continuationSeparator" w:id="0">
    <w:p w:rsidR="001C7FD6" w:rsidRDefault="001C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E2FD2">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FD6" w:rsidRDefault="001C7FD6">
      <w:r>
        <w:separator/>
      </w:r>
    </w:p>
  </w:footnote>
  <w:footnote w:type="continuationSeparator" w:id="0">
    <w:p w:rsidR="001C7FD6" w:rsidRDefault="001C7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538FF">
      <w:rPr>
        <w:rFonts w:ascii="Book Antiqua" w:hAnsi="Book Antiqua" w:cs="Arial"/>
        <w:sz w:val="16"/>
        <w:szCs w:val="16"/>
      </w:rPr>
      <w:t xml:space="preserve"> PA/14284/2016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FF"/>
    <w:rsid w:val="00000621"/>
    <w:rsid w:val="000036C2"/>
    <w:rsid w:val="00005C7D"/>
    <w:rsid w:val="000309AD"/>
    <w:rsid w:val="00030C00"/>
    <w:rsid w:val="00033D3D"/>
    <w:rsid w:val="000369F5"/>
    <w:rsid w:val="00047F27"/>
    <w:rsid w:val="00052578"/>
    <w:rsid w:val="00071A7E"/>
    <w:rsid w:val="000746C0"/>
    <w:rsid w:val="00074D1D"/>
    <w:rsid w:val="00092580"/>
    <w:rsid w:val="000B0C68"/>
    <w:rsid w:val="000C6A6D"/>
    <w:rsid w:val="000D01C9"/>
    <w:rsid w:val="000D5D94"/>
    <w:rsid w:val="000E0CD7"/>
    <w:rsid w:val="000F5C34"/>
    <w:rsid w:val="00111370"/>
    <w:rsid w:val="00113F4A"/>
    <w:rsid w:val="00114F8B"/>
    <w:rsid w:val="001165A7"/>
    <w:rsid w:val="00151BB7"/>
    <w:rsid w:val="00167D3A"/>
    <w:rsid w:val="0017363C"/>
    <w:rsid w:val="00173CE5"/>
    <w:rsid w:val="001A1E2C"/>
    <w:rsid w:val="001C794C"/>
    <w:rsid w:val="001C7FD6"/>
    <w:rsid w:val="001F2716"/>
    <w:rsid w:val="0020133A"/>
    <w:rsid w:val="00204857"/>
    <w:rsid w:val="00207617"/>
    <w:rsid w:val="00244BC9"/>
    <w:rsid w:val="00255071"/>
    <w:rsid w:val="00262071"/>
    <w:rsid w:val="00283659"/>
    <w:rsid w:val="00285F17"/>
    <w:rsid w:val="002C4E73"/>
    <w:rsid w:val="002D57E0"/>
    <w:rsid w:val="002D68BF"/>
    <w:rsid w:val="0030194E"/>
    <w:rsid w:val="00336CBF"/>
    <w:rsid w:val="00353CBC"/>
    <w:rsid w:val="003546C8"/>
    <w:rsid w:val="003A7CF2"/>
    <w:rsid w:val="003B314F"/>
    <w:rsid w:val="003C49CE"/>
    <w:rsid w:val="003C5CE5"/>
    <w:rsid w:val="003E267B"/>
    <w:rsid w:val="003E7CD1"/>
    <w:rsid w:val="00402B9E"/>
    <w:rsid w:val="004110C9"/>
    <w:rsid w:val="00423932"/>
    <w:rsid w:val="004249CB"/>
    <w:rsid w:val="0044127D"/>
    <w:rsid w:val="004448DB"/>
    <w:rsid w:val="00446C9A"/>
    <w:rsid w:val="00465F8E"/>
    <w:rsid w:val="00477193"/>
    <w:rsid w:val="00490A09"/>
    <w:rsid w:val="00495E26"/>
    <w:rsid w:val="004A1848"/>
    <w:rsid w:val="00507FEC"/>
    <w:rsid w:val="00510F0E"/>
    <w:rsid w:val="00513902"/>
    <w:rsid w:val="0052385F"/>
    <w:rsid w:val="005479E1"/>
    <w:rsid w:val="00547B51"/>
    <w:rsid w:val="00550406"/>
    <w:rsid w:val="005570FD"/>
    <w:rsid w:val="005575EA"/>
    <w:rsid w:val="0057790C"/>
    <w:rsid w:val="00593795"/>
    <w:rsid w:val="005A75FF"/>
    <w:rsid w:val="005B7789"/>
    <w:rsid w:val="005D6FA3"/>
    <w:rsid w:val="005E5DFF"/>
    <w:rsid w:val="005F7DB4"/>
    <w:rsid w:val="00624C29"/>
    <w:rsid w:val="00635A4A"/>
    <w:rsid w:val="0065791C"/>
    <w:rsid w:val="00690B8A"/>
    <w:rsid w:val="006A4C61"/>
    <w:rsid w:val="006B0662"/>
    <w:rsid w:val="006D1DFA"/>
    <w:rsid w:val="006D506B"/>
    <w:rsid w:val="006E3C90"/>
    <w:rsid w:val="006E7667"/>
    <w:rsid w:val="00704B61"/>
    <w:rsid w:val="00707DB1"/>
    <w:rsid w:val="007353BB"/>
    <w:rsid w:val="00742A8D"/>
    <w:rsid w:val="00752359"/>
    <w:rsid w:val="007552A9"/>
    <w:rsid w:val="00761858"/>
    <w:rsid w:val="00767D59"/>
    <w:rsid w:val="00770539"/>
    <w:rsid w:val="00776E97"/>
    <w:rsid w:val="00780FD7"/>
    <w:rsid w:val="007912AD"/>
    <w:rsid w:val="007A1F28"/>
    <w:rsid w:val="007A7252"/>
    <w:rsid w:val="007B0824"/>
    <w:rsid w:val="007C0CD9"/>
    <w:rsid w:val="007C7382"/>
    <w:rsid w:val="007F5D33"/>
    <w:rsid w:val="008303B8"/>
    <w:rsid w:val="00833DCE"/>
    <w:rsid w:val="00842418"/>
    <w:rsid w:val="00850617"/>
    <w:rsid w:val="008634DB"/>
    <w:rsid w:val="00863821"/>
    <w:rsid w:val="00871D34"/>
    <w:rsid w:val="00887842"/>
    <w:rsid w:val="008901DD"/>
    <w:rsid w:val="008B270C"/>
    <w:rsid w:val="008C2ED5"/>
    <w:rsid w:val="008C3D3D"/>
    <w:rsid w:val="008D15F1"/>
    <w:rsid w:val="008D2040"/>
    <w:rsid w:val="008D4131"/>
    <w:rsid w:val="008D48D5"/>
    <w:rsid w:val="008D5128"/>
    <w:rsid w:val="008F1932"/>
    <w:rsid w:val="008F294D"/>
    <w:rsid w:val="00921062"/>
    <w:rsid w:val="0092618D"/>
    <w:rsid w:val="0093083E"/>
    <w:rsid w:val="00951587"/>
    <w:rsid w:val="00965C7A"/>
    <w:rsid w:val="00966ECF"/>
    <w:rsid w:val="009727A3"/>
    <w:rsid w:val="00987774"/>
    <w:rsid w:val="009A11E8"/>
    <w:rsid w:val="009A4C36"/>
    <w:rsid w:val="009B6CB1"/>
    <w:rsid w:val="009D0C2C"/>
    <w:rsid w:val="009D4CF9"/>
    <w:rsid w:val="009E0542"/>
    <w:rsid w:val="009E4E62"/>
    <w:rsid w:val="009F5220"/>
    <w:rsid w:val="009F7C4D"/>
    <w:rsid w:val="00A079A4"/>
    <w:rsid w:val="00A123EF"/>
    <w:rsid w:val="00A15234"/>
    <w:rsid w:val="00A201AB"/>
    <w:rsid w:val="00A25DA3"/>
    <w:rsid w:val="00A31C8B"/>
    <w:rsid w:val="00A379C4"/>
    <w:rsid w:val="00A74606"/>
    <w:rsid w:val="00A75965"/>
    <w:rsid w:val="00A845DC"/>
    <w:rsid w:val="00A85622"/>
    <w:rsid w:val="00A90C98"/>
    <w:rsid w:val="00A97AEE"/>
    <w:rsid w:val="00AB6429"/>
    <w:rsid w:val="00AC5CF6"/>
    <w:rsid w:val="00AF5A03"/>
    <w:rsid w:val="00AF5F1F"/>
    <w:rsid w:val="00B144FA"/>
    <w:rsid w:val="00B16F58"/>
    <w:rsid w:val="00B30648"/>
    <w:rsid w:val="00B337AA"/>
    <w:rsid w:val="00B3524D"/>
    <w:rsid w:val="00B40F69"/>
    <w:rsid w:val="00B4659E"/>
    <w:rsid w:val="00B46616"/>
    <w:rsid w:val="00B610E3"/>
    <w:rsid w:val="00B61205"/>
    <w:rsid w:val="00B617C4"/>
    <w:rsid w:val="00B626FA"/>
    <w:rsid w:val="00B7040A"/>
    <w:rsid w:val="00B74913"/>
    <w:rsid w:val="00B90142"/>
    <w:rsid w:val="00B96FA0"/>
    <w:rsid w:val="00BD4196"/>
    <w:rsid w:val="00BD60D1"/>
    <w:rsid w:val="00BE31CE"/>
    <w:rsid w:val="00BF22CA"/>
    <w:rsid w:val="00C13172"/>
    <w:rsid w:val="00C16DA7"/>
    <w:rsid w:val="00C26032"/>
    <w:rsid w:val="00C265B0"/>
    <w:rsid w:val="00C321B5"/>
    <w:rsid w:val="00C345E1"/>
    <w:rsid w:val="00C42F96"/>
    <w:rsid w:val="00C50CB7"/>
    <w:rsid w:val="00C762F3"/>
    <w:rsid w:val="00C9182C"/>
    <w:rsid w:val="00C91D8A"/>
    <w:rsid w:val="00C9611D"/>
    <w:rsid w:val="00C977BA"/>
    <w:rsid w:val="00CB568F"/>
    <w:rsid w:val="00CB6E35"/>
    <w:rsid w:val="00CE1374"/>
    <w:rsid w:val="00CE1A46"/>
    <w:rsid w:val="00CE26B2"/>
    <w:rsid w:val="00CF0C99"/>
    <w:rsid w:val="00CF1F16"/>
    <w:rsid w:val="00CF253F"/>
    <w:rsid w:val="00CF56B4"/>
    <w:rsid w:val="00D20F09"/>
    <w:rsid w:val="00D22636"/>
    <w:rsid w:val="00D40FD9"/>
    <w:rsid w:val="00D45764"/>
    <w:rsid w:val="00D45A31"/>
    <w:rsid w:val="00D53769"/>
    <w:rsid w:val="00D65912"/>
    <w:rsid w:val="00D701DC"/>
    <w:rsid w:val="00D85C13"/>
    <w:rsid w:val="00D91BE3"/>
    <w:rsid w:val="00D94AFC"/>
    <w:rsid w:val="00DA3CAB"/>
    <w:rsid w:val="00DB70AE"/>
    <w:rsid w:val="00DB7231"/>
    <w:rsid w:val="00DC1BBD"/>
    <w:rsid w:val="00DC1C00"/>
    <w:rsid w:val="00DD5071"/>
    <w:rsid w:val="00DD5C39"/>
    <w:rsid w:val="00DE26AF"/>
    <w:rsid w:val="00DE7DB7"/>
    <w:rsid w:val="00E00A0A"/>
    <w:rsid w:val="00E07F57"/>
    <w:rsid w:val="00E1040E"/>
    <w:rsid w:val="00E4372D"/>
    <w:rsid w:val="00E50BCE"/>
    <w:rsid w:val="00E61292"/>
    <w:rsid w:val="00E76309"/>
    <w:rsid w:val="00E77C4D"/>
    <w:rsid w:val="00E81D01"/>
    <w:rsid w:val="00E958E2"/>
    <w:rsid w:val="00EC3DB1"/>
    <w:rsid w:val="00EE45D8"/>
    <w:rsid w:val="00F004CD"/>
    <w:rsid w:val="00F13D39"/>
    <w:rsid w:val="00F204F7"/>
    <w:rsid w:val="00F22A22"/>
    <w:rsid w:val="00F22EDA"/>
    <w:rsid w:val="00F3224D"/>
    <w:rsid w:val="00F33E0E"/>
    <w:rsid w:val="00F538FF"/>
    <w:rsid w:val="00F560E2"/>
    <w:rsid w:val="00F5664C"/>
    <w:rsid w:val="00F670DB"/>
    <w:rsid w:val="00F77B1F"/>
    <w:rsid w:val="00FA2560"/>
    <w:rsid w:val="00FB1B71"/>
    <w:rsid w:val="00FB73FE"/>
    <w:rsid w:val="00FB7E80"/>
    <w:rsid w:val="00FE2FD2"/>
    <w:rsid w:val="00FE5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5A02E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2270</Words>
  <Characters>11267</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2018-08-02T12:41:00Z</dcterms:created>
  <dcterms:modified xsi:type="dcterms:W3CDTF">2018-08-02T12:42:00Z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