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925A1D" w:rsidRDefault="0045162A" w:rsidP="0050388A">
      <w:pPr>
        <w:jc w:val="center"/>
        <w:rPr>
          <w:rFonts w:ascii="Book Antiqua" w:hAnsi="Book Antiqua" w:cs="Arial"/>
          <w:caps/>
          <w:color w:val="000000"/>
          <w:sz w:val="16"/>
          <w:szCs w:val="16"/>
        </w:rPr>
      </w:pPr>
      <w:r w:rsidRPr="00925A1D">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25A1D"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A668A6">
        <w:rPr>
          <w:rFonts w:ascii="Book Antiqua" w:hAnsi="Book Antiqua" w:cs="Arial"/>
          <w:caps/>
          <w:color w:val="000000"/>
        </w:rPr>
        <w:t>RP/00026/2017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116EFC" w:rsidTr="00116EFC">
        <w:tc>
          <w:tcPr>
            <w:tcW w:w="5868" w:type="dxa"/>
            <w:shd w:val="clear" w:color="auto" w:fill="auto"/>
          </w:tcPr>
          <w:p w:rsidR="00D22636" w:rsidRPr="00116EFC" w:rsidRDefault="00D22636" w:rsidP="00116EFC">
            <w:pPr>
              <w:jc w:val="both"/>
              <w:rPr>
                <w:rFonts w:ascii="Book Antiqua" w:hAnsi="Book Antiqua" w:cs="Arial"/>
                <w:b/>
              </w:rPr>
            </w:pPr>
            <w:r w:rsidRPr="00116EFC">
              <w:rPr>
                <w:rFonts w:ascii="Book Antiqua" w:hAnsi="Book Antiqua" w:cs="Arial"/>
                <w:b/>
              </w:rPr>
              <w:t xml:space="preserve">Heard at </w:t>
            </w:r>
            <w:r w:rsidR="00A668A6" w:rsidRPr="00116EFC">
              <w:rPr>
                <w:rFonts w:ascii="Book Antiqua" w:hAnsi="Book Antiqua" w:cs="Arial"/>
                <w:b/>
              </w:rPr>
              <w:t>Field House</w:t>
            </w:r>
          </w:p>
        </w:tc>
        <w:tc>
          <w:tcPr>
            <w:tcW w:w="3960" w:type="dxa"/>
            <w:shd w:val="clear" w:color="auto" w:fill="auto"/>
          </w:tcPr>
          <w:p w:rsidR="00D22636" w:rsidRPr="00116EFC" w:rsidRDefault="00847259" w:rsidP="00116EFC">
            <w:pPr>
              <w:jc w:val="both"/>
              <w:rPr>
                <w:rFonts w:ascii="Book Antiqua" w:hAnsi="Book Antiqua" w:cs="Arial"/>
                <w:b/>
                <w:color w:val="000000"/>
              </w:rPr>
            </w:pPr>
            <w:r w:rsidRPr="00116EFC">
              <w:rPr>
                <w:rFonts w:ascii="Book Antiqua" w:hAnsi="Book Antiqua" w:cs="Arial"/>
                <w:b/>
                <w:color w:val="000000"/>
              </w:rPr>
              <w:t>Decision &amp; Reasons</w:t>
            </w:r>
            <w:r w:rsidR="00283659" w:rsidRPr="00116EFC">
              <w:rPr>
                <w:rFonts w:ascii="Book Antiqua" w:hAnsi="Book Antiqua" w:cs="Arial"/>
                <w:b/>
                <w:color w:val="000000"/>
              </w:rPr>
              <w:t xml:space="preserve"> Promulgated</w:t>
            </w:r>
          </w:p>
        </w:tc>
      </w:tr>
      <w:tr w:rsidR="00D22636" w:rsidRPr="00116EFC" w:rsidTr="00116EFC">
        <w:tc>
          <w:tcPr>
            <w:tcW w:w="5868" w:type="dxa"/>
            <w:shd w:val="clear" w:color="auto" w:fill="auto"/>
          </w:tcPr>
          <w:p w:rsidR="00D22636" w:rsidRPr="00116EFC" w:rsidRDefault="00D22636" w:rsidP="00116EFC">
            <w:pPr>
              <w:jc w:val="both"/>
              <w:rPr>
                <w:rFonts w:ascii="Book Antiqua" w:hAnsi="Book Antiqua" w:cs="Arial"/>
                <w:b/>
              </w:rPr>
            </w:pPr>
            <w:r w:rsidRPr="00116EFC">
              <w:rPr>
                <w:rFonts w:ascii="Book Antiqua" w:hAnsi="Book Antiqua" w:cs="Arial"/>
                <w:b/>
              </w:rPr>
              <w:t xml:space="preserve">On </w:t>
            </w:r>
            <w:r w:rsidR="00031D21">
              <w:rPr>
                <w:rFonts w:ascii="Book Antiqua" w:hAnsi="Book Antiqua" w:cs="Arial"/>
                <w:b/>
              </w:rPr>
              <w:t>14</w:t>
            </w:r>
            <w:r w:rsidR="00916A78">
              <w:rPr>
                <w:rFonts w:ascii="Book Antiqua" w:hAnsi="Book Antiqua" w:cs="Arial"/>
                <w:b/>
              </w:rPr>
              <w:t xml:space="preserve"> </w:t>
            </w:r>
            <w:r w:rsidR="00031D21">
              <w:rPr>
                <w:rFonts w:ascii="Book Antiqua" w:hAnsi="Book Antiqua" w:cs="Arial"/>
                <w:b/>
              </w:rPr>
              <w:t>May</w:t>
            </w:r>
            <w:r w:rsidR="00916A78">
              <w:rPr>
                <w:rFonts w:ascii="Book Antiqua" w:hAnsi="Book Antiqua" w:cs="Arial"/>
                <w:b/>
              </w:rPr>
              <w:t xml:space="preserve"> </w:t>
            </w:r>
            <w:r w:rsidR="00A668A6" w:rsidRPr="00116EFC">
              <w:rPr>
                <w:rFonts w:ascii="Book Antiqua" w:hAnsi="Book Antiqua" w:cs="Arial"/>
                <w:b/>
              </w:rPr>
              <w:t>2018</w:t>
            </w:r>
          </w:p>
        </w:tc>
        <w:tc>
          <w:tcPr>
            <w:tcW w:w="3960" w:type="dxa"/>
            <w:shd w:val="clear" w:color="auto" w:fill="auto"/>
          </w:tcPr>
          <w:p w:rsidR="00D22636" w:rsidRPr="00116EFC" w:rsidRDefault="0045162A" w:rsidP="00116EFC">
            <w:pPr>
              <w:jc w:val="both"/>
              <w:rPr>
                <w:rFonts w:ascii="Book Antiqua" w:hAnsi="Book Antiqua" w:cs="Arial"/>
                <w:b/>
              </w:rPr>
            </w:pPr>
            <w:r>
              <w:rPr>
                <w:rFonts w:ascii="Book Antiqua" w:hAnsi="Book Antiqua" w:cs="Arial"/>
                <w:b/>
              </w:rPr>
              <w:t>On 21 May 2018</w:t>
            </w:r>
          </w:p>
        </w:tc>
      </w:tr>
      <w:tr w:rsidR="00D22636" w:rsidRPr="00116EFC" w:rsidTr="00116EFC">
        <w:tc>
          <w:tcPr>
            <w:tcW w:w="5868" w:type="dxa"/>
            <w:shd w:val="clear" w:color="auto" w:fill="auto"/>
          </w:tcPr>
          <w:p w:rsidR="00D22636" w:rsidRPr="00116EFC" w:rsidRDefault="00D22636" w:rsidP="00116EFC">
            <w:pPr>
              <w:jc w:val="both"/>
              <w:rPr>
                <w:rFonts w:ascii="Book Antiqua" w:hAnsi="Book Antiqua" w:cs="Arial"/>
                <w:b/>
              </w:rPr>
            </w:pPr>
          </w:p>
        </w:tc>
        <w:tc>
          <w:tcPr>
            <w:tcW w:w="3960" w:type="dxa"/>
            <w:shd w:val="clear" w:color="auto" w:fill="auto"/>
          </w:tcPr>
          <w:p w:rsidR="00D22636" w:rsidRPr="00116EFC" w:rsidRDefault="00D22636" w:rsidP="00116EFC">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668A6" w:rsidRPr="007F2C4F" w:rsidRDefault="00A668A6" w:rsidP="00916A78">
      <w:pPr>
        <w:rPr>
          <w:rFonts w:ascii="Book Antiqua" w:hAnsi="Book Antiqua" w:cs="Arial"/>
          <w:b/>
          <w:color w:val="000000"/>
        </w:rPr>
      </w:pPr>
    </w:p>
    <w:p w:rsidR="00D20757" w:rsidRDefault="00537BD6" w:rsidP="00A15234">
      <w:pPr>
        <w:jc w:val="center"/>
        <w:rPr>
          <w:rFonts w:ascii="Book Antiqua" w:hAnsi="Book Antiqua" w:cs="Arial"/>
          <w:b/>
          <w:color w:val="000000"/>
        </w:rPr>
      </w:pPr>
      <w:r>
        <w:rPr>
          <w:rFonts w:ascii="Book Antiqua" w:hAnsi="Book Antiqua" w:cs="Arial"/>
          <w:b/>
          <w:color w:val="000000"/>
        </w:rPr>
        <w:t>UPPER TRIBUNAL JUDGE BLUM</w:t>
      </w:r>
    </w:p>
    <w:p w:rsidR="00A845DC" w:rsidRPr="00AE6DDE" w:rsidRDefault="00A845DC" w:rsidP="00A15234">
      <w:pPr>
        <w:jc w:val="center"/>
        <w:rPr>
          <w:rFonts w:ascii="Book Antiqua" w:hAnsi="Book Antiqua" w:cs="Arial"/>
          <w:b/>
        </w:rPr>
      </w:pPr>
    </w:p>
    <w:p w:rsidR="00925A1D" w:rsidRDefault="00925A1D"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3350EB" w:rsidP="00A15234">
      <w:pPr>
        <w:jc w:val="center"/>
        <w:rPr>
          <w:rFonts w:ascii="Book Antiqua" w:hAnsi="Book Antiqua" w:cs="Arial"/>
          <w:b/>
          <w:caps/>
        </w:rPr>
      </w:pPr>
      <w:r>
        <w:rPr>
          <w:rFonts w:ascii="Book Antiqua" w:hAnsi="Book Antiqua" w:cs="Arial"/>
          <w:b/>
          <w:caps/>
        </w:rPr>
        <w:t>AK</w:t>
      </w:r>
    </w:p>
    <w:p w:rsidR="00847259" w:rsidRPr="00AE6DDE" w:rsidRDefault="00847259" w:rsidP="00A15234">
      <w:pPr>
        <w:jc w:val="center"/>
        <w:rPr>
          <w:rFonts w:ascii="Book Antiqua" w:hAnsi="Book Antiqua" w:cs="Arial"/>
          <w:b/>
          <w:caps/>
        </w:rPr>
      </w:pPr>
      <w:r>
        <w:rPr>
          <w:rFonts w:ascii="Book Antiqua" w:hAnsi="Book Antiqua" w:cs="Arial"/>
          <w:b/>
          <w:caps/>
        </w:rPr>
        <w:t>(anonymity direction</w:t>
      </w:r>
      <w:bookmarkStart w:id="1" w:name="Text25"/>
      <w:r w:rsidR="00476407">
        <w:rPr>
          <w:rFonts w:ascii="Book Antiqua" w:hAnsi="Book Antiqua" w:cs="Arial"/>
          <w:b/>
          <w:caps/>
        </w:rPr>
        <w:t xml:space="preserve"> MADE</w:t>
      </w:r>
      <w:bookmarkEnd w:id="1"/>
      <w:r>
        <w:rPr>
          <w:rFonts w:ascii="Book Antiqua" w:hAnsi="Book Antiqua" w:cs="Arial"/>
          <w:b/>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476407" w:rsidP="00704B61">
      <w:pPr>
        <w:jc w:val="center"/>
        <w:rPr>
          <w:rFonts w:ascii="Book Antiqua" w:hAnsi="Book Antiqua" w:cs="Arial"/>
          <w:b/>
        </w:rPr>
      </w:pPr>
      <w:r>
        <w:rPr>
          <w:rFonts w:ascii="Book Antiqua" w:hAnsi="Book Antiqua" w:cs="Arial"/>
          <w:b/>
        </w:rPr>
        <w:t xml:space="preserve">THE SECRETARY OF STATE FOR THE HOME DEPARTMENT </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DA2BA8">
        <w:rPr>
          <w:rFonts w:ascii="Book Antiqua" w:hAnsi="Book Antiqua" w:cs="Arial"/>
        </w:rPr>
        <w:t>Ms G Brown</w:t>
      </w:r>
      <w:r w:rsidR="00D73B76">
        <w:rPr>
          <w:rFonts w:ascii="Book Antiqua" w:hAnsi="Book Antiqua" w:cs="Arial"/>
        </w:rPr>
        <w:t>, Counsel instructed by Harrow Law Centre</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60ACE">
        <w:rPr>
          <w:rFonts w:ascii="Book Antiqua" w:hAnsi="Book Antiqua" w:cs="Arial"/>
        </w:rPr>
        <w:t>Mr N Bramble</w:t>
      </w:r>
      <w:r w:rsidR="00D73B76">
        <w:rPr>
          <w:rFonts w:ascii="Book Antiqua" w:hAnsi="Book Antiqua" w:cs="Arial"/>
        </w:rPr>
        <w:t xml:space="preserve">, </w:t>
      </w:r>
      <w:r w:rsidR="00960ACE">
        <w:rPr>
          <w:rFonts w:ascii="Book Antiqua" w:hAnsi="Book Antiqua" w:cs="Arial"/>
        </w:rPr>
        <w:t xml:space="preserve">Senior </w:t>
      </w:r>
      <w:r w:rsidR="00D73B76">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A668A6" w:rsidP="001B3153">
      <w:pPr>
        <w:numPr>
          <w:ilvl w:val="0"/>
          <w:numId w:val="1"/>
        </w:numPr>
        <w:jc w:val="both"/>
        <w:rPr>
          <w:rFonts w:ascii="Book Antiqua" w:hAnsi="Book Antiqua" w:cs="Arial"/>
        </w:rPr>
      </w:pPr>
      <w:r>
        <w:rPr>
          <w:rFonts w:ascii="Book Antiqua" w:hAnsi="Book Antiqua" w:cs="Arial"/>
        </w:rPr>
        <w:t xml:space="preserve">This is </w:t>
      </w:r>
      <w:r w:rsidR="00916A78">
        <w:rPr>
          <w:rFonts w:ascii="Book Antiqua" w:hAnsi="Book Antiqua" w:cs="Arial"/>
        </w:rPr>
        <w:t xml:space="preserve">a remade decision following the identification of a material error of law in the decision </w:t>
      </w:r>
      <w:r>
        <w:rPr>
          <w:rFonts w:ascii="Book Antiqua" w:hAnsi="Book Antiqua" w:cs="Arial"/>
        </w:rPr>
        <w:t>of First-tier Tribunal Judge Rodger</w:t>
      </w:r>
      <w:r w:rsidR="00066563">
        <w:rPr>
          <w:rFonts w:ascii="Book Antiqua" w:hAnsi="Book Antiqua" w:cs="Arial"/>
        </w:rPr>
        <w:t xml:space="preserve"> (the judge)</w:t>
      </w:r>
      <w:r w:rsidR="00476407">
        <w:rPr>
          <w:rFonts w:ascii="Book Antiqua" w:hAnsi="Book Antiqua" w:cs="Arial"/>
        </w:rPr>
        <w:t>,</w:t>
      </w:r>
      <w:r>
        <w:rPr>
          <w:rFonts w:ascii="Book Antiqua" w:hAnsi="Book Antiqua" w:cs="Arial"/>
        </w:rPr>
        <w:t xml:space="preserve"> promulgated on 30 November 2017</w:t>
      </w:r>
      <w:r w:rsidR="00476407">
        <w:rPr>
          <w:rFonts w:ascii="Book Antiqua" w:hAnsi="Book Antiqua" w:cs="Arial"/>
        </w:rPr>
        <w:t>,</w:t>
      </w:r>
      <w:r>
        <w:rPr>
          <w:rFonts w:ascii="Book Antiqua" w:hAnsi="Book Antiqua" w:cs="Arial"/>
        </w:rPr>
        <w:t xml:space="preserve"> in which </w:t>
      </w:r>
      <w:r w:rsidR="00476407">
        <w:rPr>
          <w:rFonts w:ascii="Book Antiqua" w:hAnsi="Book Antiqua" w:cs="Arial"/>
        </w:rPr>
        <w:t>s</w:t>
      </w:r>
      <w:r>
        <w:rPr>
          <w:rFonts w:ascii="Book Antiqua" w:hAnsi="Book Antiqua" w:cs="Arial"/>
        </w:rPr>
        <w:t xml:space="preserve">he </w:t>
      </w:r>
      <w:r w:rsidR="00F7771B">
        <w:rPr>
          <w:rFonts w:ascii="Book Antiqua" w:hAnsi="Book Antiqua" w:cs="Arial"/>
        </w:rPr>
        <w:t>allowed</w:t>
      </w:r>
      <w:r>
        <w:rPr>
          <w:rFonts w:ascii="Book Antiqua" w:hAnsi="Book Antiqua" w:cs="Arial"/>
        </w:rPr>
        <w:t xml:space="preserve"> the appellant’s </w:t>
      </w:r>
      <w:r w:rsidR="00F7771B">
        <w:rPr>
          <w:rFonts w:ascii="Book Antiqua" w:hAnsi="Book Antiqua" w:cs="Arial"/>
        </w:rPr>
        <w:t xml:space="preserve">article 3 ECHR </w:t>
      </w:r>
      <w:r>
        <w:rPr>
          <w:rFonts w:ascii="Book Antiqua" w:hAnsi="Book Antiqua" w:cs="Arial"/>
        </w:rPr>
        <w:t xml:space="preserve">appeal </w:t>
      </w:r>
      <w:r w:rsidR="005E7919">
        <w:rPr>
          <w:rFonts w:ascii="Book Antiqua" w:hAnsi="Book Antiqua" w:cs="Arial"/>
        </w:rPr>
        <w:t>against the respondent’s decision dated 19 January 2017 refuging his protection and human rights claims and ceasing his refugee status</w:t>
      </w:r>
      <w:r w:rsidR="00F7771B">
        <w:rPr>
          <w:rFonts w:ascii="Book Antiqua" w:hAnsi="Book Antiqua" w:cs="Arial"/>
        </w:rPr>
        <w:t>, but upheld the respondent’s certification</w:t>
      </w:r>
      <w:r w:rsidR="00F7771B" w:rsidRPr="00F7771B">
        <w:rPr>
          <w:rFonts w:ascii="Book Antiqua" w:hAnsi="Book Antiqua" w:cs="Arial"/>
        </w:rPr>
        <w:t xml:space="preserve"> </w:t>
      </w:r>
      <w:r w:rsidR="00F7771B">
        <w:rPr>
          <w:rFonts w:ascii="Book Antiqua" w:hAnsi="Book Antiqua" w:cs="Arial"/>
        </w:rPr>
        <w:t xml:space="preserve">under Section 72 of the Nationality, Immigration and Asylum Act 2002 (the 2002 Act) of </w:t>
      </w:r>
      <w:r>
        <w:rPr>
          <w:rFonts w:ascii="Book Antiqua" w:hAnsi="Book Antiqua" w:cs="Arial"/>
        </w:rPr>
        <w:t xml:space="preserve">his </w:t>
      </w:r>
      <w:r w:rsidR="00F7771B">
        <w:rPr>
          <w:rFonts w:ascii="Book Antiqua" w:hAnsi="Book Antiqua" w:cs="Arial"/>
        </w:rPr>
        <w:t>asylum</w:t>
      </w:r>
      <w:r>
        <w:rPr>
          <w:rFonts w:ascii="Book Antiqua" w:hAnsi="Book Antiqua" w:cs="Arial"/>
        </w:rPr>
        <w:t xml:space="preserve"> claim</w:t>
      </w:r>
      <w:r w:rsidR="00F7771B">
        <w:rPr>
          <w:rFonts w:ascii="Book Antiqua" w:hAnsi="Book Antiqua" w:cs="Arial"/>
        </w:rPr>
        <w:t xml:space="preserve">. </w:t>
      </w:r>
      <w:r w:rsidR="00DA2BA8">
        <w:rPr>
          <w:rFonts w:ascii="Book Antiqua" w:hAnsi="Book Antiqua" w:cs="Arial"/>
        </w:rPr>
        <w:t>Section 72</w:t>
      </w:r>
      <w:r w:rsidR="003350EB">
        <w:rPr>
          <w:rFonts w:ascii="Book Antiqua" w:hAnsi="Book Antiqua" w:cs="Arial"/>
        </w:rPr>
        <w:t xml:space="preserve"> establishes a</w:t>
      </w:r>
      <w:r>
        <w:rPr>
          <w:rFonts w:ascii="Book Antiqua" w:hAnsi="Book Antiqua" w:cs="Arial"/>
        </w:rPr>
        <w:t xml:space="preserve"> </w:t>
      </w:r>
      <w:r w:rsidR="003350EB">
        <w:rPr>
          <w:rFonts w:ascii="Book Antiqua" w:hAnsi="Book Antiqua" w:cs="Arial"/>
        </w:rPr>
        <w:lastRenderedPageBreak/>
        <w:t xml:space="preserve">rebuttable </w:t>
      </w:r>
      <w:r>
        <w:rPr>
          <w:rFonts w:ascii="Book Antiqua" w:hAnsi="Book Antiqua" w:cs="Arial"/>
        </w:rPr>
        <w:t xml:space="preserve">presumption </w:t>
      </w:r>
      <w:r w:rsidR="003350EB">
        <w:rPr>
          <w:rFonts w:ascii="Book Antiqua" w:hAnsi="Book Antiqua" w:cs="Arial"/>
        </w:rPr>
        <w:t xml:space="preserve">that a </w:t>
      </w:r>
      <w:r w:rsidR="00DA2BA8">
        <w:rPr>
          <w:rFonts w:ascii="Book Antiqua" w:hAnsi="Book Antiqua" w:cs="Arial"/>
        </w:rPr>
        <w:t>person convicted in the UK of an</w:t>
      </w:r>
      <w:r w:rsidR="003350EB">
        <w:rPr>
          <w:rFonts w:ascii="Book Antiqua" w:hAnsi="Book Antiqua" w:cs="Arial"/>
        </w:rPr>
        <w:t xml:space="preserve"> offence and sentenced to a period of imprisonment of at least 2 years</w:t>
      </w:r>
      <w:r w:rsidR="00DA2BA8">
        <w:rPr>
          <w:rFonts w:ascii="Book Antiqua" w:hAnsi="Book Antiqua" w:cs="Arial"/>
        </w:rPr>
        <w:t xml:space="preserve"> has been convicted of a particularly serious crime and</w:t>
      </w:r>
      <w:r w:rsidR="003350EB">
        <w:rPr>
          <w:rFonts w:ascii="Book Antiqua" w:hAnsi="Book Antiqua" w:cs="Arial"/>
        </w:rPr>
        <w:t xml:space="preserve"> constitutes a danger to the community</w:t>
      </w:r>
      <w:r w:rsidR="00E478DA">
        <w:rPr>
          <w:rFonts w:ascii="Book Antiqua" w:hAnsi="Book Antiqua" w:cs="Arial"/>
        </w:rPr>
        <w:t xml:space="preserve">. </w:t>
      </w:r>
      <w:r w:rsidR="0055013B">
        <w:rPr>
          <w:rFonts w:ascii="Book Antiqua" w:hAnsi="Book Antiqua" w:cs="Arial"/>
        </w:rPr>
        <w:t xml:space="preserve">On 25 July 2013 the appellant was convicted of a robbery and received a sentence of 7 years imprisonment. </w:t>
      </w:r>
      <w:r w:rsidR="00E478DA">
        <w:rPr>
          <w:rFonts w:ascii="Book Antiqua" w:hAnsi="Book Antiqua" w:cs="Arial"/>
        </w:rPr>
        <w:t>As the judge upheld the presumption she dismissed the</w:t>
      </w:r>
      <w:r w:rsidR="003350EB">
        <w:rPr>
          <w:rFonts w:ascii="Book Antiqua" w:hAnsi="Book Antiqua" w:cs="Arial"/>
        </w:rPr>
        <w:t xml:space="preserve"> </w:t>
      </w:r>
      <w:r w:rsidR="00E478DA">
        <w:rPr>
          <w:rFonts w:ascii="Book Antiqua" w:hAnsi="Book Antiqua" w:cs="Arial"/>
        </w:rPr>
        <w:t xml:space="preserve">protection </w:t>
      </w:r>
      <w:r w:rsidR="008B10AD">
        <w:rPr>
          <w:rFonts w:ascii="Book Antiqua" w:hAnsi="Book Antiqua" w:cs="Arial"/>
        </w:rPr>
        <w:t>appeal</w:t>
      </w:r>
      <w:r>
        <w:rPr>
          <w:rFonts w:ascii="Book Antiqua" w:hAnsi="Book Antiqua" w:cs="Arial"/>
        </w:rPr>
        <w:t xml:space="preserve"> </w:t>
      </w:r>
      <w:r w:rsidR="00275117">
        <w:rPr>
          <w:rFonts w:ascii="Book Antiqua" w:hAnsi="Book Antiqua" w:cs="Arial"/>
        </w:rPr>
        <w:t>to the extent that it</w:t>
      </w:r>
      <w:r w:rsidR="00E478DA">
        <w:rPr>
          <w:rFonts w:ascii="Book Antiqua" w:hAnsi="Book Antiqua" w:cs="Arial"/>
        </w:rPr>
        <w:t xml:space="preserve"> was</w:t>
      </w:r>
      <w:r>
        <w:rPr>
          <w:rFonts w:ascii="Book Antiqua" w:hAnsi="Book Antiqua" w:cs="Arial"/>
        </w:rPr>
        <w:t xml:space="preserve"> based on the </w:t>
      </w:r>
      <w:r w:rsidR="00476407">
        <w:rPr>
          <w:rFonts w:ascii="Book Antiqua" w:hAnsi="Book Antiqua" w:cs="Arial"/>
        </w:rPr>
        <w:t xml:space="preserve">1951 </w:t>
      </w:r>
      <w:r w:rsidR="00D43FED">
        <w:rPr>
          <w:rFonts w:ascii="Book Antiqua" w:hAnsi="Book Antiqua" w:cs="Arial"/>
        </w:rPr>
        <w:t>Refugee Convention.</w:t>
      </w:r>
      <w:r>
        <w:rPr>
          <w:rFonts w:ascii="Book Antiqua" w:hAnsi="Book Antiqua" w:cs="Arial"/>
        </w:rPr>
        <w:t xml:space="preserve"> </w:t>
      </w:r>
      <w:r w:rsidR="0055013B">
        <w:rPr>
          <w:rFonts w:ascii="Book Antiqua" w:hAnsi="Book Antiqua" w:cs="Arial"/>
        </w:rPr>
        <w:t>Although</w:t>
      </w:r>
      <w:r w:rsidR="00031D21">
        <w:rPr>
          <w:rFonts w:ascii="Book Antiqua" w:hAnsi="Book Antiqua" w:cs="Arial"/>
        </w:rPr>
        <w:t xml:space="preserve"> the appellant additionally relied on article 8 </w:t>
      </w:r>
      <w:r w:rsidR="0055013B">
        <w:rPr>
          <w:rFonts w:ascii="Book Antiqua" w:hAnsi="Book Antiqua" w:cs="Arial"/>
        </w:rPr>
        <w:t>ECHR to resist his deportation</w:t>
      </w:r>
      <w:r w:rsidR="00031D21">
        <w:rPr>
          <w:rFonts w:ascii="Book Antiqua" w:hAnsi="Book Antiqua" w:cs="Arial"/>
        </w:rPr>
        <w:t>, the judge failed to consider the article 8 grounds of appeal.</w:t>
      </w:r>
      <w:r w:rsidR="00031D21" w:rsidRPr="00916A78">
        <w:rPr>
          <w:rFonts w:ascii="Book Antiqua" w:hAnsi="Book Antiqua" w:cs="Arial"/>
        </w:rPr>
        <w:t xml:space="preserve"> </w:t>
      </w:r>
      <w:r>
        <w:rPr>
          <w:rFonts w:ascii="Book Antiqua" w:hAnsi="Book Antiqua" w:cs="Arial"/>
        </w:rPr>
        <w:t xml:space="preserve">The judge allowed the </w:t>
      </w:r>
      <w:r w:rsidR="00C432B4">
        <w:rPr>
          <w:rFonts w:ascii="Book Antiqua" w:hAnsi="Book Antiqua" w:cs="Arial"/>
        </w:rPr>
        <w:t xml:space="preserve">human rights </w:t>
      </w:r>
      <w:r>
        <w:rPr>
          <w:rFonts w:ascii="Book Antiqua" w:hAnsi="Book Antiqua" w:cs="Arial"/>
        </w:rPr>
        <w:t xml:space="preserve">appeal </w:t>
      </w:r>
      <w:r w:rsidR="00476407">
        <w:rPr>
          <w:rFonts w:ascii="Book Antiqua" w:hAnsi="Book Antiqua" w:cs="Arial"/>
        </w:rPr>
        <w:t>under</w:t>
      </w:r>
      <w:r w:rsidR="0055013B">
        <w:rPr>
          <w:rFonts w:ascii="Book Antiqua" w:hAnsi="Book Antiqua" w:cs="Arial"/>
        </w:rPr>
        <w:t xml:space="preserve"> a</w:t>
      </w:r>
      <w:r>
        <w:rPr>
          <w:rFonts w:ascii="Book Antiqua" w:hAnsi="Book Antiqua" w:cs="Arial"/>
        </w:rPr>
        <w:t>rticle 3</w:t>
      </w:r>
      <w:r w:rsidR="0055013B">
        <w:rPr>
          <w:rFonts w:ascii="Book Antiqua" w:hAnsi="Book Antiqua" w:cs="Arial"/>
        </w:rPr>
        <w:t xml:space="preserve"> ECHR</w:t>
      </w:r>
      <w:r w:rsidR="00476407">
        <w:rPr>
          <w:rFonts w:ascii="Book Antiqua" w:hAnsi="Book Antiqua" w:cs="Arial"/>
        </w:rPr>
        <w:t xml:space="preserve"> as </w:t>
      </w:r>
      <w:r>
        <w:rPr>
          <w:rFonts w:ascii="Book Antiqua" w:hAnsi="Book Antiqua" w:cs="Arial"/>
        </w:rPr>
        <w:t>the appellant’s removal to his country of nationality, Eritrea, would result in a real risk of serious ill-treatment.</w:t>
      </w:r>
      <w:r w:rsidR="008B10AD">
        <w:rPr>
          <w:rFonts w:ascii="Book Antiqua" w:hAnsi="Book Antiqua" w:cs="Arial"/>
        </w:rPr>
        <w:t xml:space="preserve"> </w:t>
      </w:r>
      <w:r w:rsidR="00916A78">
        <w:rPr>
          <w:rFonts w:ascii="Book Antiqua" w:hAnsi="Book Antiqua" w:cs="Arial"/>
        </w:rPr>
        <w:t xml:space="preserve">Although the respondent initially sought to appeal </w:t>
      </w:r>
      <w:r w:rsidR="0055013B">
        <w:rPr>
          <w:rFonts w:ascii="Book Antiqua" w:hAnsi="Book Antiqua" w:cs="Arial"/>
        </w:rPr>
        <w:t>the article 3</w:t>
      </w:r>
      <w:r w:rsidR="00916A78">
        <w:rPr>
          <w:rFonts w:ascii="Book Antiqua" w:hAnsi="Book Antiqua" w:cs="Arial"/>
        </w:rPr>
        <w:t xml:space="preserve"> decision </w:t>
      </w:r>
      <w:r w:rsidR="00275117">
        <w:rPr>
          <w:rFonts w:ascii="Book Antiqua" w:hAnsi="Book Antiqua" w:cs="Arial"/>
        </w:rPr>
        <w:t>this was later withdrawn</w:t>
      </w:r>
      <w:r w:rsidR="00916A78">
        <w:rPr>
          <w:rFonts w:ascii="Book Antiqua" w:hAnsi="Book Antiqua" w:cs="Arial"/>
        </w:rPr>
        <w:t xml:space="preserve">. It is now </w:t>
      </w:r>
      <w:r w:rsidR="008B10AD">
        <w:rPr>
          <w:rFonts w:ascii="Book Antiqua" w:hAnsi="Book Antiqua" w:cs="Arial"/>
        </w:rPr>
        <w:t>common ground</w:t>
      </w:r>
      <w:r w:rsidR="00916A78">
        <w:rPr>
          <w:rFonts w:ascii="Book Antiqua" w:hAnsi="Book Antiqua" w:cs="Arial"/>
        </w:rPr>
        <w:t xml:space="preserve"> that the appellant’s removal to Eritrea would expose him to a real risk of torture or inhuman or de</w:t>
      </w:r>
      <w:r w:rsidR="00275117">
        <w:rPr>
          <w:rFonts w:ascii="Book Antiqua" w:hAnsi="Book Antiqua" w:cs="Arial"/>
        </w:rPr>
        <w:t>grading treatment or punishment on the basis that he would be perceived as a draft evader, or on the basis that the conditions of military service would amount to a breach of article 3.</w:t>
      </w:r>
    </w:p>
    <w:p w:rsidR="001B3153" w:rsidRDefault="001B3153" w:rsidP="00960ACE">
      <w:pPr>
        <w:jc w:val="both"/>
        <w:rPr>
          <w:rFonts w:ascii="Book Antiqua" w:hAnsi="Book Antiqua" w:cs="Arial"/>
        </w:rPr>
      </w:pPr>
    </w:p>
    <w:p w:rsidR="00381200" w:rsidRDefault="001B3153" w:rsidP="00985E3E">
      <w:pPr>
        <w:numPr>
          <w:ilvl w:val="0"/>
          <w:numId w:val="1"/>
        </w:numPr>
        <w:jc w:val="both"/>
        <w:rPr>
          <w:rFonts w:ascii="Book Antiqua" w:hAnsi="Book Antiqua" w:cs="Arial"/>
        </w:rPr>
      </w:pPr>
      <w:r>
        <w:rPr>
          <w:rFonts w:ascii="Book Antiqua" w:hAnsi="Book Antiqua" w:cs="Arial"/>
        </w:rPr>
        <w:t xml:space="preserve">In </w:t>
      </w:r>
      <w:r w:rsidR="00031D21">
        <w:rPr>
          <w:rFonts w:ascii="Book Antiqua" w:hAnsi="Book Antiqua" w:cs="Arial"/>
        </w:rPr>
        <w:t>its</w:t>
      </w:r>
      <w:r>
        <w:rPr>
          <w:rFonts w:ascii="Book Antiqua" w:hAnsi="Book Antiqua" w:cs="Arial"/>
        </w:rPr>
        <w:t xml:space="preserve"> ‘error of law’ decision</w:t>
      </w:r>
      <w:r w:rsidR="00031D21">
        <w:rPr>
          <w:rFonts w:ascii="Book Antiqua" w:hAnsi="Book Antiqua" w:cs="Arial"/>
        </w:rPr>
        <w:t xml:space="preserve"> promulgated on 1 March 2018</w:t>
      </w:r>
      <w:r>
        <w:rPr>
          <w:rFonts w:ascii="Book Antiqua" w:hAnsi="Book Antiqua" w:cs="Arial"/>
        </w:rPr>
        <w:t xml:space="preserve"> the Upper Tribunal found that the First-tier Tribu</w:t>
      </w:r>
      <w:r w:rsidR="009E56FC">
        <w:rPr>
          <w:rFonts w:ascii="Book Antiqua" w:hAnsi="Book Antiqua" w:cs="Arial"/>
        </w:rPr>
        <w:t>nal materially erred in law</w:t>
      </w:r>
      <w:r w:rsidR="00381200">
        <w:rPr>
          <w:rFonts w:ascii="Book Antiqua" w:hAnsi="Book Antiqua" w:cs="Arial"/>
        </w:rPr>
        <w:t xml:space="preserve">. </w:t>
      </w:r>
      <w:r w:rsidR="009E56FC">
        <w:rPr>
          <w:rFonts w:ascii="Book Antiqua" w:hAnsi="Book Antiqua" w:cs="Arial"/>
        </w:rPr>
        <w:t xml:space="preserve"> </w:t>
      </w:r>
      <w:r w:rsidR="00985E3E">
        <w:rPr>
          <w:rFonts w:ascii="Book Antiqua" w:hAnsi="Book Antiqua" w:cs="Arial"/>
        </w:rPr>
        <w:t xml:space="preserve">I </w:t>
      </w:r>
      <w:r w:rsidR="00381200">
        <w:rPr>
          <w:rFonts w:ascii="Book Antiqua" w:hAnsi="Book Antiqua" w:cs="Arial"/>
        </w:rPr>
        <w:t xml:space="preserve">briefly </w:t>
      </w:r>
      <w:r w:rsidR="00985E3E">
        <w:rPr>
          <w:rFonts w:ascii="Book Antiqua" w:hAnsi="Book Antiqua" w:cs="Arial"/>
        </w:rPr>
        <w:t xml:space="preserve">summarise the errors of law. </w:t>
      </w:r>
    </w:p>
    <w:p w:rsidR="00381200" w:rsidRDefault="00381200" w:rsidP="00381200">
      <w:pPr>
        <w:pStyle w:val="ListParagraph"/>
        <w:rPr>
          <w:rFonts w:ascii="Book Antiqua" w:hAnsi="Book Antiqua" w:cs="Arial"/>
        </w:rPr>
      </w:pPr>
    </w:p>
    <w:p w:rsidR="00985E3E" w:rsidRDefault="00985E3E" w:rsidP="00985E3E">
      <w:pPr>
        <w:numPr>
          <w:ilvl w:val="0"/>
          <w:numId w:val="1"/>
        </w:numPr>
        <w:jc w:val="both"/>
        <w:rPr>
          <w:rFonts w:ascii="Book Antiqua" w:hAnsi="Book Antiqua" w:cs="Arial"/>
        </w:rPr>
      </w:pPr>
      <w:r>
        <w:rPr>
          <w:rFonts w:ascii="Book Antiqua" w:hAnsi="Book Antiqua" w:cs="Arial"/>
        </w:rPr>
        <w:t>T</w:t>
      </w:r>
      <w:r w:rsidR="009E56FC" w:rsidRPr="00985E3E">
        <w:rPr>
          <w:rFonts w:ascii="Book Antiqua" w:hAnsi="Book Antiqua" w:cs="Arial"/>
        </w:rPr>
        <w:t>he judge was provided with a large bundle of personal and subjective evidence including witness statements from the appellant and his partner,</w:t>
      </w:r>
      <w:r w:rsidR="00381200">
        <w:rPr>
          <w:rFonts w:ascii="Book Antiqua" w:hAnsi="Book Antiqua" w:cs="Arial"/>
        </w:rPr>
        <w:t xml:space="preserve"> </w:t>
      </w:r>
      <w:r w:rsidR="0055013B">
        <w:rPr>
          <w:rFonts w:ascii="Book Antiqua" w:hAnsi="Book Antiqua" w:cs="Arial"/>
        </w:rPr>
        <w:t>N</w:t>
      </w:r>
      <w:r w:rsidR="00381200">
        <w:rPr>
          <w:rFonts w:ascii="Book Antiqua" w:hAnsi="Book Antiqua" w:cs="Arial"/>
        </w:rPr>
        <w:t>J,</w:t>
      </w:r>
      <w:r w:rsidR="009E56FC" w:rsidRPr="00985E3E">
        <w:rPr>
          <w:rFonts w:ascii="Book Antiqua" w:hAnsi="Book Antiqua" w:cs="Arial"/>
        </w:rPr>
        <w:t xml:space="preserve"> from his mother and from other individuals and a letter from his support worker, Mr Frank McDonald</w:t>
      </w:r>
      <w:r>
        <w:rPr>
          <w:rFonts w:ascii="Book Antiqua" w:hAnsi="Book Antiqua" w:cs="Arial"/>
        </w:rPr>
        <w:t>. The judge hear</w:t>
      </w:r>
      <w:r w:rsidR="0055013B">
        <w:rPr>
          <w:rFonts w:ascii="Book Antiqua" w:hAnsi="Book Antiqua" w:cs="Arial"/>
        </w:rPr>
        <w:t>d oral evidence from several</w:t>
      </w:r>
      <w:r>
        <w:rPr>
          <w:rFonts w:ascii="Book Antiqua" w:hAnsi="Book Antiqua" w:cs="Arial"/>
        </w:rPr>
        <w:t xml:space="preserve"> witnesses including </w:t>
      </w:r>
      <w:r w:rsidR="0055013B">
        <w:rPr>
          <w:rFonts w:ascii="Book Antiqua" w:hAnsi="Book Antiqua" w:cs="Arial"/>
        </w:rPr>
        <w:t>N</w:t>
      </w:r>
      <w:r w:rsidR="00381200">
        <w:rPr>
          <w:rFonts w:ascii="Book Antiqua" w:hAnsi="Book Antiqua" w:cs="Arial"/>
        </w:rPr>
        <w:t>J</w:t>
      </w:r>
      <w:r>
        <w:rPr>
          <w:rFonts w:ascii="Book Antiqua" w:hAnsi="Book Antiqua" w:cs="Arial"/>
        </w:rPr>
        <w:t xml:space="preserve">, </w:t>
      </w:r>
      <w:r w:rsidR="0055013B">
        <w:rPr>
          <w:rFonts w:ascii="Book Antiqua" w:hAnsi="Book Antiqua" w:cs="Arial"/>
        </w:rPr>
        <w:t>the appellant’s</w:t>
      </w:r>
      <w:r>
        <w:rPr>
          <w:rFonts w:ascii="Book Antiqua" w:hAnsi="Book Antiqua" w:cs="Arial"/>
        </w:rPr>
        <w:t xml:space="preserve"> mother</w:t>
      </w:r>
      <w:r w:rsidR="0055013B">
        <w:rPr>
          <w:rFonts w:ascii="Book Antiqua" w:hAnsi="Book Antiqua" w:cs="Arial"/>
        </w:rPr>
        <w:t xml:space="preserve"> and sisters,</w:t>
      </w:r>
      <w:r>
        <w:rPr>
          <w:rFonts w:ascii="Book Antiqua" w:hAnsi="Book Antiqua" w:cs="Arial"/>
        </w:rPr>
        <w:t xml:space="preserve"> and Mr McDonald. </w:t>
      </w:r>
      <w:r w:rsidR="009E56FC" w:rsidRPr="00985E3E">
        <w:rPr>
          <w:rFonts w:ascii="Book Antiqua" w:hAnsi="Book Antiqua" w:cs="Arial"/>
        </w:rPr>
        <w:t xml:space="preserve">The judge summarised </w:t>
      </w:r>
      <w:r>
        <w:rPr>
          <w:rFonts w:ascii="Book Antiqua" w:hAnsi="Book Antiqua" w:cs="Arial"/>
        </w:rPr>
        <w:t xml:space="preserve">some of </w:t>
      </w:r>
      <w:r w:rsidR="009E56FC" w:rsidRPr="00985E3E">
        <w:rPr>
          <w:rFonts w:ascii="Book Antiqua" w:hAnsi="Book Antiqua" w:cs="Arial"/>
        </w:rPr>
        <w:t xml:space="preserve">the evidence </w:t>
      </w:r>
      <w:r w:rsidR="0055013B">
        <w:rPr>
          <w:rFonts w:ascii="Book Antiqua" w:hAnsi="Book Antiqua" w:cs="Arial"/>
        </w:rPr>
        <w:t>including that</w:t>
      </w:r>
      <w:r w:rsidR="009E56FC" w:rsidRPr="00985E3E">
        <w:rPr>
          <w:rFonts w:ascii="Book Antiqua" w:hAnsi="Book Antiqua" w:cs="Arial"/>
        </w:rPr>
        <w:t xml:space="preserve"> relating to courses </w:t>
      </w:r>
      <w:r w:rsidR="0055013B">
        <w:rPr>
          <w:rFonts w:ascii="Book Antiqua" w:hAnsi="Book Antiqua" w:cs="Arial"/>
        </w:rPr>
        <w:t xml:space="preserve">undertaken by </w:t>
      </w:r>
      <w:r w:rsidR="009E56FC" w:rsidRPr="00985E3E">
        <w:rPr>
          <w:rFonts w:ascii="Book Antiqua" w:hAnsi="Book Antiqua" w:cs="Arial"/>
        </w:rPr>
        <w:t>the appellant,</w:t>
      </w:r>
      <w:r w:rsidR="0055013B">
        <w:rPr>
          <w:rFonts w:ascii="Book Antiqua" w:hAnsi="Book Antiqua" w:cs="Arial"/>
        </w:rPr>
        <w:t xml:space="preserve"> evidence</w:t>
      </w:r>
      <w:r w:rsidR="009E56FC" w:rsidRPr="00985E3E">
        <w:rPr>
          <w:rFonts w:ascii="Book Antiqua" w:hAnsi="Book Antiqua" w:cs="Arial"/>
        </w:rPr>
        <w:t xml:space="preserve"> that he had abstained from both drink and drugs since November 2012, the </w:t>
      </w:r>
      <w:r w:rsidR="0055013B">
        <w:rPr>
          <w:rFonts w:ascii="Book Antiqua" w:hAnsi="Book Antiqua" w:cs="Arial"/>
        </w:rPr>
        <w:t>OASys risk assessment report and other probation documents,</w:t>
      </w:r>
      <w:r w:rsidR="009E56FC" w:rsidRPr="00985E3E">
        <w:rPr>
          <w:rFonts w:ascii="Book Antiqua" w:hAnsi="Book Antiqua" w:cs="Arial"/>
        </w:rPr>
        <w:t xml:space="preserve"> and the report from Frank McDonald who maintained that the appellant was both rehabili</w:t>
      </w:r>
      <w:r>
        <w:rPr>
          <w:rFonts w:ascii="Book Antiqua" w:hAnsi="Book Antiqua" w:cs="Arial"/>
        </w:rPr>
        <w:t>tated and unlikely to offend. The judge also made b</w:t>
      </w:r>
      <w:r w:rsidR="009E56FC" w:rsidRPr="00985E3E">
        <w:rPr>
          <w:rFonts w:ascii="Book Antiqua" w:hAnsi="Book Antiqua" w:cs="Arial"/>
        </w:rPr>
        <w:t>rief reference to additional letters of support without identifying who they came from or the content of those letters.</w:t>
      </w:r>
    </w:p>
    <w:p w:rsidR="009E56FC" w:rsidRDefault="009E56FC" w:rsidP="00985E3E">
      <w:pPr>
        <w:ind w:left="567"/>
        <w:jc w:val="both"/>
        <w:rPr>
          <w:rFonts w:ascii="Book Antiqua" w:hAnsi="Book Antiqua" w:cs="Arial"/>
        </w:rPr>
      </w:pPr>
      <w:r w:rsidRPr="00985E3E">
        <w:rPr>
          <w:rFonts w:ascii="Book Antiqua" w:hAnsi="Book Antiqua" w:cs="Arial"/>
        </w:rPr>
        <w:t xml:space="preserve">  </w:t>
      </w:r>
    </w:p>
    <w:p w:rsidR="009E56FC" w:rsidRDefault="009E56FC" w:rsidP="00985E3E">
      <w:pPr>
        <w:numPr>
          <w:ilvl w:val="0"/>
          <w:numId w:val="1"/>
        </w:numPr>
        <w:jc w:val="both"/>
        <w:rPr>
          <w:rFonts w:ascii="Book Antiqua" w:hAnsi="Book Antiqua" w:cs="Arial"/>
        </w:rPr>
      </w:pPr>
      <w:r w:rsidRPr="00985E3E">
        <w:rPr>
          <w:rFonts w:ascii="Book Antiqua" w:hAnsi="Book Antiqua" w:cs="Arial"/>
        </w:rPr>
        <w:t xml:space="preserve">The judge accepted that </w:t>
      </w:r>
      <w:r w:rsidR="0055013B">
        <w:rPr>
          <w:rFonts w:ascii="Book Antiqua" w:hAnsi="Book Antiqua" w:cs="Arial"/>
        </w:rPr>
        <w:t>t</w:t>
      </w:r>
      <w:r w:rsidRPr="00985E3E">
        <w:rPr>
          <w:rFonts w:ascii="Book Antiqua" w:hAnsi="Book Antiqua" w:cs="Arial"/>
        </w:rPr>
        <w:t>he</w:t>
      </w:r>
      <w:r w:rsidR="0055013B">
        <w:rPr>
          <w:rFonts w:ascii="Book Antiqua" w:hAnsi="Book Antiqua" w:cs="Arial"/>
        </w:rPr>
        <w:t xml:space="preserve"> appellant</w:t>
      </w:r>
      <w:r w:rsidRPr="00985E3E">
        <w:rPr>
          <w:rFonts w:ascii="Book Antiqua" w:hAnsi="Book Antiqua" w:cs="Arial"/>
        </w:rPr>
        <w:t xml:space="preserve"> had taken significant steps to turning his life around and making something of his life. The judge however placed weight on the appellant’s apparent prevarication in accepting his guilt in relation to the trigger </w:t>
      </w:r>
      <w:r w:rsidR="00381200">
        <w:rPr>
          <w:rFonts w:ascii="Book Antiqua" w:hAnsi="Book Antiqua" w:cs="Arial"/>
        </w:rPr>
        <w:t>offence, as detailed both in his oral evidence at the hearing</w:t>
      </w:r>
      <w:r w:rsidRPr="00985E3E">
        <w:rPr>
          <w:rFonts w:ascii="Book Antiqua" w:hAnsi="Book Antiqua" w:cs="Arial"/>
        </w:rPr>
        <w:t xml:space="preserve"> and the OASys Report</w:t>
      </w:r>
      <w:r w:rsidR="0055013B">
        <w:rPr>
          <w:rFonts w:ascii="Book Antiqua" w:hAnsi="Book Antiqua" w:cs="Arial"/>
        </w:rPr>
        <w:t xml:space="preserve"> dated 16 August 2017</w:t>
      </w:r>
      <w:r w:rsidR="00B03093">
        <w:rPr>
          <w:rFonts w:ascii="Book Antiqua" w:hAnsi="Book Antiqua" w:cs="Arial"/>
        </w:rPr>
        <w:t>,</w:t>
      </w:r>
      <w:r w:rsidRPr="00985E3E">
        <w:rPr>
          <w:rFonts w:ascii="Book Antiqua" w:hAnsi="Book Antiqua" w:cs="Arial"/>
        </w:rPr>
        <w:t xml:space="preserve"> in which </w:t>
      </w:r>
      <w:r w:rsidR="00B03093">
        <w:rPr>
          <w:rFonts w:ascii="Book Antiqua" w:hAnsi="Book Antiqua" w:cs="Arial"/>
        </w:rPr>
        <w:t xml:space="preserve">he </w:t>
      </w:r>
      <w:r w:rsidR="003A2E8A">
        <w:rPr>
          <w:rFonts w:ascii="Book Antiqua" w:hAnsi="Book Antiqua" w:cs="Arial"/>
        </w:rPr>
        <w:t xml:space="preserve">did not accept responsibility for </w:t>
      </w:r>
      <w:r w:rsidR="00275117">
        <w:rPr>
          <w:rFonts w:ascii="Book Antiqua" w:hAnsi="Book Antiqua" w:cs="Arial"/>
        </w:rPr>
        <w:t xml:space="preserve">his participation </w:t>
      </w:r>
      <w:r w:rsidR="003A2E8A">
        <w:rPr>
          <w:rFonts w:ascii="Book Antiqua" w:hAnsi="Book Antiqua" w:cs="Arial"/>
        </w:rPr>
        <w:t>the</w:t>
      </w:r>
      <w:r w:rsidR="00275117">
        <w:rPr>
          <w:rFonts w:ascii="Book Antiqua" w:hAnsi="Book Antiqua" w:cs="Arial"/>
        </w:rPr>
        <w:t xml:space="preserve"> 2012</w:t>
      </w:r>
      <w:r w:rsidR="003A2E8A">
        <w:rPr>
          <w:rFonts w:ascii="Book Antiqua" w:hAnsi="Book Antiqua" w:cs="Arial"/>
        </w:rPr>
        <w:t xml:space="preserve"> robbery</w:t>
      </w:r>
      <w:r w:rsidRPr="00985E3E">
        <w:rPr>
          <w:rFonts w:ascii="Book Antiqua" w:hAnsi="Book Antiqua" w:cs="Arial"/>
        </w:rPr>
        <w:t>.</w:t>
      </w:r>
      <w:r w:rsidR="003A2E8A">
        <w:rPr>
          <w:rFonts w:ascii="Book Antiqua" w:hAnsi="Book Antiqua" w:cs="Arial"/>
        </w:rPr>
        <w:t xml:space="preserve"> The</w:t>
      </w:r>
      <w:r w:rsidRPr="00985E3E">
        <w:rPr>
          <w:rFonts w:ascii="Book Antiqua" w:hAnsi="Book Antiqua" w:cs="Arial"/>
        </w:rPr>
        <w:t xml:space="preserve"> appellant’s reluctance to accept responsibility for the trigger offence suggested that he did constitute a danger to the public. In reaching this conclusion the judge took into account the appella</w:t>
      </w:r>
      <w:r w:rsidR="00381200">
        <w:rPr>
          <w:rFonts w:ascii="Book Antiqua" w:hAnsi="Book Antiqua" w:cs="Arial"/>
        </w:rPr>
        <w:t>nt’s lengthy offending history and attached weight to the OASys r</w:t>
      </w:r>
      <w:r w:rsidRPr="00985E3E">
        <w:rPr>
          <w:rFonts w:ascii="Book Antiqua" w:hAnsi="Book Antiqua" w:cs="Arial"/>
        </w:rPr>
        <w:t>eport which assessed the appellant as being at medium risk of reoffending. The judge made reference to the percentage risks det</w:t>
      </w:r>
      <w:r w:rsidR="00381200">
        <w:rPr>
          <w:rFonts w:ascii="Book Antiqua" w:hAnsi="Book Antiqua" w:cs="Arial"/>
        </w:rPr>
        <w:t>ailed in the OASys r</w:t>
      </w:r>
      <w:r w:rsidRPr="00985E3E">
        <w:rPr>
          <w:rFonts w:ascii="Book Antiqua" w:hAnsi="Book Antiqua" w:cs="Arial"/>
        </w:rPr>
        <w:t>eport and, although noting that the appellant had abstained from drugs and drink since November 2012 and that he was a good prisoner who had complied with all probation and support requirements, concluded that there was insufficient evidence before her to re</w:t>
      </w:r>
      <w:r w:rsidR="00381200">
        <w:rPr>
          <w:rFonts w:ascii="Book Antiqua" w:hAnsi="Book Antiqua" w:cs="Arial"/>
        </w:rPr>
        <w:t>but the Section 72 presumption.</w:t>
      </w:r>
      <w:r w:rsidRPr="00985E3E">
        <w:rPr>
          <w:rFonts w:ascii="Book Antiqua" w:hAnsi="Book Antiqua" w:cs="Arial"/>
        </w:rPr>
        <w:t xml:space="preserve"> In so </w:t>
      </w:r>
      <w:r w:rsidRPr="00985E3E">
        <w:rPr>
          <w:rFonts w:ascii="Book Antiqua" w:hAnsi="Book Antiqua" w:cs="Arial"/>
        </w:rPr>
        <w:lastRenderedPageBreak/>
        <w:t>concluding the judge made brief reference, at paragraph 34 of her decision, to the continued support from Kairos (</w:t>
      </w:r>
      <w:r w:rsidR="00985E3E">
        <w:rPr>
          <w:rFonts w:ascii="Book Antiqua" w:hAnsi="Book Antiqua" w:cs="Arial"/>
        </w:rPr>
        <w:t>a</w:t>
      </w:r>
      <w:r w:rsidRPr="00985E3E">
        <w:rPr>
          <w:rFonts w:ascii="Book Antiqua" w:hAnsi="Book Antiqua" w:cs="Arial"/>
        </w:rPr>
        <w:t xml:space="preserve"> support organisation), and his family. That constituted the extent of the judge’s assessment of the evidence from the appellant’s family. </w:t>
      </w:r>
    </w:p>
    <w:p w:rsidR="00381200" w:rsidRPr="00985E3E" w:rsidRDefault="00381200" w:rsidP="00381200">
      <w:pPr>
        <w:ind w:left="567"/>
        <w:jc w:val="both"/>
        <w:rPr>
          <w:rFonts w:ascii="Book Antiqua" w:hAnsi="Book Antiqua" w:cs="Arial"/>
        </w:rPr>
      </w:pPr>
    </w:p>
    <w:p w:rsidR="009E56FC" w:rsidRPr="003A2E8A" w:rsidRDefault="00381200" w:rsidP="003A2E8A">
      <w:pPr>
        <w:numPr>
          <w:ilvl w:val="0"/>
          <w:numId w:val="1"/>
        </w:numPr>
        <w:jc w:val="both"/>
        <w:rPr>
          <w:rFonts w:ascii="Book Antiqua" w:hAnsi="Book Antiqua" w:cs="Arial"/>
        </w:rPr>
      </w:pPr>
      <w:r>
        <w:rPr>
          <w:rFonts w:ascii="Book Antiqua" w:hAnsi="Book Antiqua" w:cs="Arial"/>
        </w:rPr>
        <w:t xml:space="preserve">The Upper Tribunal was satisfied that the judge </w:t>
      </w:r>
      <w:r w:rsidR="003A2E8A">
        <w:rPr>
          <w:rFonts w:ascii="Book Antiqua" w:hAnsi="Book Antiqua" w:cs="Arial"/>
        </w:rPr>
        <w:t>failed to engage with</w:t>
      </w:r>
      <w:r>
        <w:rPr>
          <w:rFonts w:ascii="Book Antiqua" w:hAnsi="Book Antiqua" w:cs="Arial"/>
        </w:rPr>
        <w:t xml:space="preserve"> the supporting evidence in respect of the appellant’s relationship with </w:t>
      </w:r>
      <w:r w:rsidR="003A2E8A">
        <w:rPr>
          <w:rFonts w:ascii="Book Antiqua" w:hAnsi="Book Antiqua" w:cs="Arial"/>
        </w:rPr>
        <w:t>N</w:t>
      </w:r>
      <w:r>
        <w:rPr>
          <w:rFonts w:ascii="Book Antiqua" w:hAnsi="Book Antiqua" w:cs="Arial"/>
        </w:rPr>
        <w:t xml:space="preserve">J. </w:t>
      </w:r>
      <w:r w:rsidR="003A2E8A">
        <w:rPr>
          <w:rFonts w:ascii="Book Antiqua" w:hAnsi="Book Antiqua" w:cs="Arial"/>
        </w:rPr>
        <w:t>S</w:t>
      </w:r>
      <w:r>
        <w:rPr>
          <w:rFonts w:ascii="Book Antiqua" w:hAnsi="Book Antiqua" w:cs="Arial"/>
        </w:rPr>
        <w:t xml:space="preserve">he gave a statement of some length and gave oral evidence. Whilst the judge acknowledged that she gave evidence and made brief reference to </w:t>
      </w:r>
      <w:r w:rsidR="003A2E8A">
        <w:rPr>
          <w:rFonts w:ascii="Book Antiqua" w:hAnsi="Book Antiqua" w:cs="Arial"/>
        </w:rPr>
        <w:t>N</w:t>
      </w:r>
      <w:r>
        <w:rPr>
          <w:rFonts w:ascii="Book Antiqua" w:hAnsi="Book Antiqua" w:cs="Arial"/>
        </w:rPr>
        <w:t xml:space="preserve">J in the decision, there was simply no assessment of the content of </w:t>
      </w:r>
      <w:r w:rsidR="003A2E8A">
        <w:rPr>
          <w:rFonts w:ascii="Book Antiqua" w:hAnsi="Book Antiqua" w:cs="Arial"/>
        </w:rPr>
        <w:t>N</w:t>
      </w:r>
      <w:r>
        <w:rPr>
          <w:rFonts w:ascii="Book Antiqua" w:hAnsi="Book Antiqua" w:cs="Arial"/>
        </w:rPr>
        <w:t>J’s statement or her oral evidence. That oral evidence indicated that her relationship with the appellant provided stability and support and that the relationship constituted a protective element that reduced the likelihood of the appellant committing any further offences. This was a relevant factor that needed to be considered in assessing whether the appellant constituted a danger to the community. The Upper Tribunal was additionally troubled by the judge’s significant reliance on the percentage risk assessments contained in the OASys Report in the absence of adequate consideration of the underlying evidence</w:t>
      </w:r>
      <w:r w:rsidR="00275117">
        <w:rPr>
          <w:rFonts w:ascii="Book Antiqua" w:hAnsi="Book Antiqua" w:cs="Arial"/>
        </w:rPr>
        <w:t>,</w:t>
      </w:r>
      <w:r>
        <w:rPr>
          <w:rFonts w:ascii="Book Antiqua" w:hAnsi="Book Antiqua" w:cs="Arial"/>
        </w:rPr>
        <w:t xml:space="preserve"> including the oral evidence given by Mr McDonald. It could not be safely said that it was immaterial in the sense that, had the judge considered that evidence, she would inevitably have reached the same conclusion. </w:t>
      </w:r>
      <w:r w:rsidR="006E4615" w:rsidRPr="003A2E8A">
        <w:rPr>
          <w:rFonts w:ascii="Book Antiqua" w:hAnsi="Book Antiqua" w:cs="Arial"/>
        </w:rPr>
        <w:t>The Upper Tribunal was additionally satisfied that the judge erred in law by failing to make any findings in respect of the article 8 aspect of the appeal or to reach any conclusions in respect of the article 8 claim.</w:t>
      </w:r>
    </w:p>
    <w:p w:rsidR="006E4615" w:rsidRPr="006E4615" w:rsidRDefault="006E4615" w:rsidP="006E4615">
      <w:pPr>
        <w:jc w:val="both"/>
        <w:rPr>
          <w:rFonts w:ascii="Book Antiqua" w:hAnsi="Book Antiqua" w:cs="Arial"/>
        </w:rPr>
      </w:pPr>
    </w:p>
    <w:p w:rsidR="00960ACE" w:rsidRPr="00960ACE" w:rsidRDefault="00960ACE" w:rsidP="00960ACE">
      <w:pPr>
        <w:numPr>
          <w:ilvl w:val="0"/>
          <w:numId w:val="1"/>
        </w:numPr>
        <w:jc w:val="both"/>
        <w:rPr>
          <w:rFonts w:ascii="Book Antiqua" w:hAnsi="Book Antiqua" w:cs="Arial"/>
        </w:rPr>
      </w:pPr>
      <w:r>
        <w:rPr>
          <w:rFonts w:ascii="Book Antiqua" w:hAnsi="Book Antiqua" w:cs="Arial"/>
        </w:rPr>
        <w:t xml:space="preserve">The </w:t>
      </w:r>
      <w:r w:rsidRPr="00960ACE">
        <w:rPr>
          <w:rFonts w:ascii="Book Antiqua" w:hAnsi="Book Antiqua" w:cs="Arial"/>
        </w:rPr>
        <w:t xml:space="preserve">rehearing of the appeal was adjourned to enable further evidence to be provided in respect of </w:t>
      </w:r>
      <w:r w:rsidR="003E7F90">
        <w:rPr>
          <w:rFonts w:ascii="Book Antiqua" w:hAnsi="Book Antiqua" w:cs="Arial"/>
        </w:rPr>
        <w:t xml:space="preserve">the </w:t>
      </w:r>
      <w:r w:rsidRPr="00960ACE">
        <w:rPr>
          <w:rFonts w:ascii="Book Antiqua" w:hAnsi="Book Antiqua" w:cs="Arial"/>
        </w:rPr>
        <w:t>article 8 appeal and the certification under s.72 of the 2002 Act.</w:t>
      </w:r>
      <w:r>
        <w:rPr>
          <w:rFonts w:ascii="Book Antiqua" w:hAnsi="Book Antiqua" w:cs="Arial"/>
        </w:rPr>
        <w:t xml:space="preserve"> The resumed hearing was listed for 10 April 2018. On that date I drew the parties’ attention to the absence of any consideration by the First-tier Tribunal of the respondent’s decision to cease the appellant’s refugee status</w:t>
      </w:r>
      <w:r w:rsidR="003A2E8A">
        <w:rPr>
          <w:rFonts w:ascii="Book Antiqua" w:hAnsi="Book Antiqua" w:cs="Arial"/>
        </w:rPr>
        <w:t xml:space="preserve"> under paragraph 339A of the immigration rules, by reference to Article 1C(5) of the Refugee Convention</w:t>
      </w:r>
      <w:r>
        <w:rPr>
          <w:rFonts w:ascii="Book Antiqua" w:hAnsi="Book Antiqua" w:cs="Arial"/>
        </w:rPr>
        <w:t>. The case was adjourned to enable the respondent to produce a skeleton argument in respect of his position on</w:t>
      </w:r>
      <w:r w:rsidR="003A2E8A">
        <w:rPr>
          <w:rFonts w:ascii="Book Antiqua" w:hAnsi="Book Antiqua" w:cs="Arial"/>
        </w:rPr>
        <w:t xml:space="preserve"> the</w:t>
      </w:r>
      <w:r>
        <w:rPr>
          <w:rFonts w:ascii="Book Antiqua" w:hAnsi="Book Antiqua" w:cs="Arial"/>
        </w:rPr>
        <w:t xml:space="preserve"> cessation of refugee status. </w:t>
      </w:r>
      <w:r w:rsidR="003A2E8A">
        <w:rPr>
          <w:rFonts w:ascii="Book Antiqua" w:hAnsi="Book Antiqua" w:cs="Arial"/>
        </w:rPr>
        <w:t>Just p</w:t>
      </w:r>
      <w:r w:rsidRPr="00960ACE">
        <w:rPr>
          <w:rFonts w:ascii="Book Antiqua" w:hAnsi="Book Antiqua" w:cs="Arial"/>
        </w:rPr>
        <w:t>rior to</w:t>
      </w:r>
      <w:r w:rsidR="003A2E8A">
        <w:rPr>
          <w:rFonts w:ascii="Book Antiqua" w:hAnsi="Book Antiqua" w:cs="Arial"/>
        </w:rPr>
        <w:t xml:space="preserve"> the adjourned</w:t>
      </w:r>
      <w:r w:rsidRPr="00960ACE">
        <w:rPr>
          <w:rFonts w:ascii="Book Antiqua" w:hAnsi="Book Antiqua" w:cs="Arial"/>
        </w:rPr>
        <w:t xml:space="preserve"> hearing</w:t>
      </w:r>
      <w:r w:rsidR="003A2E8A">
        <w:rPr>
          <w:rFonts w:ascii="Book Antiqua" w:hAnsi="Book Antiqua" w:cs="Arial"/>
        </w:rPr>
        <w:t xml:space="preserve">, now listed for 14 May 2018, </w:t>
      </w:r>
      <w:r w:rsidRPr="00960ACE">
        <w:rPr>
          <w:rFonts w:ascii="Book Antiqua" w:hAnsi="Book Antiqua" w:cs="Arial"/>
        </w:rPr>
        <w:t xml:space="preserve">Mr Bramble indicated that the respondent will not be pursuing cessation of the appellant’s refugee status </w:t>
      </w:r>
      <w:r w:rsidR="003A2E8A">
        <w:rPr>
          <w:rFonts w:ascii="Book Antiqua" w:hAnsi="Book Antiqua" w:cs="Arial"/>
        </w:rPr>
        <w:t>given</w:t>
      </w:r>
      <w:r w:rsidRPr="00960ACE">
        <w:rPr>
          <w:rFonts w:ascii="Book Antiqua" w:hAnsi="Book Antiqua" w:cs="Arial"/>
        </w:rPr>
        <w:t xml:space="preserve"> the now unchallenged finding by the First-tier Tribunal that he would be exposed to a real risk of serious ill-t</w:t>
      </w:r>
      <w:r w:rsidR="0018178A">
        <w:rPr>
          <w:rFonts w:ascii="Book Antiqua" w:hAnsi="Book Antiqua" w:cs="Arial"/>
        </w:rPr>
        <w:t>reatment if removed to Eritrea.</w:t>
      </w:r>
      <w:r w:rsidRPr="00960ACE">
        <w:rPr>
          <w:rFonts w:ascii="Book Antiqua" w:hAnsi="Book Antiqua" w:cs="Arial"/>
        </w:rPr>
        <w:t xml:space="preserve"> </w:t>
      </w:r>
      <w:r w:rsidR="003A2E8A">
        <w:rPr>
          <w:rFonts w:ascii="Book Antiqua" w:hAnsi="Book Antiqua" w:cs="Arial"/>
        </w:rPr>
        <w:t xml:space="preserve">The principle issues now in contention are the s.72 certification and the article 8 claim. </w:t>
      </w:r>
    </w:p>
    <w:p w:rsidR="003E7F90" w:rsidRPr="00960ACE" w:rsidRDefault="003E7F90" w:rsidP="006E4615">
      <w:pPr>
        <w:jc w:val="both"/>
        <w:rPr>
          <w:rFonts w:ascii="Book Antiqua" w:hAnsi="Book Antiqua" w:cs="Arial"/>
        </w:rPr>
      </w:pPr>
    </w:p>
    <w:p w:rsidR="00031D21" w:rsidRPr="00031D21" w:rsidRDefault="00031D21" w:rsidP="00847259">
      <w:pPr>
        <w:ind w:left="567" w:hanging="567"/>
        <w:jc w:val="both"/>
        <w:rPr>
          <w:rFonts w:ascii="Book Antiqua" w:hAnsi="Book Antiqua" w:cs="Arial"/>
          <w:b/>
        </w:rPr>
      </w:pPr>
      <w:r w:rsidRPr="00031D21">
        <w:rPr>
          <w:rFonts w:ascii="Book Antiqua" w:hAnsi="Book Antiqua" w:cs="Arial"/>
          <w:b/>
        </w:rPr>
        <w:t xml:space="preserve">Background </w:t>
      </w:r>
    </w:p>
    <w:p w:rsidR="00A668A6" w:rsidRDefault="00A668A6" w:rsidP="00847259">
      <w:pPr>
        <w:ind w:left="567" w:hanging="567"/>
        <w:jc w:val="both"/>
        <w:rPr>
          <w:rFonts w:ascii="Book Antiqua" w:hAnsi="Book Antiqua" w:cs="Arial"/>
        </w:rPr>
      </w:pPr>
    </w:p>
    <w:p w:rsidR="00A668A6" w:rsidRDefault="00A668A6" w:rsidP="00F2297B">
      <w:pPr>
        <w:numPr>
          <w:ilvl w:val="0"/>
          <w:numId w:val="1"/>
        </w:numPr>
        <w:jc w:val="both"/>
        <w:rPr>
          <w:rFonts w:ascii="Book Antiqua" w:hAnsi="Book Antiqua" w:cs="Arial"/>
        </w:rPr>
      </w:pPr>
      <w:r>
        <w:rPr>
          <w:rFonts w:ascii="Book Antiqua" w:hAnsi="Book Antiqua" w:cs="Arial"/>
        </w:rPr>
        <w:t>The appellant is a national of Eritrea</w:t>
      </w:r>
      <w:r w:rsidR="00D43FED">
        <w:rPr>
          <w:rFonts w:ascii="Book Antiqua" w:hAnsi="Book Antiqua" w:cs="Arial"/>
        </w:rPr>
        <w:t>.</w:t>
      </w:r>
      <w:r w:rsidR="0032301C">
        <w:rPr>
          <w:rFonts w:ascii="Book Antiqua" w:hAnsi="Book Antiqua" w:cs="Arial"/>
        </w:rPr>
        <w:t xml:space="preserve"> He was born in </w:t>
      </w:r>
      <w:proofErr w:type="spellStart"/>
      <w:r w:rsidR="0032301C">
        <w:rPr>
          <w:rFonts w:ascii="Book Antiqua" w:hAnsi="Book Antiqua" w:cs="Arial"/>
        </w:rPr>
        <w:t>Teseney</w:t>
      </w:r>
      <w:proofErr w:type="spellEnd"/>
      <w:r w:rsidR="0032301C">
        <w:rPr>
          <w:rFonts w:ascii="Book Antiqua" w:hAnsi="Book Antiqua" w:cs="Arial"/>
        </w:rPr>
        <w:t xml:space="preserve">, which is now in Eritrea although it was </w:t>
      </w:r>
      <w:r w:rsidR="0018178A">
        <w:rPr>
          <w:rFonts w:ascii="Book Antiqua" w:hAnsi="Book Antiqua" w:cs="Arial"/>
        </w:rPr>
        <w:t xml:space="preserve">then </w:t>
      </w:r>
      <w:r w:rsidR="0032301C">
        <w:rPr>
          <w:rFonts w:ascii="Book Antiqua" w:hAnsi="Book Antiqua" w:cs="Arial"/>
        </w:rPr>
        <w:t>part of Ethiopia.</w:t>
      </w:r>
      <w:r w:rsidR="00D43FED">
        <w:rPr>
          <w:rFonts w:ascii="Book Antiqua" w:hAnsi="Book Antiqua" w:cs="Arial"/>
        </w:rPr>
        <w:t xml:space="preserve"> </w:t>
      </w:r>
      <w:r w:rsidR="00C432B4">
        <w:rPr>
          <w:rFonts w:ascii="Book Antiqua" w:hAnsi="Book Antiqua" w:cs="Arial"/>
        </w:rPr>
        <w:t>There remains uncertainty as to his date of birth. The respondent has recorded a number of different dates of birth for the appellant, and the most recent decision attribute</w:t>
      </w:r>
      <w:r w:rsidR="00D43FED">
        <w:rPr>
          <w:rFonts w:ascii="Book Antiqua" w:hAnsi="Book Antiqua" w:cs="Arial"/>
        </w:rPr>
        <w:t>d</w:t>
      </w:r>
      <w:r w:rsidR="00C432B4">
        <w:rPr>
          <w:rFonts w:ascii="Book Antiqua" w:hAnsi="Book Antiqua" w:cs="Arial"/>
        </w:rPr>
        <w:t xml:space="preserve"> 10 August 1976 as his date of birth. The appellant’s representative </w:t>
      </w:r>
      <w:r w:rsidR="00031D21">
        <w:rPr>
          <w:rFonts w:ascii="Book Antiqua" w:hAnsi="Book Antiqua" w:cs="Arial"/>
        </w:rPr>
        <w:t>in the ‘error of law’ hearing</w:t>
      </w:r>
      <w:r w:rsidR="00C432B4">
        <w:rPr>
          <w:rFonts w:ascii="Book Antiqua" w:hAnsi="Book Antiqua" w:cs="Arial"/>
        </w:rPr>
        <w:t>, Ms Braganza, maintained that his true date of birth was 10 August 1982</w:t>
      </w:r>
      <w:r w:rsidR="004D7BD5">
        <w:rPr>
          <w:rFonts w:ascii="Book Antiqua" w:hAnsi="Book Antiqua" w:cs="Arial"/>
        </w:rPr>
        <w:t xml:space="preserve"> and that the other date </w:t>
      </w:r>
      <w:r w:rsidR="004D7BD5">
        <w:rPr>
          <w:rFonts w:ascii="Book Antiqua" w:hAnsi="Book Antiqua" w:cs="Arial"/>
        </w:rPr>
        <w:lastRenderedPageBreak/>
        <w:t>of birth was the result of a stake in transposing the Ethiopian calendar into the Gregorian calendar</w:t>
      </w:r>
      <w:r w:rsidR="00C432B4">
        <w:rPr>
          <w:rFonts w:ascii="Book Antiqua" w:hAnsi="Book Antiqua" w:cs="Arial"/>
        </w:rPr>
        <w:t>.</w:t>
      </w:r>
      <w:r>
        <w:rPr>
          <w:rFonts w:ascii="Book Antiqua" w:hAnsi="Book Antiqua" w:cs="Arial"/>
        </w:rPr>
        <w:t xml:space="preserve"> </w:t>
      </w:r>
      <w:r w:rsidR="0018178A">
        <w:rPr>
          <w:rFonts w:ascii="Book Antiqua" w:hAnsi="Book Antiqua" w:cs="Arial"/>
        </w:rPr>
        <w:t xml:space="preserve">This was maintained at the remade hearing. </w:t>
      </w:r>
      <w:r w:rsidR="004D7BD5">
        <w:rPr>
          <w:rFonts w:ascii="Book Antiqua" w:hAnsi="Book Antiqua" w:cs="Arial"/>
        </w:rPr>
        <w:t xml:space="preserve">There is insufficient evidence before me to enable me to determine the appellant’s actual date of birth. </w:t>
      </w:r>
      <w:r>
        <w:rPr>
          <w:rFonts w:ascii="Book Antiqua" w:hAnsi="Book Antiqua" w:cs="Arial"/>
        </w:rPr>
        <w:t>He entered the United Kingdom on or around 12</w:t>
      </w:r>
      <w:r w:rsidR="00F4480D">
        <w:rPr>
          <w:rFonts w:ascii="Book Antiqua" w:hAnsi="Book Antiqua" w:cs="Arial"/>
        </w:rPr>
        <w:t xml:space="preserve"> or </w:t>
      </w:r>
      <w:r w:rsidR="00D43FED">
        <w:rPr>
          <w:rFonts w:ascii="Book Antiqua" w:hAnsi="Book Antiqua" w:cs="Arial"/>
        </w:rPr>
        <w:t>15 November 1990.</w:t>
      </w:r>
      <w:r>
        <w:rPr>
          <w:rFonts w:ascii="Book Antiqua" w:hAnsi="Book Antiqua" w:cs="Arial"/>
        </w:rPr>
        <w:t xml:space="preserve"> He was granted refugee status </w:t>
      </w:r>
      <w:r w:rsidR="00E57C1B">
        <w:rPr>
          <w:rFonts w:ascii="Book Antiqua" w:hAnsi="Book Antiqua" w:cs="Arial"/>
        </w:rPr>
        <w:t>on 5 January</w:t>
      </w:r>
      <w:r>
        <w:rPr>
          <w:rFonts w:ascii="Book Antiqua" w:hAnsi="Book Antiqua" w:cs="Arial"/>
        </w:rPr>
        <w:t xml:space="preserve"> 1991</w:t>
      </w:r>
      <w:r w:rsidR="00E57C1B">
        <w:rPr>
          <w:rFonts w:ascii="Book Antiqua" w:hAnsi="Book Antiqua" w:cs="Arial"/>
        </w:rPr>
        <w:t xml:space="preserve"> with accompanying leave to remain,</w:t>
      </w:r>
      <w:r>
        <w:rPr>
          <w:rFonts w:ascii="Book Antiqua" w:hAnsi="Book Antiqua" w:cs="Arial"/>
        </w:rPr>
        <w:t xml:space="preserve"> and in December 1993 he was granted indefinite leave to remain as a refugee.  </w:t>
      </w:r>
    </w:p>
    <w:p w:rsidR="00A668A6" w:rsidRDefault="00A668A6" w:rsidP="00847259">
      <w:pPr>
        <w:ind w:left="567" w:hanging="567"/>
        <w:jc w:val="both"/>
        <w:rPr>
          <w:rFonts w:ascii="Book Antiqua" w:hAnsi="Book Antiqua" w:cs="Arial"/>
        </w:rPr>
      </w:pPr>
    </w:p>
    <w:p w:rsidR="00985E3E" w:rsidRPr="00985E3E" w:rsidRDefault="00E24648" w:rsidP="00985E3E">
      <w:pPr>
        <w:numPr>
          <w:ilvl w:val="0"/>
          <w:numId w:val="1"/>
        </w:numPr>
        <w:jc w:val="both"/>
        <w:rPr>
          <w:rFonts w:ascii="Book Antiqua" w:hAnsi="Book Antiqua" w:cs="Arial"/>
        </w:rPr>
      </w:pPr>
      <w:r>
        <w:rPr>
          <w:rFonts w:ascii="Book Antiqua" w:hAnsi="Book Antiqua" w:cs="Arial"/>
        </w:rPr>
        <w:t>T</w:t>
      </w:r>
      <w:r w:rsidR="00A668A6">
        <w:rPr>
          <w:rFonts w:ascii="Book Antiqua" w:hAnsi="Book Antiqua" w:cs="Arial"/>
        </w:rPr>
        <w:t xml:space="preserve">he appellant </w:t>
      </w:r>
      <w:r>
        <w:rPr>
          <w:rFonts w:ascii="Book Antiqua" w:hAnsi="Book Antiqua" w:cs="Arial"/>
        </w:rPr>
        <w:t xml:space="preserve">has been </w:t>
      </w:r>
      <w:r w:rsidR="00A668A6">
        <w:rPr>
          <w:rFonts w:ascii="Book Antiqua" w:hAnsi="Book Antiqua" w:cs="Arial"/>
        </w:rPr>
        <w:t xml:space="preserve">convicted of criminal offences on 28 occasions in respect of 45 different offences </w:t>
      </w:r>
      <w:r w:rsidR="003E7F90">
        <w:rPr>
          <w:rFonts w:ascii="Book Antiqua" w:hAnsi="Book Antiqua" w:cs="Arial"/>
        </w:rPr>
        <w:t>including</w:t>
      </w:r>
      <w:r w:rsidR="00A668A6">
        <w:rPr>
          <w:rFonts w:ascii="Book Antiqua" w:hAnsi="Book Antiqua" w:cs="Arial"/>
        </w:rPr>
        <w:t xml:space="preserve">, </w:t>
      </w:r>
      <w:r w:rsidR="00A668A6" w:rsidRPr="00CA32BF">
        <w:rPr>
          <w:rFonts w:ascii="Book Antiqua" w:hAnsi="Book Antiqua" w:cs="Arial"/>
          <w:i/>
        </w:rPr>
        <w:t>inter alia</w:t>
      </w:r>
      <w:r w:rsidR="00A668A6">
        <w:rPr>
          <w:rFonts w:ascii="Book Antiqua" w:hAnsi="Book Antiqua" w:cs="Arial"/>
        </w:rPr>
        <w:t xml:space="preserve">, offences against the person, </w:t>
      </w:r>
      <w:r>
        <w:rPr>
          <w:rFonts w:ascii="Book Antiqua" w:hAnsi="Book Antiqua" w:cs="Arial"/>
        </w:rPr>
        <w:t xml:space="preserve">offences against </w:t>
      </w:r>
      <w:r w:rsidR="00A668A6">
        <w:rPr>
          <w:rFonts w:ascii="Book Antiqua" w:hAnsi="Book Antiqua" w:cs="Arial"/>
        </w:rPr>
        <w:t>property, theft related offences, public order offences and drug related offe</w:t>
      </w:r>
      <w:r w:rsidR="001E57A8">
        <w:rPr>
          <w:rFonts w:ascii="Book Antiqua" w:hAnsi="Book Antiqua" w:cs="Arial"/>
        </w:rPr>
        <w:t>nces.</w:t>
      </w:r>
      <w:r w:rsidR="00D43FED">
        <w:rPr>
          <w:rFonts w:ascii="Book Antiqua" w:hAnsi="Book Antiqua" w:cs="Arial"/>
        </w:rPr>
        <w:t xml:space="preserve"> </w:t>
      </w:r>
      <w:r w:rsidR="006C2924">
        <w:rPr>
          <w:rFonts w:ascii="Book Antiqua" w:hAnsi="Book Antiqua" w:cs="Arial"/>
        </w:rPr>
        <w:t>In his decision dated 19 January 2017 the respondent set out the details of the appellant’s criminality (paragraphs 4 to 16), which included 4 weeks detention in a Young Offenders Institution for shoplifting in August 2002, 3 years detention in a Young Offenders Institution for att</w:t>
      </w:r>
      <w:r w:rsidR="003E7F90">
        <w:rPr>
          <w:rFonts w:ascii="Book Antiqua" w:hAnsi="Book Antiqua" w:cs="Arial"/>
        </w:rPr>
        <w:t>empted robbery in November 2003</w:t>
      </w:r>
      <w:r w:rsidR="006C2924">
        <w:rPr>
          <w:rFonts w:ascii="Book Antiqua" w:hAnsi="Book Antiqua" w:cs="Arial"/>
        </w:rPr>
        <w:t xml:space="preserve">, 30 months’ imprisonment for robbery in December 2005, 56 days imprisonment in 2009 for using threatening, abusive, insulting words or behaviour with intent to cause fear or provocation of violence, 4 months’ imprisonment in August 2009 for battery, 3 weeks imprisonment in June 2010 </w:t>
      </w:r>
      <w:r w:rsidR="003E7F90">
        <w:rPr>
          <w:rFonts w:ascii="Book Antiqua" w:hAnsi="Book Antiqua" w:cs="Arial"/>
        </w:rPr>
        <w:t xml:space="preserve">for </w:t>
      </w:r>
      <w:r w:rsidR="006C2924">
        <w:rPr>
          <w:rFonts w:ascii="Book Antiqua" w:hAnsi="Book Antiqua" w:cs="Arial"/>
        </w:rPr>
        <w:t xml:space="preserve">using threatening, abusive, insulting words or behaviour with intent to cause fear or provocation of violence, and 6 weeks imprisonment in July 2011 for common assault. </w:t>
      </w:r>
      <w:r w:rsidR="00D43FED">
        <w:rPr>
          <w:rFonts w:ascii="Book Antiqua" w:hAnsi="Book Antiqua" w:cs="Arial"/>
        </w:rPr>
        <w:t xml:space="preserve">The trigger offence </w:t>
      </w:r>
      <w:r w:rsidR="00031D21">
        <w:rPr>
          <w:rFonts w:ascii="Book Antiqua" w:hAnsi="Book Antiqua" w:cs="Arial"/>
        </w:rPr>
        <w:t>leading to</w:t>
      </w:r>
      <w:r w:rsidR="00D43FED">
        <w:rPr>
          <w:rFonts w:ascii="Book Antiqua" w:hAnsi="Book Antiqua" w:cs="Arial"/>
        </w:rPr>
        <w:t xml:space="preserve"> the</w:t>
      </w:r>
      <w:r w:rsidR="00A668A6">
        <w:rPr>
          <w:rFonts w:ascii="Book Antiqua" w:hAnsi="Book Antiqua" w:cs="Arial"/>
        </w:rPr>
        <w:t xml:space="preserve"> decision to refuse </w:t>
      </w:r>
      <w:r w:rsidR="00031D21">
        <w:rPr>
          <w:rFonts w:ascii="Book Antiqua" w:hAnsi="Book Antiqua" w:cs="Arial"/>
        </w:rPr>
        <w:t>his</w:t>
      </w:r>
      <w:r w:rsidR="003E7F90">
        <w:rPr>
          <w:rFonts w:ascii="Book Antiqua" w:hAnsi="Book Antiqua" w:cs="Arial"/>
        </w:rPr>
        <w:t xml:space="preserve"> protection and</w:t>
      </w:r>
      <w:r w:rsidR="00A668A6">
        <w:rPr>
          <w:rFonts w:ascii="Book Antiqua" w:hAnsi="Book Antiqua" w:cs="Arial"/>
        </w:rPr>
        <w:t xml:space="preserve"> human rights claim</w:t>
      </w:r>
      <w:r w:rsidR="003E7F90">
        <w:rPr>
          <w:rFonts w:ascii="Book Antiqua" w:hAnsi="Book Antiqua" w:cs="Arial"/>
        </w:rPr>
        <w:t>s</w:t>
      </w:r>
      <w:r w:rsidR="00A668A6">
        <w:rPr>
          <w:rFonts w:ascii="Book Antiqua" w:hAnsi="Book Antiqua" w:cs="Arial"/>
        </w:rPr>
        <w:t xml:space="preserve"> and</w:t>
      </w:r>
      <w:r w:rsidR="00031D21">
        <w:rPr>
          <w:rFonts w:ascii="Book Antiqua" w:hAnsi="Book Antiqua" w:cs="Arial"/>
        </w:rPr>
        <w:t xml:space="preserve"> to</w:t>
      </w:r>
      <w:r w:rsidR="00A668A6">
        <w:rPr>
          <w:rFonts w:ascii="Book Antiqua" w:hAnsi="Book Antiqua" w:cs="Arial"/>
        </w:rPr>
        <w:t xml:space="preserve"> make a deportation order occurred on 25 July 2013 when he was convicted of a serious robbery</w:t>
      </w:r>
      <w:r w:rsidR="003E7F90" w:rsidRPr="003E7F90">
        <w:rPr>
          <w:rFonts w:ascii="Book Antiqua" w:hAnsi="Book Antiqua" w:cs="Arial"/>
        </w:rPr>
        <w:t xml:space="preserve"> </w:t>
      </w:r>
      <w:r w:rsidR="003E7F90">
        <w:rPr>
          <w:rFonts w:ascii="Book Antiqua" w:hAnsi="Book Antiqua" w:cs="Arial"/>
        </w:rPr>
        <w:t>that was committed on 29 April 2012</w:t>
      </w:r>
      <w:r w:rsidR="00A668A6">
        <w:rPr>
          <w:rFonts w:ascii="Book Antiqua" w:hAnsi="Book Antiqua" w:cs="Arial"/>
        </w:rPr>
        <w:t xml:space="preserve"> and sentence</w:t>
      </w:r>
      <w:r w:rsidR="00D43FED">
        <w:rPr>
          <w:rFonts w:ascii="Book Antiqua" w:hAnsi="Book Antiqua" w:cs="Arial"/>
        </w:rPr>
        <w:t>d to seven years’ imprisonment.</w:t>
      </w:r>
      <w:r w:rsidR="00A668A6">
        <w:rPr>
          <w:rFonts w:ascii="Book Antiqua" w:hAnsi="Book Antiqua" w:cs="Arial"/>
        </w:rPr>
        <w:t xml:space="preserve"> </w:t>
      </w:r>
      <w:r w:rsidR="00985E3E">
        <w:rPr>
          <w:rFonts w:ascii="Book Antiqua" w:hAnsi="Book Antiqua" w:cs="Arial"/>
        </w:rPr>
        <w:t xml:space="preserve">It is not disputed that the appellant is </w:t>
      </w:r>
      <w:r w:rsidR="00985E3E" w:rsidRPr="00985E3E">
        <w:rPr>
          <w:rFonts w:ascii="Book Antiqua" w:hAnsi="Book Antiqua" w:cs="Arial"/>
        </w:rPr>
        <w:t>an individual subject to Section 32 of the UK Borders Act 2007 as a foreign criminal.</w:t>
      </w:r>
      <w:r w:rsidR="006C2924">
        <w:rPr>
          <w:rFonts w:ascii="Book Antiqua" w:hAnsi="Book Antiqua" w:cs="Arial"/>
        </w:rPr>
        <w:t xml:space="preserve"> Nor is it disputed that he has been convicted of a particularly serious crime</w:t>
      </w:r>
      <w:r w:rsidR="00AC2C5E">
        <w:rPr>
          <w:rFonts w:ascii="Book Antiqua" w:hAnsi="Book Antiqua" w:cs="Arial"/>
        </w:rPr>
        <w:t>.</w:t>
      </w:r>
    </w:p>
    <w:p w:rsidR="00985E3E" w:rsidRDefault="00985E3E" w:rsidP="00AC2C5E">
      <w:pPr>
        <w:pStyle w:val="ListParagraph"/>
        <w:ind w:left="0"/>
        <w:rPr>
          <w:rFonts w:ascii="Book Antiqua" w:hAnsi="Book Antiqua" w:cs="Arial"/>
        </w:rPr>
      </w:pPr>
    </w:p>
    <w:p w:rsidR="002C0234" w:rsidRDefault="00A668A6" w:rsidP="00F2297B">
      <w:pPr>
        <w:numPr>
          <w:ilvl w:val="0"/>
          <w:numId w:val="1"/>
        </w:numPr>
        <w:jc w:val="both"/>
        <w:rPr>
          <w:rFonts w:ascii="Book Antiqua" w:hAnsi="Book Antiqua" w:cs="Arial"/>
        </w:rPr>
      </w:pPr>
      <w:r>
        <w:rPr>
          <w:rFonts w:ascii="Book Antiqua" w:hAnsi="Book Antiqua" w:cs="Arial"/>
        </w:rPr>
        <w:t xml:space="preserve">On 19 January 2017 the respondent </w:t>
      </w:r>
      <w:r w:rsidR="00AC2C5E">
        <w:rPr>
          <w:rFonts w:ascii="Book Antiqua" w:hAnsi="Book Antiqua" w:cs="Arial"/>
        </w:rPr>
        <w:t xml:space="preserve">signed a Deportation Order under section 32(5) of the UK Borders Act 2007, having concluded that section 33 of that Act did not apply. On the same date the respondent </w:t>
      </w:r>
      <w:r>
        <w:rPr>
          <w:rFonts w:ascii="Book Antiqua" w:hAnsi="Book Antiqua" w:cs="Arial"/>
        </w:rPr>
        <w:t>refused the appellant’s protection and human rights claim</w:t>
      </w:r>
      <w:r w:rsidR="00066563">
        <w:rPr>
          <w:rFonts w:ascii="Book Antiqua" w:hAnsi="Book Antiqua" w:cs="Arial"/>
        </w:rPr>
        <w:t>s</w:t>
      </w:r>
      <w:r>
        <w:rPr>
          <w:rFonts w:ascii="Book Antiqua" w:hAnsi="Book Antiqua" w:cs="Arial"/>
        </w:rPr>
        <w:t xml:space="preserve"> and issued </w:t>
      </w:r>
      <w:r w:rsidR="00F4480D">
        <w:rPr>
          <w:rFonts w:ascii="Book Antiqua" w:hAnsi="Book Antiqua" w:cs="Arial"/>
        </w:rPr>
        <w:t xml:space="preserve">a </w:t>
      </w:r>
      <w:r>
        <w:rPr>
          <w:rFonts w:ascii="Book Antiqua" w:hAnsi="Book Antiqua" w:cs="Arial"/>
        </w:rPr>
        <w:t>certificate und</w:t>
      </w:r>
      <w:r w:rsidR="00D43FED">
        <w:rPr>
          <w:rFonts w:ascii="Book Antiqua" w:hAnsi="Book Antiqua" w:cs="Arial"/>
        </w:rPr>
        <w:t xml:space="preserve">er Section 72 of the 2002 Act. </w:t>
      </w:r>
      <w:r>
        <w:rPr>
          <w:rFonts w:ascii="Book Antiqua" w:hAnsi="Book Antiqua" w:cs="Arial"/>
        </w:rPr>
        <w:t xml:space="preserve">The appellant had a right of appeal </w:t>
      </w:r>
      <w:r w:rsidR="002C0234">
        <w:rPr>
          <w:rFonts w:ascii="Book Antiqua" w:hAnsi="Book Antiqua" w:cs="Arial"/>
        </w:rPr>
        <w:t>against the refusal of his protection and human rights claim</w:t>
      </w:r>
      <w:r w:rsidR="00AC2C5E">
        <w:rPr>
          <w:rFonts w:ascii="Book Antiqua" w:hAnsi="Book Antiqua" w:cs="Arial"/>
        </w:rPr>
        <w:t>s under s.82 of the 2002 Act</w:t>
      </w:r>
      <w:r w:rsidR="002C0234">
        <w:rPr>
          <w:rFonts w:ascii="Book Antiqua" w:hAnsi="Book Antiqua" w:cs="Arial"/>
        </w:rPr>
        <w:t xml:space="preserve"> and duly lodged a</w:t>
      </w:r>
      <w:r w:rsidR="00AC2C5E">
        <w:rPr>
          <w:rFonts w:ascii="Book Antiqua" w:hAnsi="Book Antiqua" w:cs="Arial"/>
        </w:rPr>
        <w:t xml:space="preserve"> Notice of Appeal</w:t>
      </w:r>
      <w:r w:rsidR="002C0234">
        <w:rPr>
          <w:rFonts w:ascii="Book Antiqua" w:hAnsi="Book Antiqua" w:cs="Arial"/>
        </w:rPr>
        <w:t xml:space="preserve">.  </w:t>
      </w:r>
    </w:p>
    <w:p w:rsidR="0070181F" w:rsidRDefault="0070181F" w:rsidP="0070181F">
      <w:pPr>
        <w:jc w:val="both"/>
        <w:rPr>
          <w:rFonts w:ascii="Book Antiqua" w:hAnsi="Book Antiqua" w:cs="Arial"/>
        </w:rPr>
      </w:pPr>
    </w:p>
    <w:p w:rsidR="00BB3127" w:rsidRPr="003E7F90" w:rsidRDefault="00562283" w:rsidP="0070181F">
      <w:pPr>
        <w:jc w:val="both"/>
        <w:rPr>
          <w:rFonts w:ascii="Book Antiqua" w:hAnsi="Book Antiqua" w:cs="Arial"/>
          <w:b/>
        </w:rPr>
      </w:pPr>
      <w:r>
        <w:rPr>
          <w:rFonts w:ascii="Book Antiqua" w:hAnsi="Book Antiqua" w:cs="Arial"/>
          <w:b/>
        </w:rPr>
        <w:t xml:space="preserve">The evidence before the Upper Tribunal </w:t>
      </w:r>
    </w:p>
    <w:p w:rsidR="00BB3127" w:rsidRDefault="00BB3127" w:rsidP="003E7F90">
      <w:pPr>
        <w:jc w:val="both"/>
        <w:rPr>
          <w:rFonts w:ascii="Book Antiqua" w:hAnsi="Book Antiqua" w:cs="Arial"/>
        </w:rPr>
      </w:pPr>
    </w:p>
    <w:p w:rsidR="0070181F" w:rsidRDefault="00BB3127" w:rsidP="00BB3127">
      <w:pPr>
        <w:numPr>
          <w:ilvl w:val="0"/>
          <w:numId w:val="1"/>
        </w:numPr>
        <w:jc w:val="both"/>
        <w:rPr>
          <w:rFonts w:ascii="Book Antiqua" w:hAnsi="Book Antiqua" w:cs="Arial"/>
        </w:rPr>
      </w:pPr>
      <w:r>
        <w:rPr>
          <w:rFonts w:ascii="Book Antiqua" w:hAnsi="Book Antiqua" w:cs="Arial"/>
        </w:rPr>
        <w:t xml:space="preserve">I have considered </w:t>
      </w:r>
      <w:r w:rsidR="00596914" w:rsidRPr="00BB3127">
        <w:rPr>
          <w:rFonts w:ascii="Book Antiqua" w:hAnsi="Book Antiqua" w:cs="Arial"/>
        </w:rPr>
        <w:t>the documentary evidence contained in the two bundles of documents relied on by the appellant, the 1</w:t>
      </w:r>
      <w:r w:rsidR="00596914" w:rsidRPr="00BB3127">
        <w:rPr>
          <w:rFonts w:ascii="Book Antiqua" w:hAnsi="Book Antiqua" w:cs="Arial"/>
          <w:vertAlign w:val="superscript"/>
        </w:rPr>
        <w:t>st</w:t>
      </w:r>
      <w:r w:rsidR="00596914" w:rsidRPr="00BB3127">
        <w:rPr>
          <w:rFonts w:ascii="Book Antiqua" w:hAnsi="Book Antiqua" w:cs="Arial"/>
        </w:rPr>
        <w:t xml:space="preserve"> bundle prepared for the First-tier Tribunal hearing on 13 November 2017, the 2</w:t>
      </w:r>
      <w:r w:rsidR="00596914" w:rsidRPr="00BB3127">
        <w:rPr>
          <w:rFonts w:ascii="Book Antiqua" w:hAnsi="Book Antiqua" w:cs="Arial"/>
          <w:vertAlign w:val="superscript"/>
        </w:rPr>
        <w:t>nd</w:t>
      </w:r>
      <w:r w:rsidR="00596914" w:rsidRPr="00BB3127">
        <w:rPr>
          <w:rFonts w:ascii="Book Antiqua" w:hAnsi="Book Antiqua" w:cs="Arial"/>
        </w:rPr>
        <w:t xml:space="preserve"> bundle prepared for the remade Upper Tribunal hearing. </w:t>
      </w:r>
      <w:r>
        <w:rPr>
          <w:rFonts w:ascii="Book Antiqua" w:hAnsi="Book Antiqua" w:cs="Arial"/>
        </w:rPr>
        <w:t>The documents in the 1</w:t>
      </w:r>
      <w:r w:rsidRPr="00BB3127">
        <w:rPr>
          <w:rFonts w:ascii="Book Antiqua" w:hAnsi="Book Antiqua" w:cs="Arial"/>
          <w:vertAlign w:val="superscript"/>
        </w:rPr>
        <w:t>st</w:t>
      </w:r>
      <w:r>
        <w:rPr>
          <w:rFonts w:ascii="Book Antiqua" w:hAnsi="Book Antiqua" w:cs="Arial"/>
        </w:rPr>
        <w:t xml:space="preserve"> bundle include, </w:t>
      </w:r>
      <w:r>
        <w:rPr>
          <w:rFonts w:ascii="Book Antiqua" w:hAnsi="Book Antiqua" w:cs="Arial"/>
          <w:i/>
        </w:rPr>
        <w:t xml:space="preserve">inter </w:t>
      </w:r>
      <w:r w:rsidRPr="003D59B3">
        <w:rPr>
          <w:rFonts w:ascii="Book Antiqua" w:hAnsi="Book Antiqua" w:cs="Arial"/>
          <w:i/>
        </w:rPr>
        <w:t>alia</w:t>
      </w:r>
      <w:r>
        <w:rPr>
          <w:rFonts w:ascii="Book Antiqua" w:hAnsi="Book Antiqua" w:cs="Arial"/>
        </w:rPr>
        <w:t xml:space="preserve">, a witness statement from the appellant dated 6 November 2017, a witness statement from NJ dated 5 November 2017, a witness statement and letter of support from  EK, the appellant’s older sister, a witness statement and letter of support from ATK, the appellant’s younger sister, a witness statement and letter of support from AG, the appellant’s mother, witness statements and letters of support from AK and TK, </w:t>
      </w:r>
      <w:r>
        <w:rPr>
          <w:rFonts w:ascii="Book Antiqua" w:hAnsi="Book Antiqua" w:cs="Arial"/>
        </w:rPr>
        <w:lastRenderedPageBreak/>
        <w:t xml:space="preserve">the appellant’s brothers, various letters of support from Karda </w:t>
      </w:r>
      <w:proofErr w:type="spellStart"/>
      <w:r>
        <w:rPr>
          <w:rFonts w:ascii="Book Antiqua" w:hAnsi="Book Antiqua" w:cs="Arial"/>
        </w:rPr>
        <w:t>Badwah</w:t>
      </w:r>
      <w:proofErr w:type="spellEnd"/>
      <w:r>
        <w:rPr>
          <w:rFonts w:ascii="Book Antiqua" w:hAnsi="Book Antiqua" w:cs="Arial"/>
        </w:rPr>
        <w:t xml:space="preserve">, the appellant’s Offender Manager, an OASys Assessment completed on 23 February 2017, </w:t>
      </w:r>
      <w:r w:rsidR="00A616D2">
        <w:rPr>
          <w:rFonts w:ascii="Book Antiqua" w:hAnsi="Book Antiqua" w:cs="Arial"/>
        </w:rPr>
        <w:t xml:space="preserve">Pre-Sentence Reports dated 5 November 2005 and April 2011, a letter of support dated 20 October 2017 from </w:t>
      </w:r>
      <w:r w:rsidR="003E7F90">
        <w:rPr>
          <w:rFonts w:ascii="Book Antiqua" w:hAnsi="Book Antiqua" w:cs="Arial"/>
        </w:rPr>
        <w:t>Radha Allen, a Service M</w:t>
      </w:r>
      <w:r w:rsidR="00A616D2" w:rsidRPr="00BB3127">
        <w:rPr>
          <w:rFonts w:ascii="Book Antiqua" w:hAnsi="Book Antiqua" w:cs="Arial"/>
        </w:rPr>
        <w:t>anager at ‘</w:t>
      </w:r>
      <w:r w:rsidR="00A616D2">
        <w:rPr>
          <w:rFonts w:ascii="Book Antiqua" w:hAnsi="Book Antiqua" w:cs="Arial"/>
        </w:rPr>
        <w:t>BSAFE</w:t>
      </w:r>
      <w:r w:rsidR="00A616D2" w:rsidRPr="00BB3127">
        <w:rPr>
          <w:rFonts w:ascii="Book Antiqua" w:hAnsi="Book Antiqua" w:cs="Arial"/>
        </w:rPr>
        <w:t>’</w:t>
      </w:r>
      <w:r w:rsidR="00A616D2">
        <w:rPr>
          <w:rFonts w:ascii="Book Antiqua" w:hAnsi="Book Antiqua" w:cs="Arial"/>
        </w:rPr>
        <w:t>, letters of support from</w:t>
      </w:r>
      <w:r w:rsidR="003E7F90">
        <w:rPr>
          <w:rFonts w:ascii="Book Antiqua" w:hAnsi="Book Antiqua" w:cs="Arial"/>
        </w:rPr>
        <w:t xml:space="preserve"> the</w:t>
      </w:r>
      <w:r w:rsidR="00A616D2">
        <w:rPr>
          <w:rFonts w:ascii="Book Antiqua" w:hAnsi="Book Antiqua" w:cs="Arial"/>
        </w:rPr>
        <w:t xml:space="preserve"> Addiction Recovery &amp; Clinical Centre,</w:t>
      </w:r>
      <w:r>
        <w:rPr>
          <w:rFonts w:ascii="Book Antiqua" w:hAnsi="Book Antiqua" w:cs="Arial"/>
        </w:rPr>
        <w:t xml:space="preserve"> </w:t>
      </w:r>
      <w:r w:rsidR="00E008E6">
        <w:rPr>
          <w:rFonts w:ascii="Book Antiqua" w:hAnsi="Book Antiqua" w:cs="Arial"/>
        </w:rPr>
        <w:t xml:space="preserve">a letter of support from Frank McDonald, Support Worker for </w:t>
      </w:r>
      <w:r w:rsidR="003E7F90">
        <w:rPr>
          <w:rFonts w:ascii="Book Antiqua" w:hAnsi="Book Antiqua" w:cs="Arial"/>
        </w:rPr>
        <w:t xml:space="preserve">the </w:t>
      </w:r>
      <w:r w:rsidR="00E008E6">
        <w:rPr>
          <w:rFonts w:ascii="Book Antiqua" w:hAnsi="Book Antiqua" w:cs="Arial"/>
        </w:rPr>
        <w:t xml:space="preserve">Kairos Community Trust dated 26 October 2017, various certificates </w:t>
      </w:r>
      <w:r w:rsidR="003D59B3">
        <w:rPr>
          <w:rFonts w:ascii="Book Antiqua" w:hAnsi="Book Antiqua" w:cs="Arial"/>
        </w:rPr>
        <w:t>awarded to the appellant during his detention including drug and alcohol awareness certificates and certificates relating to substance misuse, and Drug Treatment Post Program review Minutes</w:t>
      </w:r>
      <w:r w:rsidR="003E7F90">
        <w:rPr>
          <w:rFonts w:ascii="Book Antiqua" w:hAnsi="Book Antiqua" w:cs="Arial"/>
        </w:rPr>
        <w:t>,</w:t>
      </w:r>
      <w:r w:rsidR="003D59B3">
        <w:rPr>
          <w:rFonts w:ascii="Book Antiqua" w:hAnsi="Book Antiqua" w:cs="Arial"/>
        </w:rPr>
        <w:t xml:space="preserve"> and mandatory drug test results.</w:t>
      </w:r>
      <w:r>
        <w:rPr>
          <w:rFonts w:ascii="Book Antiqua" w:hAnsi="Book Antiqua" w:cs="Arial"/>
        </w:rPr>
        <w:t xml:space="preserve"> </w:t>
      </w:r>
      <w:r w:rsidR="003D59B3">
        <w:rPr>
          <w:rFonts w:ascii="Book Antiqua" w:hAnsi="Book Antiqua" w:cs="Arial"/>
        </w:rPr>
        <w:t>The 2</w:t>
      </w:r>
      <w:r w:rsidR="003D59B3" w:rsidRPr="003D59B3">
        <w:rPr>
          <w:rFonts w:ascii="Book Antiqua" w:hAnsi="Book Antiqua" w:cs="Arial"/>
          <w:vertAlign w:val="superscript"/>
        </w:rPr>
        <w:t>nd</w:t>
      </w:r>
      <w:r w:rsidR="003D59B3">
        <w:rPr>
          <w:rFonts w:ascii="Book Antiqua" w:hAnsi="Book Antiqua" w:cs="Arial"/>
        </w:rPr>
        <w:t xml:space="preserve"> bundle </w:t>
      </w:r>
      <w:r w:rsidR="003E7F90">
        <w:rPr>
          <w:rFonts w:ascii="Book Antiqua" w:hAnsi="Book Antiqua" w:cs="Arial"/>
        </w:rPr>
        <w:t>include</w:t>
      </w:r>
      <w:r w:rsidR="003D59B3">
        <w:rPr>
          <w:rFonts w:ascii="Book Antiqua" w:hAnsi="Book Antiqua" w:cs="Arial"/>
        </w:rPr>
        <w:t xml:space="preserve"> additional witness statements from the appellant and NJ dated 5 April 2018, further letters of support from, amongst others, Frank McDonald and </w:t>
      </w:r>
      <w:proofErr w:type="spellStart"/>
      <w:r w:rsidR="003D59B3">
        <w:rPr>
          <w:rFonts w:ascii="Book Antiqua" w:hAnsi="Book Antiqua" w:cs="Arial"/>
        </w:rPr>
        <w:t>Karida</w:t>
      </w:r>
      <w:proofErr w:type="spellEnd"/>
      <w:r w:rsidR="003D59B3">
        <w:rPr>
          <w:rFonts w:ascii="Book Antiqua" w:hAnsi="Book Antiqua" w:cs="Arial"/>
        </w:rPr>
        <w:t xml:space="preserve"> </w:t>
      </w:r>
      <w:proofErr w:type="spellStart"/>
      <w:r w:rsidR="003D59B3">
        <w:rPr>
          <w:rFonts w:ascii="Book Antiqua" w:hAnsi="Book Antiqua" w:cs="Arial"/>
        </w:rPr>
        <w:t>Badwah</w:t>
      </w:r>
      <w:proofErr w:type="spellEnd"/>
      <w:r w:rsidR="003D59B3">
        <w:rPr>
          <w:rFonts w:ascii="Book Antiqua" w:hAnsi="Book Antiqua" w:cs="Arial"/>
        </w:rPr>
        <w:t xml:space="preserve">, a further OASys report issued in February 2018, further statements of support from the appellant’s mother and brother AK, and further emails of support from ATK and EK. </w:t>
      </w:r>
      <w:r w:rsidR="00596914" w:rsidRPr="00BB3127">
        <w:rPr>
          <w:rFonts w:ascii="Book Antiqua" w:hAnsi="Book Antiqua" w:cs="Arial"/>
        </w:rPr>
        <w:t>I have additionally considered a skeleton argument prepared by Ms Brown, a 2</w:t>
      </w:r>
      <w:r w:rsidR="00596914" w:rsidRPr="00BB3127">
        <w:rPr>
          <w:rFonts w:ascii="Book Antiqua" w:hAnsi="Book Antiqua" w:cs="Arial"/>
          <w:vertAlign w:val="superscript"/>
        </w:rPr>
        <w:t>nd</w:t>
      </w:r>
      <w:r w:rsidR="00596914" w:rsidRPr="00BB3127">
        <w:rPr>
          <w:rFonts w:ascii="Book Antiqua" w:hAnsi="Book Antiqua" w:cs="Arial"/>
        </w:rPr>
        <w:t xml:space="preserve"> additional witness statement prepared by the appellant’s mother and a 2</w:t>
      </w:r>
      <w:r w:rsidR="00596914" w:rsidRPr="00BB3127">
        <w:rPr>
          <w:rFonts w:ascii="Book Antiqua" w:hAnsi="Book Antiqua" w:cs="Arial"/>
          <w:vertAlign w:val="superscript"/>
        </w:rPr>
        <w:t>nd</w:t>
      </w:r>
      <w:r w:rsidR="00596914" w:rsidRPr="00BB3127">
        <w:rPr>
          <w:rFonts w:ascii="Book Antiqua" w:hAnsi="Book Antiqua" w:cs="Arial"/>
        </w:rPr>
        <w:t xml:space="preserve"> additional wi</w:t>
      </w:r>
      <w:r w:rsidR="003E7F90">
        <w:rPr>
          <w:rFonts w:ascii="Book Antiqua" w:hAnsi="Book Antiqua" w:cs="Arial"/>
        </w:rPr>
        <w:t>tness statement prepared by AK</w:t>
      </w:r>
      <w:r w:rsidR="00596914" w:rsidRPr="00BB3127">
        <w:rPr>
          <w:rFonts w:ascii="Book Antiqua" w:hAnsi="Book Antiqua" w:cs="Arial"/>
        </w:rPr>
        <w:t xml:space="preserve">, and a </w:t>
      </w:r>
      <w:r w:rsidR="003E7F90">
        <w:rPr>
          <w:rFonts w:ascii="Book Antiqua" w:hAnsi="Book Antiqua" w:cs="Arial"/>
        </w:rPr>
        <w:t>further letter from Radha Allen</w:t>
      </w:r>
      <w:r w:rsidR="004E6D32" w:rsidRPr="00BB3127">
        <w:rPr>
          <w:rFonts w:ascii="Book Antiqua" w:hAnsi="Book Antiqua" w:cs="Arial"/>
        </w:rPr>
        <w:t xml:space="preserve">. </w:t>
      </w:r>
    </w:p>
    <w:p w:rsidR="003D59B3" w:rsidRDefault="003D59B3" w:rsidP="003D59B3">
      <w:pPr>
        <w:ind w:left="567"/>
        <w:jc w:val="both"/>
        <w:rPr>
          <w:rFonts w:ascii="Book Antiqua" w:hAnsi="Book Antiqua" w:cs="Arial"/>
        </w:rPr>
      </w:pPr>
    </w:p>
    <w:p w:rsidR="003D59B3" w:rsidRPr="00BB3127" w:rsidRDefault="003D59B3" w:rsidP="00925A1D">
      <w:pPr>
        <w:numPr>
          <w:ilvl w:val="0"/>
          <w:numId w:val="1"/>
        </w:numPr>
        <w:ind w:left="924" w:hanging="357"/>
        <w:jc w:val="both"/>
        <w:rPr>
          <w:rFonts w:ascii="Book Antiqua" w:hAnsi="Book Antiqua" w:cs="Arial"/>
        </w:rPr>
      </w:pPr>
      <w:r>
        <w:rPr>
          <w:rFonts w:ascii="Book Antiqua" w:hAnsi="Book Antiqua" w:cs="Arial"/>
        </w:rPr>
        <w:t xml:space="preserve">At the hearing the appellant gave oral evidence, as did NJ and his sisters ATK and EK. The appellant’s mother had travelled to America and was unable to attend the hearing. I maintained a record of the examination in chief and cross examination of the appellant and his witnesses and have </w:t>
      </w:r>
      <w:r w:rsidR="00D46206">
        <w:rPr>
          <w:rFonts w:ascii="Book Antiqua" w:hAnsi="Book Antiqua" w:cs="Arial"/>
        </w:rPr>
        <w:t>considered</w:t>
      </w:r>
      <w:r>
        <w:rPr>
          <w:rFonts w:ascii="Book Antiqua" w:hAnsi="Book Antiqua" w:cs="Arial"/>
        </w:rPr>
        <w:t xml:space="preserve"> their evidence with care. I will refer to the material elements of the witnesses</w:t>
      </w:r>
      <w:r w:rsidR="00D46206">
        <w:rPr>
          <w:rFonts w:ascii="Book Antiqua" w:hAnsi="Book Antiqua" w:cs="Arial"/>
        </w:rPr>
        <w:t>’</w:t>
      </w:r>
      <w:r>
        <w:rPr>
          <w:rFonts w:ascii="Book Antiqua" w:hAnsi="Book Antiqua" w:cs="Arial"/>
        </w:rPr>
        <w:t xml:space="preserve"> written and oral evidence, and the materi</w:t>
      </w:r>
      <w:r w:rsidR="00D46206">
        <w:rPr>
          <w:rFonts w:ascii="Book Antiqua" w:hAnsi="Book Antiqua" w:cs="Arial"/>
        </w:rPr>
        <w:t>al elements of the documentary evidence</w:t>
      </w:r>
      <w:r>
        <w:rPr>
          <w:rFonts w:ascii="Book Antiqua" w:hAnsi="Book Antiqua" w:cs="Arial"/>
        </w:rPr>
        <w:t xml:space="preserve"> in my assessment</w:t>
      </w:r>
      <w:r w:rsidR="00562283">
        <w:rPr>
          <w:rFonts w:ascii="Book Antiqua" w:hAnsi="Book Antiqua" w:cs="Arial"/>
        </w:rPr>
        <w:t xml:space="preserve"> below</w:t>
      </w:r>
      <w:r>
        <w:rPr>
          <w:rFonts w:ascii="Book Antiqua" w:hAnsi="Book Antiqua" w:cs="Arial"/>
        </w:rPr>
        <w:t>.</w:t>
      </w:r>
    </w:p>
    <w:p w:rsidR="0070181F" w:rsidRPr="0070181F" w:rsidRDefault="0070181F" w:rsidP="0070181F">
      <w:pPr>
        <w:jc w:val="both"/>
        <w:rPr>
          <w:rFonts w:ascii="Book Antiqua" w:hAnsi="Book Antiqua" w:cs="Arial"/>
        </w:rPr>
      </w:pPr>
    </w:p>
    <w:p w:rsidR="0070181F" w:rsidRPr="00F940C1" w:rsidRDefault="0070181F" w:rsidP="0070181F">
      <w:pPr>
        <w:jc w:val="both"/>
        <w:rPr>
          <w:rFonts w:ascii="Book Antiqua" w:hAnsi="Book Antiqua" w:cs="Arial"/>
          <w:b/>
        </w:rPr>
      </w:pPr>
      <w:r w:rsidRPr="00F940C1">
        <w:rPr>
          <w:rFonts w:ascii="Book Antiqua" w:hAnsi="Book Antiqua" w:cs="Arial"/>
          <w:b/>
        </w:rPr>
        <w:t>Legal framework</w:t>
      </w:r>
    </w:p>
    <w:p w:rsidR="00205BA2" w:rsidRPr="0070181F" w:rsidRDefault="00205BA2" w:rsidP="00205BA2">
      <w:pPr>
        <w:jc w:val="both"/>
        <w:rPr>
          <w:rFonts w:ascii="Book Antiqua" w:hAnsi="Book Antiqua" w:cs="Arial"/>
          <w:sz w:val="22"/>
          <w:szCs w:val="22"/>
        </w:rPr>
      </w:pPr>
    </w:p>
    <w:p w:rsidR="00205BA2" w:rsidRPr="00562283" w:rsidRDefault="003D59B3" w:rsidP="003D59B3">
      <w:pPr>
        <w:numPr>
          <w:ilvl w:val="0"/>
          <w:numId w:val="1"/>
        </w:numPr>
        <w:jc w:val="both"/>
        <w:rPr>
          <w:rFonts w:ascii="Book Antiqua" w:hAnsi="Book Antiqua" w:cs="Arial"/>
        </w:rPr>
      </w:pPr>
      <w:r w:rsidRPr="00562283">
        <w:rPr>
          <w:rFonts w:ascii="Book Antiqua" w:hAnsi="Book Antiqua" w:cs="Arial"/>
        </w:rPr>
        <w:t xml:space="preserve">Section 72 of the 2002 Act is headed ‘Serious criminal’. It reads, in material part,  </w:t>
      </w:r>
    </w:p>
    <w:p w:rsidR="00205BA2" w:rsidRPr="0070181F" w:rsidRDefault="00205BA2" w:rsidP="00925A1D">
      <w:pPr>
        <w:pStyle w:val="legclearfix2"/>
        <w:tabs>
          <w:tab w:val="left" w:pos="1701"/>
        </w:tabs>
        <w:spacing w:before="120" w:line="240" w:lineRule="auto"/>
        <w:ind w:left="1134"/>
        <w:jc w:val="both"/>
        <w:rPr>
          <w:rFonts w:ascii="Book Antiqua" w:hAnsi="Book Antiqua"/>
          <w:sz w:val="22"/>
          <w:szCs w:val="22"/>
          <w:lang w:val="en"/>
        </w:rPr>
      </w:pPr>
      <w:r w:rsidRPr="0070181F">
        <w:rPr>
          <w:rStyle w:val="legds3"/>
          <w:rFonts w:ascii="Book Antiqua" w:hAnsi="Book Antiqua"/>
          <w:sz w:val="22"/>
          <w:szCs w:val="22"/>
          <w:lang w:val="en"/>
          <w:specVanish w:val="0"/>
        </w:rPr>
        <w:t>(</w:t>
      </w:r>
      <w:r w:rsidR="00562283" w:rsidRPr="0070181F">
        <w:rPr>
          <w:rStyle w:val="legds3"/>
          <w:rFonts w:ascii="Book Antiqua" w:hAnsi="Book Antiqua"/>
          <w:sz w:val="22"/>
          <w:szCs w:val="22"/>
          <w:lang w:val="en"/>
          <w:specVanish w:val="0"/>
        </w:rPr>
        <w:t>1)</w:t>
      </w:r>
      <w:r w:rsidR="00925A1D">
        <w:rPr>
          <w:rFonts w:ascii="Book Antiqua" w:hAnsi="Book Antiqua"/>
          <w:sz w:val="22"/>
          <w:szCs w:val="22"/>
          <w:lang w:val="en"/>
        </w:rPr>
        <w:tab/>
      </w:r>
      <w:r w:rsidR="00562283" w:rsidRPr="0070181F">
        <w:rPr>
          <w:rFonts w:ascii="Book Antiqua" w:hAnsi="Book Antiqua"/>
          <w:sz w:val="22"/>
          <w:szCs w:val="22"/>
          <w:lang w:val="en"/>
        </w:rPr>
        <w:t>This</w:t>
      </w:r>
      <w:r w:rsidRPr="0070181F">
        <w:rPr>
          <w:rFonts w:ascii="Book Antiqua" w:hAnsi="Book Antiqua"/>
          <w:sz w:val="22"/>
          <w:szCs w:val="22"/>
          <w:lang w:val="en"/>
        </w:rPr>
        <w:t xml:space="preserve"> section applies for the purpose of the construction and application of Article 33(2) of the Refugee Convention (exclusion from protection).</w:t>
      </w:r>
    </w:p>
    <w:p w:rsidR="00205BA2" w:rsidRPr="0070181F" w:rsidRDefault="00205BA2" w:rsidP="00925A1D">
      <w:pPr>
        <w:pStyle w:val="legclearfix2"/>
        <w:tabs>
          <w:tab w:val="left" w:pos="1701"/>
        </w:tabs>
        <w:spacing w:before="120" w:line="240" w:lineRule="auto"/>
        <w:ind w:left="1134"/>
        <w:jc w:val="both"/>
        <w:rPr>
          <w:rFonts w:ascii="Book Antiqua" w:hAnsi="Book Antiqua"/>
          <w:sz w:val="22"/>
          <w:szCs w:val="22"/>
          <w:lang w:val="en"/>
        </w:rPr>
      </w:pPr>
      <w:r w:rsidRPr="0070181F">
        <w:rPr>
          <w:rFonts w:ascii="Book Antiqua" w:hAnsi="Book Antiqua"/>
          <w:sz w:val="22"/>
          <w:szCs w:val="22"/>
          <w:lang w:val="en"/>
        </w:rPr>
        <w:t>(</w:t>
      </w:r>
      <w:r w:rsidR="00562283" w:rsidRPr="0070181F">
        <w:rPr>
          <w:rFonts w:ascii="Book Antiqua" w:hAnsi="Book Antiqua"/>
          <w:sz w:val="22"/>
          <w:szCs w:val="22"/>
          <w:lang w:val="en"/>
        </w:rPr>
        <w:t>2)</w:t>
      </w:r>
      <w:r w:rsidR="00925A1D">
        <w:rPr>
          <w:rFonts w:ascii="Book Antiqua" w:hAnsi="Book Antiqua"/>
          <w:sz w:val="22"/>
          <w:szCs w:val="22"/>
          <w:lang w:val="en"/>
        </w:rPr>
        <w:tab/>
      </w:r>
      <w:r w:rsidR="00562283" w:rsidRPr="0070181F">
        <w:rPr>
          <w:rFonts w:ascii="Book Antiqua" w:hAnsi="Book Antiqua"/>
          <w:sz w:val="22"/>
          <w:szCs w:val="22"/>
          <w:lang w:val="en"/>
        </w:rPr>
        <w:t>A</w:t>
      </w:r>
      <w:r w:rsidRPr="0070181F">
        <w:rPr>
          <w:rFonts w:ascii="Book Antiqua" w:hAnsi="Book Antiqua"/>
          <w:sz w:val="22"/>
          <w:szCs w:val="22"/>
          <w:lang w:val="en"/>
        </w:rPr>
        <w:t xml:space="preserve"> person shall be presumed to have been convicted by a final judgment of a particularly serious crime and to constitute a danger to the community of the United Kingdom if he is—</w:t>
      </w:r>
    </w:p>
    <w:p w:rsidR="00205BA2" w:rsidRPr="0070181F" w:rsidRDefault="00205BA2" w:rsidP="00925A1D">
      <w:pPr>
        <w:pStyle w:val="legclearfix2"/>
        <w:tabs>
          <w:tab w:val="left" w:pos="2268"/>
        </w:tabs>
        <w:spacing w:before="120" w:line="240" w:lineRule="auto"/>
        <w:ind w:left="1701"/>
        <w:jc w:val="both"/>
        <w:rPr>
          <w:rFonts w:ascii="Book Antiqua" w:hAnsi="Book Antiqua"/>
          <w:sz w:val="22"/>
          <w:szCs w:val="22"/>
          <w:lang w:val="en"/>
        </w:rPr>
      </w:pPr>
      <w:r w:rsidRPr="0070181F">
        <w:rPr>
          <w:rStyle w:val="legds3"/>
          <w:rFonts w:ascii="Book Antiqua" w:hAnsi="Book Antiqua"/>
          <w:sz w:val="22"/>
          <w:szCs w:val="22"/>
          <w:lang w:val="en"/>
          <w:specVanish w:val="0"/>
        </w:rPr>
        <w:t>(a)</w:t>
      </w:r>
      <w:r w:rsidR="00925A1D">
        <w:rPr>
          <w:rStyle w:val="legds3"/>
          <w:rFonts w:ascii="Book Antiqua" w:hAnsi="Book Antiqua"/>
          <w:sz w:val="22"/>
          <w:szCs w:val="22"/>
          <w:lang w:val="en"/>
        </w:rPr>
        <w:tab/>
      </w:r>
      <w:r w:rsidRPr="0070181F">
        <w:rPr>
          <w:rFonts w:ascii="Book Antiqua" w:hAnsi="Book Antiqua"/>
          <w:sz w:val="22"/>
          <w:szCs w:val="22"/>
          <w:lang w:val="en"/>
        </w:rPr>
        <w:t>convicted in the United Kingdom of an offence, and</w:t>
      </w:r>
    </w:p>
    <w:p w:rsidR="00205BA2" w:rsidRPr="0070181F" w:rsidRDefault="00205BA2" w:rsidP="00925A1D">
      <w:pPr>
        <w:pStyle w:val="legclearfix2"/>
        <w:tabs>
          <w:tab w:val="left" w:pos="2268"/>
        </w:tabs>
        <w:spacing w:before="120" w:line="240" w:lineRule="auto"/>
        <w:ind w:left="1701"/>
        <w:jc w:val="both"/>
        <w:rPr>
          <w:rFonts w:ascii="Book Antiqua" w:hAnsi="Book Antiqua"/>
          <w:sz w:val="22"/>
          <w:szCs w:val="22"/>
          <w:lang w:val="en"/>
        </w:rPr>
      </w:pPr>
      <w:r w:rsidRPr="0070181F">
        <w:rPr>
          <w:rFonts w:ascii="Book Antiqua" w:hAnsi="Book Antiqua"/>
          <w:sz w:val="22"/>
          <w:szCs w:val="22"/>
          <w:lang w:val="en"/>
        </w:rPr>
        <w:t>(b)</w:t>
      </w:r>
      <w:r w:rsidR="00925A1D">
        <w:rPr>
          <w:rFonts w:ascii="Book Antiqua" w:hAnsi="Book Antiqua"/>
          <w:sz w:val="22"/>
          <w:szCs w:val="22"/>
          <w:lang w:val="en"/>
        </w:rPr>
        <w:tab/>
      </w:r>
      <w:r w:rsidRPr="0070181F">
        <w:rPr>
          <w:rFonts w:ascii="Book Antiqua" w:hAnsi="Book Antiqua"/>
          <w:sz w:val="22"/>
          <w:szCs w:val="22"/>
          <w:lang w:val="en"/>
        </w:rPr>
        <w:t>sentenced to a period of imprisonment of at least two years.</w:t>
      </w:r>
    </w:p>
    <w:p w:rsidR="00205BA2" w:rsidRPr="0070181F" w:rsidRDefault="00205BA2" w:rsidP="00925A1D">
      <w:pPr>
        <w:tabs>
          <w:tab w:val="left" w:pos="1701"/>
        </w:tabs>
        <w:spacing w:before="120" w:after="120"/>
        <w:ind w:left="1134"/>
        <w:jc w:val="both"/>
        <w:rPr>
          <w:rFonts w:ascii="Book Antiqua" w:hAnsi="Book Antiqua" w:cs="Arial"/>
          <w:sz w:val="22"/>
          <w:szCs w:val="22"/>
        </w:rPr>
      </w:pPr>
      <w:r w:rsidRPr="0070181F">
        <w:rPr>
          <w:rFonts w:ascii="Book Antiqua" w:hAnsi="Book Antiqua" w:cs="Arial"/>
          <w:sz w:val="22"/>
          <w:szCs w:val="22"/>
        </w:rPr>
        <w:t>…</w:t>
      </w:r>
    </w:p>
    <w:p w:rsidR="00205BA2" w:rsidRPr="0070181F" w:rsidRDefault="00205BA2" w:rsidP="00925A1D">
      <w:pPr>
        <w:tabs>
          <w:tab w:val="left" w:pos="1701"/>
        </w:tabs>
        <w:spacing w:before="120" w:after="120"/>
        <w:ind w:left="1134"/>
        <w:jc w:val="both"/>
        <w:rPr>
          <w:rFonts w:ascii="Book Antiqua" w:hAnsi="Book Antiqua" w:cs="Arial"/>
          <w:sz w:val="22"/>
          <w:szCs w:val="22"/>
        </w:rPr>
      </w:pPr>
      <w:r w:rsidRPr="0070181F">
        <w:rPr>
          <w:rStyle w:val="legds3"/>
          <w:rFonts w:ascii="Book Antiqua" w:hAnsi="Book Antiqua"/>
          <w:sz w:val="22"/>
          <w:szCs w:val="22"/>
          <w:lang w:val="en"/>
          <w:specVanish w:val="0"/>
        </w:rPr>
        <w:t>(</w:t>
      </w:r>
      <w:r w:rsidR="00562283" w:rsidRPr="0070181F">
        <w:rPr>
          <w:rStyle w:val="legds3"/>
          <w:rFonts w:ascii="Book Antiqua" w:hAnsi="Book Antiqua"/>
          <w:sz w:val="22"/>
          <w:szCs w:val="22"/>
          <w:lang w:val="en"/>
          <w:specVanish w:val="0"/>
        </w:rPr>
        <w:t>6)</w:t>
      </w:r>
      <w:r w:rsidR="00925A1D">
        <w:rPr>
          <w:rStyle w:val="legds3"/>
          <w:rFonts w:ascii="Book Antiqua" w:hAnsi="Book Antiqua"/>
          <w:sz w:val="22"/>
          <w:szCs w:val="22"/>
          <w:lang w:val="en"/>
        </w:rPr>
        <w:tab/>
      </w:r>
      <w:r w:rsidR="00562283" w:rsidRPr="0070181F">
        <w:rPr>
          <w:rStyle w:val="legds3"/>
          <w:rFonts w:ascii="Book Antiqua" w:hAnsi="Book Antiqua"/>
          <w:sz w:val="22"/>
          <w:szCs w:val="22"/>
          <w:lang w:val="en"/>
          <w:specVanish w:val="0"/>
        </w:rPr>
        <w:t>A</w:t>
      </w:r>
      <w:r w:rsidRPr="0070181F">
        <w:rPr>
          <w:rStyle w:val="legds3"/>
          <w:rFonts w:ascii="Book Antiqua" w:hAnsi="Book Antiqua"/>
          <w:sz w:val="22"/>
          <w:szCs w:val="22"/>
          <w:lang w:val="en"/>
          <w:specVanish w:val="0"/>
        </w:rPr>
        <w:t xml:space="preserve"> presumption under subsection (2), (3) or (4) that a person constitutes a danger to the community is rebuttable by that person.</w:t>
      </w:r>
    </w:p>
    <w:p w:rsidR="00792409" w:rsidRDefault="003D59B3" w:rsidP="003D59B3">
      <w:pPr>
        <w:numPr>
          <w:ilvl w:val="0"/>
          <w:numId w:val="1"/>
        </w:numPr>
        <w:jc w:val="both"/>
        <w:rPr>
          <w:rStyle w:val="legds3"/>
          <w:rFonts w:ascii="Book Antiqua" w:hAnsi="Book Antiqua"/>
          <w:lang w:val="en"/>
        </w:rPr>
      </w:pPr>
      <w:r>
        <w:rPr>
          <w:rFonts w:ascii="Book Antiqua" w:hAnsi="Book Antiqua"/>
          <w:lang w:val="en"/>
        </w:rPr>
        <w:t>In her decision dated 19 January 2017 the</w:t>
      </w:r>
      <w:r w:rsidR="00792409" w:rsidRPr="0070181F">
        <w:rPr>
          <w:rFonts w:ascii="Book Antiqua" w:hAnsi="Book Antiqua"/>
          <w:lang w:val="en"/>
        </w:rPr>
        <w:t xml:space="preserve"> respondent issued a certificate that s.72(2) applies. As the appellant relies on </w:t>
      </w:r>
      <w:r w:rsidR="00792409" w:rsidRPr="003D59B3">
        <w:rPr>
          <w:rFonts w:ascii="Book Antiqua" w:hAnsi="Book Antiqua"/>
          <w:lang w:val="en"/>
        </w:rPr>
        <w:t xml:space="preserve">the ground that to remove him from the UK would breach the country’s obligations under the Refugee Convention, sections 9 and 10 of the 2002 Act require me to </w:t>
      </w:r>
      <w:r w:rsidR="00792409" w:rsidRPr="003D59B3">
        <w:rPr>
          <w:rStyle w:val="legds3"/>
          <w:rFonts w:ascii="Book Antiqua" w:hAnsi="Book Antiqua"/>
          <w:lang w:val="en"/>
          <w:specVanish w:val="0"/>
        </w:rPr>
        <w:t>begin substantive deliberation on the appeal by considering the certificat</w:t>
      </w:r>
      <w:r w:rsidR="00562283">
        <w:rPr>
          <w:rStyle w:val="legds3"/>
          <w:rFonts w:ascii="Book Antiqua" w:hAnsi="Book Antiqua"/>
          <w:lang w:val="en"/>
          <w:specVanish w:val="0"/>
        </w:rPr>
        <w:t>e</w:t>
      </w:r>
      <w:r w:rsidR="00792409" w:rsidRPr="003D59B3">
        <w:rPr>
          <w:rStyle w:val="legds3"/>
          <w:rFonts w:ascii="Book Antiqua" w:hAnsi="Book Antiqua"/>
          <w:lang w:val="en"/>
          <w:specVanish w:val="0"/>
        </w:rPr>
        <w:t xml:space="preserve"> and, if in agreement that the presumption under </w:t>
      </w:r>
      <w:r w:rsidR="00792409" w:rsidRPr="003D59B3">
        <w:rPr>
          <w:rStyle w:val="legds3"/>
          <w:rFonts w:ascii="Book Antiqua" w:hAnsi="Book Antiqua"/>
          <w:lang w:val="en"/>
          <w:specVanish w:val="0"/>
        </w:rPr>
        <w:lastRenderedPageBreak/>
        <w:t xml:space="preserve">subsection (2) applies, I must dismiss the appeal in so far as it relies on the appellant’s Refugee Convention claim. </w:t>
      </w:r>
      <w:r w:rsidR="00F940C1">
        <w:rPr>
          <w:rStyle w:val="legds3"/>
          <w:rFonts w:ascii="Book Antiqua" w:hAnsi="Book Antiqua"/>
          <w:lang w:val="en"/>
          <w:specVanish w:val="0"/>
        </w:rPr>
        <w:t>The burden rests on the appellant, to the balance of probability standard, to rebut the presumption.</w:t>
      </w:r>
    </w:p>
    <w:p w:rsidR="00F940C1" w:rsidRDefault="00F940C1" w:rsidP="00F940C1">
      <w:pPr>
        <w:ind w:left="567"/>
        <w:jc w:val="both"/>
        <w:rPr>
          <w:rStyle w:val="legds3"/>
          <w:rFonts w:ascii="Book Antiqua" w:hAnsi="Book Antiqua"/>
          <w:lang w:val="en"/>
        </w:rPr>
      </w:pPr>
    </w:p>
    <w:p w:rsidR="00205BA2" w:rsidRDefault="00562283" w:rsidP="00847259">
      <w:pPr>
        <w:numPr>
          <w:ilvl w:val="0"/>
          <w:numId w:val="1"/>
        </w:numPr>
        <w:jc w:val="both"/>
        <w:rPr>
          <w:rFonts w:ascii="Book Antiqua" w:hAnsi="Book Antiqua"/>
          <w:lang w:val="en"/>
        </w:rPr>
      </w:pPr>
      <w:r>
        <w:rPr>
          <w:rFonts w:ascii="Book Antiqua" w:hAnsi="Book Antiqua"/>
          <w:lang w:val="en"/>
        </w:rPr>
        <w:t xml:space="preserve">In </w:t>
      </w:r>
      <w:r w:rsidR="00205BA2" w:rsidRPr="00F940C1">
        <w:rPr>
          <w:rFonts w:ascii="Book Antiqua" w:hAnsi="Book Antiqua"/>
          <w:u w:val="single"/>
          <w:lang w:val="en"/>
        </w:rPr>
        <w:t>EN (Serbia) v Secretary of State for the Home Department &amp; Anor</w:t>
      </w:r>
      <w:r>
        <w:rPr>
          <w:rFonts w:ascii="Book Antiqua" w:hAnsi="Book Antiqua"/>
          <w:lang w:val="en"/>
        </w:rPr>
        <w:t xml:space="preserve"> [2009] EWCA </w:t>
      </w:r>
      <w:proofErr w:type="spellStart"/>
      <w:r>
        <w:rPr>
          <w:rFonts w:ascii="Book Antiqua" w:hAnsi="Book Antiqua"/>
          <w:lang w:val="en"/>
        </w:rPr>
        <w:t>Civ</w:t>
      </w:r>
      <w:proofErr w:type="spellEnd"/>
      <w:r>
        <w:rPr>
          <w:rFonts w:ascii="Book Antiqua" w:hAnsi="Book Antiqua"/>
          <w:lang w:val="en"/>
        </w:rPr>
        <w:t xml:space="preserve"> 630, the Court of Appeal held, at</w:t>
      </w:r>
      <w:r w:rsidR="00205BA2" w:rsidRPr="00F940C1">
        <w:rPr>
          <w:rFonts w:ascii="Book Antiqua" w:hAnsi="Book Antiqua"/>
          <w:lang w:val="en"/>
        </w:rPr>
        <w:t xml:space="preserve"> [45]</w:t>
      </w:r>
      <w:r>
        <w:rPr>
          <w:rFonts w:ascii="Book Antiqua" w:hAnsi="Book Antiqua"/>
          <w:lang w:val="en"/>
        </w:rPr>
        <w:t>,</w:t>
      </w:r>
      <w:r w:rsidR="00205BA2" w:rsidRPr="00F940C1">
        <w:rPr>
          <w:rFonts w:ascii="Book Antiqua" w:hAnsi="Book Antiqua"/>
          <w:lang w:val="en"/>
        </w:rPr>
        <w:t xml:space="preserve"> “So far as "danger to the community" is concerned, the danger must be real, but if a person is convicted of a particularly serious crime, and there is a real risk of its repetition, he is likely to constitute a danger to the community.”</w:t>
      </w:r>
    </w:p>
    <w:p w:rsidR="00F940C1" w:rsidRDefault="00F940C1" w:rsidP="00F940C1">
      <w:pPr>
        <w:pStyle w:val="ListParagraph"/>
        <w:rPr>
          <w:rFonts w:ascii="Book Antiqua" w:hAnsi="Book Antiqua"/>
          <w:lang w:val="en"/>
        </w:rPr>
      </w:pPr>
    </w:p>
    <w:p w:rsidR="00F940C1" w:rsidRPr="0073357F" w:rsidRDefault="00F940C1" w:rsidP="00847259">
      <w:pPr>
        <w:numPr>
          <w:ilvl w:val="0"/>
          <w:numId w:val="1"/>
        </w:numPr>
        <w:jc w:val="both"/>
        <w:rPr>
          <w:rFonts w:ascii="Book Antiqua" w:hAnsi="Book Antiqua"/>
          <w:sz w:val="22"/>
          <w:szCs w:val="22"/>
          <w:lang w:val="en"/>
        </w:rPr>
      </w:pPr>
      <w:r>
        <w:rPr>
          <w:rFonts w:ascii="Book Antiqua" w:hAnsi="Book Antiqua"/>
          <w:lang w:val="en"/>
        </w:rPr>
        <w:t>Paragraph</w:t>
      </w:r>
      <w:r w:rsidR="00562283">
        <w:rPr>
          <w:rFonts w:ascii="Book Antiqua" w:hAnsi="Book Antiqua"/>
          <w:lang w:val="en"/>
        </w:rPr>
        <w:t>s</w:t>
      </w:r>
      <w:r>
        <w:rPr>
          <w:rFonts w:ascii="Book Antiqua" w:hAnsi="Book Antiqua"/>
          <w:lang w:val="en"/>
        </w:rPr>
        <w:t xml:space="preserve"> 398 to 399A of the immigration rules apply to persons facing deportation. </w:t>
      </w:r>
    </w:p>
    <w:p w:rsidR="00F940C1" w:rsidRPr="0073357F" w:rsidRDefault="00F940C1" w:rsidP="00925A1D">
      <w:pPr>
        <w:pStyle w:val="Default"/>
        <w:tabs>
          <w:tab w:val="left" w:pos="1843"/>
        </w:tabs>
        <w:spacing w:before="120" w:after="120"/>
        <w:ind w:left="1134"/>
        <w:jc w:val="both"/>
        <w:rPr>
          <w:rFonts w:ascii="Book Antiqua" w:hAnsi="Book Antiqua"/>
          <w:sz w:val="22"/>
          <w:szCs w:val="22"/>
        </w:rPr>
      </w:pPr>
      <w:r w:rsidRPr="0073357F">
        <w:rPr>
          <w:rFonts w:ascii="Book Antiqua" w:hAnsi="Book Antiqua"/>
          <w:sz w:val="22"/>
          <w:szCs w:val="22"/>
        </w:rPr>
        <w:t>398.</w:t>
      </w:r>
      <w:r w:rsidR="00925A1D">
        <w:rPr>
          <w:rFonts w:ascii="Book Antiqua" w:hAnsi="Book Antiqua"/>
          <w:sz w:val="22"/>
          <w:szCs w:val="22"/>
        </w:rPr>
        <w:tab/>
      </w:r>
      <w:r w:rsidRPr="0073357F">
        <w:rPr>
          <w:rFonts w:ascii="Book Antiqua" w:hAnsi="Book Antiqua"/>
          <w:sz w:val="22"/>
          <w:szCs w:val="22"/>
        </w:rPr>
        <w:t xml:space="preserve">Where a person claims that their deportation would be contrary to the UK's obligations under Article 8 of the Human Rights Convention, and </w:t>
      </w:r>
    </w:p>
    <w:p w:rsidR="00F940C1" w:rsidRPr="0073357F" w:rsidRDefault="00F940C1"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(a)</w:t>
      </w:r>
      <w:r w:rsidR="00925A1D">
        <w:rPr>
          <w:rFonts w:ascii="Book Antiqua" w:hAnsi="Book Antiqua"/>
          <w:sz w:val="22"/>
          <w:szCs w:val="22"/>
        </w:rPr>
        <w:tab/>
      </w:r>
      <w:r w:rsidRPr="0073357F">
        <w:rPr>
          <w:rFonts w:ascii="Book Antiqua" w:hAnsi="Book Antiqua"/>
          <w:sz w:val="22"/>
          <w:szCs w:val="22"/>
        </w:rPr>
        <w:t xml:space="preserve">the deportation of the person from the UK is conducive to the public good and in the public interest because they have been convicted of an offence for which they have been sentenced to a period of imprisonment of at least 4 years; </w:t>
      </w:r>
    </w:p>
    <w:p w:rsidR="00F940C1" w:rsidRPr="0073357F" w:rsidRDefault="00F940C1"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(b)</w:t>
      </w:r>
      <w:r w:rsidR="00925A1D">
        <w:rPr>
          <w:rFonts w:ascii="Book Antiqua" w:hAnsi="Book Antiqua"/>
          <w:sz w:val="22"/>
          <w:szCs w:val="22"/>
        </w:rPr>
        <w:tab/>
      </w:r>
      <w:r w:rsidRPr="0073357F">
        <w:rPr>
          <w:rFonts w:ascii="Book Antiqua" w:hAnsi="Book Antiqua"/>
          <w:sz w:val="22"/>
          <w:szCs w:val="22"/>
        </w:rPr>
        <w:t xml:space="preserve">the deportation of the person from the UK is conducive to the public good and in the public interest because they have been convicted of an offence for which they have been sentenced to a period of imprisonment of less than 4 years but at least 12 months; or </w:t>
      </w:r>
    </w:p>
    <w:p w:rsidR="00F940C1" w:rsidRPr="0073357F" w:rsidRDefault="00F940C1"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(c)</w:t>
      </w:r>
      <w:r w:rsidR="00925A1D">
        <w:rPr>
          <w:rFonts w:ascii="Book Antiqua" w:hAnsi="Book Antiqua"/>
          <w:sz w:val="22"/>
          <w:szCs w:val="22"/>
        </w:rPr>
        <w:tab/>
      </w:r>
      <w:r w:rsidRPr="0073357F">
        <w:rPr>
          <w:rFonts w:ascii="Book Antiqua" w:hAnsi="Book Antiqua"/>
          <w:sz w:val="22"/>
          <w:szCs w:val="22"/>
        </w:rPr>
        <w:t xml:space="preserve">the deportation of the person from the UK is conducive to the public good and in the public interest because, in the view of the Secretary of State, their offending has caused serious harm or they are a persistent offender who shows a particular disregard for the law, </w:t>
      </w:r>
    </w:p>
    <w:p w:rsidR="00F940C1" w:rsidRPr="0073357F" w:rsidRDefault="00F940C1" w:rsidP="00925A1D">
      <w:pPr>
        <w:pStyle w:val="Default"/>
        <w:spacing w:before="120" w:after="120"/>
        <w:ind w:left="1134"/>
        <w:jc w:val="both"/>
        <w:rPr>
          <w:rFonts w:ascii="Book Antiqua" w:hAnsi="Book Antiqua"/>
          <w:sz w:val="22"/>
          <w:szCs w:val="22"/>
        </w:rPr>
      </w:pPr>
      <w:r w:rsidRPr="0073357F">
        <w:rPr>
          <w:rFonts w:ascii="Book Antiqua" w:hAnsi="Book Antiqua"/>
          <w:sz w:val="22"/>
          <w:szCs w:val="22"/>
        </w:rPr>
        <w:t xml:space="preserve">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 </w:t>
      </w:r>
    </w:p>
    <w:p w:rsidR="00F940C1" w:rsidRPr="0073357F" w:rsidRDefault="00F940C1" w:rsidP="00925A1D">
      <w:pPr>
        <w:pStyle w:val="Default"/>
        <w:tabs>
          <w:tab w:val="left" w:pos="1843"/>
        </w:tabs>
        <w:spacing w:before="120" w:after="120"/>
        <w:ind w:left="1134"/>
        <w:jc w:val="both"/>
        <w:rPr>
          <w:rFonts w:ascii="Book Antiqua" w:hAnsi="Book Antiqua"/>
          <w:sz w:val="22"/>
          <w:szCs w:val="22"/>
        </w:rPr>
      </w:pPr>
      <w:r w:rsidRPr="0073357F">
        <w:rPr>
          <w:rFonts w:ascii="Book Antiqua" w:hAnsi="Book Antiqua"/>
          <w:sz w:val="22"/>
          <w:szCs w:val="22"/>
        </w:rPr>
        <w:t>399.</w:t>
      </w:r>
      <w:r w:rsidR="00925A1D">
        <w:rPr>
          <w:rFonts w:ascii="Book Antiqua" w:hAnsi="Book Antiqua"/>
          <w:sz w:val="22"/>
          <w:szCs w:val="22"/>
        </w:rPr>
        <w:tab/>
      </w:r>
      <w:r w:rsidRPr="0073357F">
        <w:rPr>
          <w:rFonts w:ascii="Book Antiqua" w:hAnsi="Book Antiqua"/>
          <w:sz w:val="22"/>
          <w:szCs w:val="22"/>
        </w:rPr>
        <w:t xml:space="preserve">This paragraph applies where paragraph 398 (b) or (c) applies if – </w:t>
      </w:r>
    </w:p>
    <w:p w:rsidR="00F940C1" w:rsidRPr="0073357F" w:rsidRDefault="00F940C1"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(a)</w:t>
      </w:r>
      <w:r w:rsidR="00925A1D">
        <w:rPr>
          <w:rFonts w:ascii="Book Antiqua" w:hAnsi="Book Antiqua"/>
          <w:sz w:val="22"/>
          <w:szCs w:val="22"/>
        </w:rPr>
        <w:tab/>
      </w:r>
      <w:r w:rsidRPr="0073357F">
        <w:rPr>
          <w:rFonts w:ascii="Book Antiqua" w:hAnsi="Book Antiqua"/>
          <w:sz w:val="22"/>
          <w:szCs w:val="22"/>
        </w:rPr>
        <w:t xml:space="preserve">the person has a genuine and subsisting parental relationship with a child under the age of 18 years who is in the UK, and </w:t>
      </w:r>
    </w:p>
    <w:p w:rsidR="00925A1D" w:rsidRDefault="00F940C1" w:rsidP="00925A1D">
      <w:pPr>
        <w:pStyle w:val="Default"/>
        <w:tabs>
          <w:tab w:val="left" w:pos="2694"/>
        </w:tabs>
        <w:spacing w:before="120" w:after="120"/>
        <w:ind w:left="2268"/>
        <w:jc w:val="both"/>
        <w:rPr>
          <w:rFonts w:ascii="Book Antiqua" w:hAnsi="Book Antiqua"/>
          <w:sz w:val="22"/>
          <w:szCs w:val="22"/>
        </w:rPr>
      </w:pPr>
      <w:r w:rsidRPr="0073357F">
        <w:rPr>
          <w:rFonts w:ascii="Book Antiqua" w:hAnsi="Book Antiqua"/>
          <w:sz w:val="22"/>
          <w:szCs w:val="22"/>
        </w:rPr>
        <w:t>(</w:t>
      </w:r>
      <w:proofErr w:type="spellStart"/>
      <w:r w:rsidRPr="0073357F">
        <w:rPr>
          <w:rFonts w:ascii="Book Antiqua" w:hAnsi="Book Antiqua"/>
          <w:sz w:val="22"/>
          <w:szCs w:val="22"/>
        </w:rPr>
        <w:t>i</w:t>
      </w:r>
      <w:proofErr w:type="spellEnd"/>
      <w:r w:rsidRPr="0073357F">
        <w:rPr>
          <w:rFonts w:ascii="Book Antiqua" w:hAnsi="Book Antiqua"/>
          <w:sz w:val="22"/>
          <w:szCs w:val="22"/>
        </w:rPr>
        <w:t>)</w:t>
      </w:r>
      <w:r w:rsidR="00925A1D">
        <w:rPr>
          <w:rFonts w:ascii="Book Antiqua" w:hAnsi="Book Antiqua"/>
          <w:sz w:val="22"/>
          <w:szCs w:val="22"/>
        </w:rPr>
        <w:tab/>
      </w:r>
      <w:r w:rsidRPr="0073357F">
        <w:rPr>
          <w:rFonts w:ascii="Book Antiqua" w:hAnsi="Book Antiqua"/>
          <w:sz w:val="22"/>
          <w:szCs w:val="22"/>
        </w:rPr>
        <w:t xml:space="preserve">the child is a British Citizen; or </w:t>
      </w:r>
    </w:p>
    <w:p w:rsidR="00925A1D" w:rsidRDefault="00F940C1" w:rsidP="00925A1D">
      <w:pPr>
        <w:pStyle w:val="Default"/>
        <w:tabs>
          <w:tab w:val="left" w:pos="2694"/>
        </w:tabs>
        <w:spacing w:before="120" w:after="120"/>
        <w:ind w:left="2268"/>
        <w:jc w:val="both"/>
        <w:rPr>
          <w:rFonts w:ascii="Book Antiqua" w:hAnsi="Book Antiqua"/>
          <w:sz w:val="22"/>
          <w:szCs w:val="22"/>
        </w:rPr>
      </w:pPr>
      <w:r w:rsidRPr="0073357F">
        <w:rPr>
          <w:rFonts w:ascii="Book Antiqua" w:hAnsi="Book Antiqua"/>
          <w:sz w:val="22"/>
          <w:szCs w:val="22"/>
        </w:rPr>
        <w:t>(ii)</w:t>
      </w:r>
      <w:r w:rsidR="00925A1D">
        <w:rPr>
          <w:rFonts w:ascii="Book Antiqua" w:hAnsi="Book Antiqua"/>
          <w:sz w:val="22"/>
          <w:szCs w:val="22"/>
        </w:rPr>
        <w:tab/>
      </w:r>
      <w:r w:rsidRPr="0073357F">
        <w:rPr>
          <w:rFonts w:ascii="Book Antiqua" w:hAnsi="Book Antiqua"/>
          <w:sz w:val="22"/>
          <w:szCs w:val="22"/>
        </w:rPr>
        <w:t xml:space="preserve">the child has lived in the UK continuously for at least the 7 years immediately preceding the date of the immigration decision; and in either case </w:t>
      </w:r>
    </w:p>
    <w:p w:rsidR="00925A1D" w:rsidRDefault="00F940C1" w:rsidP="00925A1D">
      <w:pPr>
        <w:pStyle w:val="Default"/>
        <w:tabs>
          <w:tab w:val="left" w:pos="2694"/>
        </w:tabs>
        <w:spacing w:before="120" w:after="120"/>
        <w:ind w:left="2268"/>
        <w:jc w:val="both"/>
        <w:rPr>
          <w:rFonts w:ascii="Book Antiqua" w:hAnsi="Book Antiqua"/>
          <w:sz w:val="22"/>
          <w:szCs w:val="22"/>
        </w:rPr>
      </w:pPr>
      <w:r w:rsidRPr="0073357F">
        <w:rPr>
          <w:rFonts w:ascii="Book Antiqua" w:hAnsi="Book Antiqua"/>
          <w:sz w:val="22"/>
          <w:szCs w:val="22"/>
        </w:rPr>
        <w:t>(a)</w:t>
      </w:r>
      <w:r w:rsidR="00925A1D">
        <w:rPr>
          <w:rFonts w:ascii="Book Antiqua" w:hAnsi="Book Antiqua"/>
          <w:sz w:val="22"/>
          <w:szCs w:val="22"/>
        </w:rPr>
        <w:tab/>
      </w:r>
      <w:r w:rsidRPr="0073357F">
        <w:rPr>
          <w:rFonts w:ascii="Book Antiqua" w:hAnsi="Book Antiqua"/>
          <w:sz w:val="22"/>
          <w:szCs w:val="22"/>
        </w:rPr>
        <w:t xml:space="preserve">it would be unduly harsh for the child to live in the country to which the person is to be deported; and </w:t>
      </w:r>
    </w:p>
    <w:p w:rsidR="00F940C1" w:rsidRPr="0073357F" w:rsidRDefault="00F940C1" w:rsidP="00925A1D">
      <w:pPr>
        <w:pStyle w:val="Default"/>
        <w:tabs>
          <w:tab w:val="left" w:pos="2694"/>
        </w:tabs>
        <w:spacing w:before="120" w:after="120"/>
        <w:ind w:left="2268"/>
        <w:jc w:val="both"/>
        <w:rPr>
          <w:rFonts w:ascii="Book Antiqua" w:hAnsi="Book Antiqua"/>
          <w:sz w:val="22"/>
          <w:szCs w:val="22"/>
        </w:rPr>
      </w:pPr>
      <w:r w:rsidRPr="0073357F">
        <w:rPr>
          <w:rFonts w:ascii="Book Antiqua" w:hAnsi="Book Antiqua"/>
          <w:sz w:val="22"/>
          <w:szCs w:val="22"/>
        </w:rPr>
        <w:t>(b)</w:t>
      </w:r>
      <w:r w:rsidR="00925A1D">
        <w:rPr>
          <w:rFonts w:ascii="Book Antiqua" w:hAnsi="Book Antiqua"/>
          <w:sz w:val="22"/>
          <w:szCs w:val="22"/>
        </w:rPr>
        <w:tab/>
      </w:r>
      <w:r w:rsidRPr="0073357F">
        <w:rPr>
          <w:rFonts w:ascii="Book Antiqua" w:hAnsi="Book Antiqua"/>
          <w:sz w:val="22"/>
          <w:szCs w:val="22"/>
        </w:rPr>
        <w:t xml:space="preserve">it would be unduly harsh for the child to remain in the UK without the person who is to be deported; or </w:t>
      </w:r>
    </w:p>
    <w:p w:rsidR="00F940C1" w:rsidRPr="0073357F" w:rsidRDefault="00F940C1"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(b)</w:t>
      </w:r>
      <w:r w:rsidR="00925A1D">
        <w:rPr>
          <w:rFonts w:ascii="Book Antiqua" w:hAnsi="Book Antiqua"/>
          <w:sz w:val="22"/>
          <w:szCs w:val="22"/>
        </w:rPr>
        <w:tab/>
      </w:r>
      <w:r w:rsidRPr="0073357F">
        <w:rPr>
          <w:rFonts w:ascii="Book Antiqua" w:hAnsi="Book Antiqua"/>
          <w:sz w:val="22"/>
          <w:szCs w:val="22"/>
        </w:rPr>
        <w:t xml:space="preserve">the person has a genuine and subsisting relationship with a partner who is in the UK and is a British Citizen or settled in the UK, and </w:t>
      </w:r>
    </w:p>
    <w:p w:rsidR="00F940C1" w:rsidRPr="0073357F" w:rsidRDefault="00F940C1" w:rsidP="00925A1D">
      <w:pPr>
        <w:pStyle w:val="Default"/>
        <w:tabs>
          <w:tab w:val="left" w:pos="2694"/>
        </w:tabs>
        <w:spacing w:before="120" w:after="120"/>
        <w:ind w:left="2268"/>
        <w:jc w:val="both"/>
        <w:rPr>
          <w:rFonts w:ascii="Book Antiqua" w:hAnsi="Book Antiqua"/>
          <w:sz w:val="22"/>
          <w:szCs w:val="22"/>
        </w:rPr>
      </w:pPr>
      <w:r w:rsidRPr="0073357F">
        <w:rPr>
          <w:rFonts w:ascii="Book Antiqua" w:hAnsi="Book Antiqua"/>
          <w:sz w:val="22"/>
          <w:szCs w:val="22"/>
        </w:rPr>
        <w:t>(</w:t>
      </w:r>
      <w:proofErr w:type="spellStart"/>
      <w:r w:rsidRPr="0073357F">
        <w:rPr>
          <w:rFonts w:ascii="Book Antiqua" w:hAnsi="Book Antiqua"/>
          <w:sz w:val="22"/>
          <w:szCs w:val="22"/>
        </w:rPr>
        <w:t>i</w:t>
      </w:r>
      <w:proofErr w:type="spellEnd"/>
      <w:r w:rsidRPr="0073357F">
        <w:rPr>
          <w:rFonts w:ascii="Book Antiqua" w:hAnsi="Book Antiqua"/>
          <w:sz w:val="22"/>
          <w:szCs w:val="22"/>
        </w:rPr>
        <w:t>)</w:t>
      </w:r>
      <w:r w:rsidR="00925A1D">
        <w:rPr>
          <w:rFonts w:ascii="Book Antiqua" w:hAnsi="Book Antiqua"/>
          <w:sz w:val="22"/>
          <w:szCs w:val="22"/>
        </w:rPr>
        <w:tab/>
      </w:r>
      <w:r w:rsidRPr="0073357F">
        <w:rPr>
          <w:rFonts w:ascii="Book Antiqua" w:hAnsi="Book Antiqua"/>
          <w:sz w:val="22"/>
          <w:szCs w:val="22"/>
        </w:rPr>
        <w:t xml:space="preserve">the relationship was formed at a time when the person (deportee) was in the UK lawfully and their immigration status was not precarious; and </w:t>
      </w:r>
    </w:p>
    <w:p w:rsidR="00792409" w:rsidRPr="0073357F" w:rsidRDefault="00F940C1" w:rsidP="00925A1D">
      <w:pPr>
        <w:tabs>
          <w:tab w:val="left" w:pos="2694"/>
        </w:tabs>
        <w:spacing w:before="120" w:after="120"/>
        <w:ind w:left="2268"/>
        <w:jc w:val="both"/>
        <w:rPr>
          <w:rFonts w:ascii="Book Antiqua" w:hAnsi="Book Antiqua" w:cs="Arial"/>
          <w:sz w:val="22"/>
          <w:szCs w:val="22"/>
        </w:rPr>
      </w:pPr>
      <w:r w:rsidRPr="0073357F">
        <w:rPr>
          <w:rFonts w:ascii="Book Antiqua" w:hAnsi="Book Antiqua"/>
          <w:sz w:val="22"/>
          <w:szCs w:val="22"/>
        </w:rPr>
        <w:lastRenderedPageBreak/>
        <w:t>(ii)</w:t>
      </w:r>
      <w:r w:rsidR="00925A1D">
        <w:rPr>
          <w:rFonts w:ascii="Book Antiqua" w:hAnsi="Book Antiqua"/>
          <w:sz w:val="22"/>
          <w:szCs w:val="22"/>
        </w:rPr>
        <w:tab/>
      </w:r>
      <w:r w:rsidRPr="0073357F">
        <w:rPr>
          <w:rFonts w:ascii="Book Antiqua" w:hAnsi="Book Antiqua"/>
          <w:sz w:val="22"/>
          <w:szCs w:val="22"/>
        </w:rPr>
        <w:t>it would be unduly harsh for that partner to live in the country to which the person is to be deported, because of compelling circumstances over and above those described in paragraph EX.2. of Appendix FM; and</w:t>
      </w:r>
    </w:p>
    <w:p w:rsidR="0073357F" w:rsidRPr="0073357F" w:rsidRDefault="0073357F" w:rsidP="00925A1D">
      <w:pPr>
        <w:pStyle w:val="Default"/>
        <w:tabs>
          <w:tab w:val="left" w:pos="2694"/>
        </w:tabs>
        <w:spacing w:before="120" w:after="120"/>
        <w:ind w:left="2268"/>
        <w:jc w:val="both"/>
        <w:rPr>
          <w:rFonts w:ascii="Book Antiqua" w:hAnsi="Book Antiqua"/>
          <w:sz w:val="22"/>
          <w:szCs w:val="22"/>
        </w:rPr>
      </w:pPr>
      <w:r w:rsidRPr="0073357F">
        <w:rPr>
          <w:rFonts w:ascii="Book Antiqua" w:hAnsi="Book Antiqua"/>
          <w:sz w:val="22"/>
          <w:szCs w:val="22"/>
        </w:rPr>
        <w:t>(iii)</w:t>
      </w:r>
      <w:r w:rsidR="00925A1D">
        <w:rPr>
          <w:rFonts w:ascii="Book Antiqua" w:hAnsi="Book Antiqua"/>
          <w:sz w:val="22"/>
          <w:szCs w:val="22"/>
        </w:rPr>
        <w:tab/>
      </w:r>
      <w:r w:rsidRPr="0073357F">
        <w:rPr>
          <w:rFonts w:ascii="Book Antiqua" w:hAnsi="Book Antiqua"/>
          <w:sz w:val="22"/>
          <w:szCs w:val="22"/>
        </w:rPr>
        <w:t xml:space="preserve">it would be unduly harsh for that partner to remain in the UK without the person who is to be deported. </w:t>
      </w:r>
    </w:p>
    <w:p w:rsidR="0073357F" w:rsidRPr="0073357F" w:rsidRDefault="0073357F" w:rsidP="00925A1D">
      <w:pPr>
        <w:pStyle w:val="Default"/>
        <w:tabs>
          <w:tab w:val="left" w:pos="1843"/>
        </w:tabs>
        <w:spacing w:before="120" w:after="120"/>
        <w:ind w:left="1134"/>
        <w:jc w:val="both"/>
        <w:rPr>
          <w:rFonts w:ascii="Book Antiqua" w:hAnsi="Book Antiqua"/>
          <w:sz w:val="22"/>
          <w:szCs w:val="22"/>
        </w:rPr>
      </w:pPr>
      <w:r w:rsidRPr="0073357F">
        <w:rPr>
          <w:rFonts w:ascii="Book Antiqua" w:hAnsi="Book Antiqua"/>
          <w:sz w:val="22"/>
          <w:szCs w:val="22"/>
        </w:rPr>
        <w:t>399A.</w:t>
      </w:r>
      <w:r w:rsidR="00925A1D">
        <w:rPr>
          <w:rFonts w:ascii="Book Antiqua" w:hAnsi="Book Antiqua"/>
          <w:sz w:val="22"/>
          <w:szCs w:val="22"/>
        </w:rPr>
        <w:tab/>
      </w:r>
      <w:r w:rsidRPr="0073357F">
        <w:rPr>
          <w:rFonts w:ascii="Book Antiqua" w:hAnsi="Book Antiqua"/>
          <w:sz w:val="22"/>
          <w:szCs w:val="22"/>
        </w:rPr>
        <w:t xml:space="preserve">This paragraph applies where paragraph 398(b) or (c) applies if – </w:t>
      </w:r>
    </w:p>
    <w:p w:rsidR="0073357F" w:rsidRPr="0073357F" w:rsidRDefault="0073357F"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(a)</w:t>
      </w:r>
      <w:r w:rsidR="00925A1D">
        <w:rPr>
          <w:rFonts w:ascii="Book Antiqua" w:hAnsi="Book Antiqua"/>
          <w:sz w:val="22"/>
          <w:szCs w:val="22"/>
        </w:rPr>
        <w:tab/>
      </w:r>
      <w:r w:rsidRPr="0073357F">
        <w:rPr>
          <w:rFonts w:ascii="Book Antiqua" w:hAnsi="Book Antiqua"/>
          <w:sz w:val="22"/>
          <w:szCs w:val="22"/>
        </w:rPr>
        <w:t xml:space="preserve">the person has been lawfully resident in the UK for most of his life; and </w:t>
      </w:r>
    </w:p>
    <w:p w:rsidR="0073357F" w:rsidRPr="0073357F" w:rsidRDefault="0073357F" w:rsidP="00925A1D">
      <w:pPr>
        <w:pStyle w:val="Default"/>
        <w:tabs>
          <w:tab w:val="left" w:pos="2268"/>
        </w:tabs>
        <w:spacing w:before="120" w:after="120"/>
        <w:ind w:left="1843"/>
        <w:jc w:val="both"/>
        <w:rPr>
          <w:rFonts w:ascii="Book Antiqua" w:hAnsi="Book Antiqua"/>
          <w:sz w:val="22"/>
          <w:szCs w:val="22"/>
        </w:rPr>
      </w:pPr>
      <w:r w:rsidRPr="0073357F">
        <w:rPr>
          <w:rFonts w:ascii="Book Antiqua" w:hAnsi="Book Antiqua"/>
          <w:sz w:val="22"/>
          <w:szCs w:val="22"/>
        </w:rPr>
        <w:t>(b)</w:t>
      </w:r>
      <w:r w:rsidR="00925A1D">
        <w:rPr>
          <w:rFonts w:ascii="Book Antiqua" w:hAnsi="Book Antiqua"/>
          <w:sz w:val="22"/>
          <w:szCs w:val="22"/>
        </w:rPr>
        <w:tab/>
      </w:r>
      <w:r w:rsidRPr="0073357F">
        <w:rPr>
          <w:rFonts w:ascii="Book Antiqua" w:hAnsi="Book Antiqua"/>
          <w:sz w:val="22"/>
          <w:szCs w:val="22"/>
        </w:rPr>
        <w:t xml:space="preserve">he is socially and culturally integrated in the UK; and </w:t>
      </w:r>
    </w:p>
    <w:p w:rsidR="0073357F" w:rsidRPr="0073357F" w:rsidRDefault="0073357F" w:rsidP="00925A1D">
      <w:pPr>
        <w:tabs>
          <w:tab w:val="left" w:pos="2268"/>
        </w:tabs>
        <w:spacing w:before="120" w:after="120"/>
        <w:ind w:left="1843"/>
        <w:jc w:val="both"/>
        <w:rPr>
          <w:rFonts w:ascii="Book Antiqua" w:hAnsi="Book Antiqua" w:cs="Arial"/>
          <w:sz w:val="22"/>
          <w:szCs w:val="22"/>
        </w:rPr>
      </w:pPr>
      <w:r w:rsidRPr="0073357F">
        <w:rPr>
          <w:rFonts w:ascii="Book Antiqua" w:hAnsi="Book Antiqua"/>
          <w:sz w:val="22"/>
          <w:szCs w:val="22"/>
        </w:rPr>
        <w:t>(c)</w:t>
      </w:r>
      <w:r w:rsidR="00925A1D">
        <w:rPr>
          <w:rFonts w:ascii="Book Antiqua" w:hAnsi="Book Antiqua"/>
          <w:sz w:val="22"/>
          <w:szCs w:val="22"/>
        </w:rPr>
        <w:tab/>
      </w:r>
      <w:r w:rsidRPr="0073357F">
        <w:rPr>
          <w:rFonts w:ascii="Book Antiqua" w:hAnsi="Book Antiqua"/>
          <w:sz w:val="22"/>
          <w:szCs w:val="22"/>
        </w:rPr>
        <w:t>there would be very significant obstacles to his integration into the country to which it is proposed he is deported.</w:t>
      </w:r>
    </w:p>
    <w:p w:rsidR="0073357F" w:rsidRPr="0073357F" w:rsidRDefault="0073357F" w:rsidP="00AC224C">
      <w:pPr>
        <w:numPr>
          <w:ilvl w:val="0"/>
          <w:numId w:val="1"/>
        </w:numPr>
        <w:shd w:val="clear" w:color="auto" w:fill="FFFFFF"/>
        <w:spacing w:before="100" w:beforeAutospacing="1" w:after="100" w:afterAutospacing="1" w:line="288" w:lineRule="atLeast"/>
        <w:jc w:val="both"/>
        <w:outlineLvl w:val="5"/>
        <w:rPr>
          <w:rFonts w:ascii="Book Antiqua" w:hAnsi="Book Antiqua"/>
          <w:color w:val="000000"/>
          <w:lang w:val="en"/>
        </w:rPr>
      </w:pPr>
      <w:r w:rsidRPr="0073357F">
        <w:rPr>
          <w:rStyle w:val="legamendingtext"/>
          <w:rFonts w:ascii="Book Antiqua" w:hAnsi="Book Antiqua"/>
          <w:color w:val="000000"/>
          <w:lang w:val="en"/>
        </w:rPr>
        <w:t xml:space="preserve">Section 117A of the 2002 Act requires a Tribunal, when </w:t>
      </w:r>
      <w:r w:rsidRPr="0073357F">
        <w:rPr>
          <w:rStyle w:val="legamendingtext"/>
          <w:rFonts w:ascii="Book Antiqua" w:hAnsi="Book Antiqua"/>
          <w:lang w:val="en"/>
        </w:rPr>
        <w:t>considering the public interest question, to have regard</w:t>
      </w:r>
      <w:r w:rsidR="00562283">
        <w:rPr>
          <w:rStyle w:val="legamendingtext"/>
          <w:rFonts w:ascii="Book Antiqua" w:hAnsi="Book Antiqua"/>
          <w:lang w:val="en"/>
        </w:rPr>
        <w:t>,</w:t>
      </w:r>
      <w:r w:rsidRPr="0073357F">
        <w:rPr>
          <w:rStyle w:val="legamendingtext"/>
          <w:rFonts w:ascii="Book Antiqua" w:hAnsi="Book Antiqua"/>
          <w:lang w:val="en"/>
        </w:rPr>
        <w:t xml:space="preserve"> in particular</w:t>
      </w:r>
      <w:r w:rsidR="00562283">
        <w:rPr>
          <w:rStyle w:val="legamendingtext"/>
          <w:rFonts w:ascii="Book Antiqua" w:hAnsi="Book Antiqua"/>
          <w:lang w:val="en"/>
        </w:rPr>
        <w:t>,</w:t>
      </w:r>
      <w:r w:rsidRPr="0073357F">
        <w:rPr>
          <w:rStyle w:val="legamendingtext"/>
          <w:rFonts w:ascii="Book Antiqua" w:hAnsi="Book Antiqua"/>
          <w:lang w:val="en"/>
        </w:rPr>
        <w:t xml:space="preserve"> to the factors listed in section 117B, and, in cases concerning the deportation of foreign criminals, to the considerations listed in section 117C. Section 117C lists additional public interest considerations in cases involving foreign criminals. </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w:t>
      </w:r>
      <w:r w:rsidR="00562283" w:rsidRPr="0073357F">
        <w:rPr>
          <w:rStyle w:val="legamendingtext"/>
          <w:rFonts w:ascii="Book Antiqua" w:hAnsi="Book Antiqua"/>
          <w:sz w:val="22"/>
          <w:szCs w:val="22"/>
          <w:lang w:val="en"/>
        </w:rPr>
        <w:t>1)</w:t>
      </w:r>
      <w:r w:rsidR="00925A1D">
        <w:rPr>
          <w:rStyle w:val="legamendingtext"/>
          <w:rFonts w:ascii="Book Antiqua" w:hAnsi="Book Antiqua"/>
          <w:sz w:val="22"/>
          <w:szCs w:val="22"/>
          <w:lang w:val="en"/>
        </w:rPr>
        <w:tab/>
      </w:r>
      <w:r w:rsidR="00562283" w:rsidRPr="0073357F">
        <w:rPr>
          <w:rStyle w:val="legamendingtext"/>
          <w:rFonts w:ascii="Book Antiqua" w:hAnsi="Book Antiqua"/>
          <w:sz w:val="22"/>
          <w:szCs w:val="22"/>
          <w:lang w:val="en"/>
        </w:rPr>
        <w:t>The</w:t>
      </w:r>
      <w:r w:rsidRPr="0073357F">
        <w:rPr>
          <w:rStyle w:val="legamendingtext"/>
          <w:rFonts w:ascii="Book Antiqua" w:hAnsi="Book Antiqua"/>
          <w:sz w:val="22"/>
          <w:szCs w:val="22"/>
          <w:lang w:val="en"/>
        </w:rPr>
        <w:t xml:space="preserve"> deportation of foreign criminals is in the public interest.</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w:t>
      </w:r>
      <w:r w:rsidR="00562283" w:rsidRPr="0073357F">
        <w:rPr>
          <w:rStyle w:val="legamendingtext"/>
          <w:rFonts w:ascii="Book Antiqua" w:hAnsi="Book Antiqua"/>
          <w:sz w:val="22"/>
          <w:szCs w:val="22"/>
          <w:lang w:val="en"/>
        </w:rPr>
        <w:t>2)</w:t>
      </w:r>
      <w:r w:rsidR="00925A1D">
        <w:rPr>
          <w:rStyle w:val="legamendingtext"/>
          <w:rFonts w:ascii="Book Antiqua" w:hAnsi="Book Antiqua"/>
          <w:sz w:val="22"/>
          <w:szCs w:val="22"/>
          <w:lang w:val="en"/>
        </w:rPr>
        <w:tab/>
      </w:r>
      <w:r w:rsidR="00562283" w:rsidRPr="0073357F">
        <w:rPr>
          <w:rStyle w:val="legamendingtext"/>
          <w:rFonts w:ascii="Book Antiqua" w:hAnsi="Book Antiqua"/>
          <w:sz w:val="22"/>
          <w:szCs w:val="22"/>
          <w:lang w:val="en"/>
        </w:rPr>
        <w:t>The</w:t>
      </w:r>
      <w:r w:rsidRPr="0073357F">
        <w:rPr>
          <w:rStyle w:val="legamendingtext"/>
          <w:rFonts w:ascii="Book Antiqua" w:hAnsi="Book Antiqua"/>
          <w:sz w:val="22"/>
          <w:szCs w:val="22"/>
          <w:lang w:val="en"/>
        </w:rPr>
        <w:t xml:space="preserve"> more serious the offence committed by a foreign criminal, the greater is the public interest in deportation of the criminal.</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w:t>
      </w:r>
      <w:r w:rsidR="00562283" w:rsidRPr="0073357F">
        <w:rPr>
          <w:rStyle w:val="legamendingtext"/>
          <w:rFonts w:ascii="Book Antiqua" w:hAnsi="Book Antiqua"/>
          <w:sz w:val="22"/>
          <w:szCs w:val="22"/>
          <w:lang w:val="en"/>
        </w:rPr>
        <w:t>3)</w:t>
      </w:r>
      <w:r w:rsidR="00925A1D">
        <w:rPr>
          <w:rStyle w:val="legamendingtext"/>
          <w:rFonts w:ascii="Book Antiqua" w:hAnsi="Book Antiqua"/>
          <w:sz w:val="22"/>
          <w:szCs w:val="22"/>
          <w:lang w:val="en"/>
        </w:rPr>
        <w:tab/>
      </w:r>
      <w:r w:rsidR="00562283" w:rsidRPr="0073357F">
        <w:rPr>
          <w:rStyle w:val="legamendingtext"/>
          <w:rFonts w:ascii="Book Antiqua" w:hAnsi="Book Antiqua"/>
          <w:sz w:val="22"/>
          <w:szCs w:val="22"/>
          <w:lang w:val="en"/>
        </w:rPr>
        <w:t>In</w:t>
      </w:r>
      <w:r w:rsidRPr="0073357F">
        <w:rPr>
          <w:rStyle w:val="legamendingtext"/>
          <w:rFonts w:ascii="Book Antiqua" w:hAnsi="Book Antiqua"/>
          <w:sz w:val="22"/>
          <w:szCs w:val="22"/>
          <w:lang w:val="en"/>
        </w:rPr>
        <w:t xml:space="preserve"> the case of a foreign criminal (“C”) who has not been sentenced to a period of imprisonment of four years or more, the public interest requires C's deportation unless Exception 1 or Exception 2 applies.</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w:t>
      </w:r>
      <w:r w:rsidR="00562283" w:rsidRPr="0073357F">
        <w:rPr>
          <w:rStyle w:val="legamendingtext"/>
          <w:rFonts w:ascii="Book Antiqua" w:hAnsi="Book Antiqua"/>
          <w:sz w:val="22"/>
          <w:szCs w:val="22"/>
          <w:lang w:val="en"/>
        </w:rPr>
        <w:t>4)</w:t>
      </w:r>
      <w:r w:rsidR="00925A1D">
        <w:rPr>
          <w:rStyle w:val="legamendingtext"/>
          <w:rFonts w:ascii="Book Antiqua" w:hAnsi="Book Antiqua"/>
          <w:sz w:val="22"/>
          <w:szCs w:val="22"/>
          <w:lang w:val="en"/>
        </w:rPr>
        <w:tab/>
      </w:r>
      <w:r w:rsidR="00562283" w:rsidRPr="0073357F">
        <w:rPr>
          <w:rStyle w:val="legamendingtext"/>
          <w:rFonts w:ascii="Book Antiqua" w:hAnsi="Book Antiqua"/>
          <w:sz w:val="22"/>
          <w:szCs w:val="22"/>
          <w:lang w:val="en"/>
        </w:rPr>
        <w:t>Exception</w:t>
      </w:r>
      <w:r w:rsidRPr="0073357F">
        <w:rPr>
          <w:rStyle w:val="legamendingtext"/>
          <w:rFonts w:ascii="Book Antiqua" w:hAnsi="Book Antiqua"/>
          <w:sz w:val="22"/>
          <w:szCs w:val="22"/>
          <w:lang w:val="en"/>
        </w:rPr>
        <w:t xml:space="preserve"> 1 applies where—</w:t>
      </w:r>
    </w:p>
    <w:p w:rsidR="00F940C1" w:rsidRPr="0073357F" w:rsidRDefault="00F940C1" w:rsidP="00925A1D">
      <w:pPr>
        <w:pStyle w:val="legclearfix2"/>
        <w:tabs>
          <w:tab w:val="left" w:pos="2268"/>
        </w:tabs>
        <w:spacing w:before="120" w:line="240" w:lineRule="auto"/>
        <w:ind w:left="1701"/>
        <w:jc w:val="both"/>
        <w:rPr>
          <w:rFonts w:ascii="Book Antiqua" w:hAnsi="Book Antiqua"/>
          <w:sz w:val="22"/>
          <w:szCs w:val="22"/>
          <w:lang w:val="en"/>
        </w:rPr>
      </w:pPr>
      <w:r w:rsidRPr="0073357F">
        <w:rPr>
          <w:rStyle w:val="legamendingtext"/>
          <w:rFonts w:ascii="Book Antiqua" w:hAnsi="Book Antiqua"/>
          <w:sz w:val="22"/>
          <w:szCs w:val="22"/>
          <w:lang w:val="en"/>
        </w:rPr>
        <w:t>(a)</w:t>
      </w:r>
      <w:r w:rsidR="00925A1D">
        <w:rPr>
          <w:rStyle w:val="legamendingtext"/>
          <w:rFonts w:ascii="Book Antiqua" w:hAnsi="Book Antiqua"/>
          <w:sz w:val="22"/>
          <w:szCs w:val="22"/>
          <w:lang w:val="en"/>
        </w:rPr>
        <w:tab/>
      </w:r>
      <w:r w:rsidRPr="0073357F">
        <w:rPr>
          <w:rStyle w:val="legamendingtext"/>
          <w:rFonts w:ascii="Book Antiqua" w:hAnsi="Book Antiqua"/>
          <w:sz w:val="22"/>
          <w:szCs w:val="22"/>
          <w:lang w:val="en"/>
        </w:rPr>
        <w:t>C has been lawfully resident in the United Kingdom for most of C's life,</w:t>
      </w:r>
    </w:p>
    <w:p w:rsidR="00F940C1" w:rsidRPr="0073357F" w:rsidRDefault="00F940C1" w:rsidP="00925A1D">
      <w:pPr>
        <w:pStyle w:val="legclearfix2"/>
        <w:tabs>
          <w:tab w:val="left" w:pos="2268"/>
        </w:tabs>
        <w:spacing w:before="120" w:line="240" w:lineRule="auto"/>
        <w:ind w:left="1701"/>
        <w:jc w:val="both"/>
        <w:rPr>
          <w:rFonts w:ascii="Book Antiqua" w:hAnsi="Book Antiqua"/>
          <w:sz w:val="22"/>
          <w:szCs w:val="22"/>
          <w:lang w:val="en"/>
        </w:rPr>
      </w:pPr>
      <w:r w:rsidRPr="0073357F">
        <w:rPr>
          <w:rStyle w:val="legamendingtext"/>
          <w:rFonts w:ascii="Book Antiqua" w:hAnsi="Book Antiqua"/>
          <w:sz w:val="22"/>
          <w:szCs w:val="22"/>
          <w:lang w:val="en"/>
        </w:rPr>
        <w:t>(b)</w:t>
      </w:r>
      <w:r w:rsidR="00925A1D">
        <w:rPr>
          <w:rStyle w:val="legamendingtext"/>
          <w:rFonts w:ascii="Book Antiqua" w:hAnsi="Book Antiqua"/>
          <w:sz w:val="22"/>
          <w:szCs w:val="22"/>
          <w:lang w:val="en"/>
        </w:rPr>
        <w:tab/>
      </w:r>
      <w:r w:rsidRPr="0073357F">
        <w:rPr>
          <w:rStyle w:val="legamendingtext"/>
          <w:rFonts w:ascii="Book Antiqua" w:hAnsi="Book Antiqua"/>
          <w:sz w:val="22"/>
          <w:szCs w:val="22"/>
          <w:lang w:val="en"/>
        </w:rPr>
        <w:t>C is socially and culturally integrated in the United Kingdom, and</w:t>
      </w:r>
    </w:p>
    <w:p w:rsidR="00F940C1" w:rsidRPr="0073357F" w:rsidRDefault="00F940C1" w:rsidP="00925A1D">
      <w:pPr>
        <w:pStyle w:val="legclearfix2"/>
        <w:tabs>
          <w:tab w:val="left" w:pos="2268"/>
        </w:tabs>
        <w:spacing w:before="120" w:line="240" w:lineRule="auto"/>
        <w:ind w:left="1701"/>
        <w:jc w:val="both"/>
        <w:rPr>
          <w:rFonts w:ascii="Book Antiqua" w:hAnsi="Book Antiqua"/>
          <w:sz w:val="22"/>
          <w:szCs w:val="22"/>
          <w:lang w:val="en"/>
        </w:rPr>
      </w:pPr>
      <w:r w:rsidRPr="0073357F">
        <w:rPr>
          <w:rStyle w:val="legamendingtext"/>
          <w:rFonts w:ascii="Book Antiqua" w:hAnsi="Book Antiqua"/>
          <w:sz w:val="22"/>
          <w:szCs w:val="22"/>
          <w:lang w:val="en"/>
        </w:rPr>
        <w:t>(c)</w:t>
      </w:r>
      <w:r w:rsidR="00925A1D">
        <w:rPr>
          <w:rStyle w:val="legamendingtext"/>
          <w:rFonts w:ascii="Book Antiqua" w:hAnsi="Book Antiqua"/>
          <w:sz w:val="22"/>
          <w:szCs w:val="22"/>
          <w:lang w:val="en"/>
        </w:rPr>
        <w:tab/>
      </w:r>
      <w:r w:rsidRPr="0073357F">
        <w:rPr>
          <w:rStyle w:val="legamendingtext"/>
          <w:rFonts w:ascii="Book Antiqua" w:hAnsi="Book Antiqua"/>
          <w:sz w:val="22"/>
          <w:szCs w:val="22"/>
          <w:lang w:val="en"/>
        </w:rPr>
        <w:t>there would be very significant obstacles to C's integration into the country to which C is proposed to be deported.</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(5)</w:t>
      </w:r>
      <w:r w:rsidR="00925A1D">
        <w:rPr>
          <w:rStyle w:val="legamendingtext"/>
          <w:rFonts w:ascii="Book Antiqua" w:hAnsi="Book Antiqua"/>
          <w:sz w:val="22"/>
          <w:szCs w:val="22"/>
          <w:lang w:val="en"/>
        </w:rPr>
        <w:tab/>
      </w:r>
      <w:r w:rsidRPr="0073357F">
        <w:rPr>
          <w:rStyle w:val="legamendingtext"/>
          <w:rFonts w:ascii="Book Antiqua" w:hAnsi="Book Antiqua"/>
          <w:sz w:val="22"/>
          <w:szCs w:val="22"/>
          <w:lang w:val="en"/>
        </w:rPr>
        <w:t>Exception 2 applies where C has a genuine and subsisting relationship with a qualifying partner, or a genuine and subsisting parental relationship with a qualifying child, and the effect of C's deportation on the partner or child would be unduly harsh.</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w:t>
      </w:r>
      <w:r w:rsidR="00562283" w:rsidRPr="0073357F">
        <w:rPr>
          <w:rStyle w:val="legamendingtext"/>
          <w:rFonts w:ascii="Book Antiqua" w:hAnsi="Book Antiqua"/>
          <w:sz w:val="22"/>
          <w:szCs w:val="22"/>
          <w:lang w:val="en"/>
        </w:rPr>
        <w:t>6)</w:t>
      </w:r>
      <w:r w:rsidR="00925A1D">
        <w:rPr>
          <w:rStyle w:val="legamendingtext"/>
          <w:rFonts w:ascii="Book Antiqua" w:hAnsi="Book Antiqua"/>
          <w:sz w:val="22"/>
          <w:szCs w:val="22"/>
          <w:lang w:val="en"/>
        </w:rPr>
        <w:tab/>
      </w:r>
      <w:r w:rsidR="00562283" w:rsidRPr="0073357F">
        <w:rPr>
          <w:rStyle w:val="legamendingtext"/>
          <w:rFonts w:ascii="Book Antiqua" w:hAnsi="Book Antiqua"/>
          <w:sz w:val="22"/>
          <w:szCs w:val="22"/>
          <w:lang w:val="en"/>
        </w:rPr>
        <w:t>In</w:t>
      </w:r>
      <w:r w:rsidRPr="0073357F">
        <w:rPr>
          <w:rStyle w:val="legamendingtext"/>
          <w:rFonts w:ascii="Book Antiqua" w:hAnsi="Book Antiqua"/>
          <w:sz w:val="22"/>
          <w:szCs w:val="22"/>
          <w:lang w:val="en"/>
        </w:rPr>
        <w:t xml:space="preserve"> the case of a foreign criminal who has been sentenced to a period of imprisonment of at least four years, the public interest requires deportation unless there are very compelling circumstances, over and above those described in Exceptions 1 and 2.</w:t>
      </w:r>
    </w:p>
    <w:p w:rsidR="00F940C1" w:rsidRPr="0073357F" w:rsidRDefault="00F940C1" w:rsidP="00925A1D">
      <w:pPr>
        <w:pStyle w:val="legclearfix2"/>
        <w:tabs>
          <w:tab w:val="left" w:pos="1701"/>
        </w:tabs>
        <w:spacing w:before="120" w:line="240" w:lineRule="auto"/>
        <w:ind w:left="1134"/>
        <w:jc w:val="both"/>
        <w:rPr>
          <w:rFonts w:ascii="Book Antiqua" w:hAnsi="Book Antiqua"/>
          <w:sz w:val="22"/>
          <w:szCs w:val="22"/>
          <w:lang w:val="en"/>
        </w:rPr>
      </w:pPr>
      <w:r w:rsidRPr="0073357F">
        <w:rPr>
          <w:rStyle w:val="legamendingtext"/>
          <w:rFonts w:ascii="Book Antiqua" w:hAnsi="Book Antiqua"/>
          <w:sz w:val="22"/>
          <w:szCs w:val="22"/>
          <w:lang w:val="en"/>
        </w:rPr>
        <w:t>(</w:t>
      </w:r>
      <w:r w:rsidR="00562283" w:rsidRPr="0073357F">
        <w:rPr>
          <w:rStyle w:val="legamendingtext"/>
          <w:rFonts w:ascii="Book Antiqua" w:hAnsi="Book Antiqua"/>
          <w:sz w:val="22"/>
          <w:szCs w:val="22"/>
          <w:lang w:val="en"/>
        </w:rPr>
        <w:t>7)</w:t>
      </w:r>
      <w:r w:rsidR="00925A1D">
        <w:rPr>
          <w:rStyle w:val="legamendingtext"/>
          <w:rFonts w:ascii="Book Antiqua" w:hAnsi="Book Antiqua"/>
          <w:sz w:val="22"/>
          <w:szCs w:val="22"/>
          <w:lang w:val="en"/>
        </w:rPr>
        <w:tab/>
      </w:r>
      <w:r w:rsidR="00562283" w:rsidRPr="0073357F">
        <w:rPr>
          <w:rStyle w:val="legamendingtext"/>
          <w:rFonts w:ascii="Book Antiqua" w:hAnsi="Book Antiqua"/>
          <w:sz w:val="22"/>
          <w:szCs w:val="22"/>
          <w:lang w:val="en"/>
        </w:rPr>
        <w:t>The</w:t>
      </w:r>
      <w:r w:rsidRPr="0073357F">
        <w:rPr>
          <w:rStyle w:val="legamendingtext"/>
          <w:rFonts w:ascii="Book Antiqua" w:hAnsi="Book Antiqua"/>
          <w:sz w:val="22"/>
          <w:szCs w:val="22"/>
          <w:lang w:val="en"/>
        </w:rPr>
        <w:t xml:space="preserve"> considerations in subsections (1) to (6) are to be taken into account where a court or tribunal is considering a decision to deport a foreign criminal only to the extent that the reason for the decision was the offence or offences for which the criminal has been convicted.</w:t>
      </w:r>
    </w:p>
    <w:p w:rsidR="00925A1D" w:rsidRDefault="00925A1D" w:rsidP="00847259">
      <w:pPr>
        <w:jc w:val="both"/>
        <w:rPr>
          <w:rFonts w:ascii="Book Antiqua" w:hAnsi="Book Antiqua" w:cs="Arial"/>
          <w:b/>
        </w:rPr>
      </w:pPr>
    </w:p>
    <w:p w:rsidR="00925A1D" w:rsidRDefault="00925A1D" w:rsidP="00847259">
      <w:pPr>
        <w:jc w:val="both"/>
        <w:rPr>
          <w:rFonts w:ascii="Book Antiqua" w:hAnsi="Book Antiqua" w:cs="Arial"/>
          <w:b/>
        </w:rPr>
      </w:pPr>
    </w:p>
    <w:p w:rsidR="00925A1D" w:rsidRDefault="00925A1D" w:rsidP="00847259">
      <w:pPr>
        <w:jc w:val="both"/>
        <w:rPr>
          <w:rFonts w:ascii="Book Antiqua" w:hAnsi="Book Antiqua" w:cs="Arial"/>
          <w:b/>
        </w:rPr>
      </w:pPr>
    </w:p>
    <w:p w:rsidR="00CC655E" w:rsidRPr="00CC655E" w:rsidRDefault="00CC655E" w:rsidP="00847259">
      <w:pPr>
        <w:jc w:val="both"/>
        <w:rPr>
          <w:rFonts w:ascii="Book Antiqua" w:hAnsi="Book Antiqua" w:cs="Arial"/>
          <w:b/>
        </w:rPr>
      </w:pPr>
      <w:r w:rsidRPr="00CC655E">
        <w:rPr>
          <w:rFonts w:ascii="Book Antiqua" w:hAnsi="Book Antiqua" w:cs="Arial"/>
          <w:b/>
        </w:rPr>
        <w:lastRenderedPageBreak/>
        <w:t xml:space="preserve">Assessing whether the applicant </w:t>
      </w:r>
      <w:r w:rsidR="009D2CB7">
        <w:rPr>
          <w:rFonts w:ascii="Book Antiqua" w:hAnsi="Book Antiqua" w:cs="Arial"/>
          <w:b/>
        </w:rPr>
        <w:t>has rebutted the presumption that he constitutes</w:t>
      </w:r>
      <w:r w:rsidRPr="00CC655E">
        <w:rPr>
          <w:rFonts w:ascii="Book Antiqua" w:hAnsi="Book Antiqua" w:cs="Arial"/>
          <w:b/>
        </w:rPr>
        <w:t xml:space="preserve"> a danger to the community</w:t>
      </w:r>
      <w:r w:rsidR="009D2CB7">
        <w:rPr>
          <w:rFonts w:ascii="Book Antiqua" w:hAnsi="Book Antiqua" w:cs="Arial"/>
          <w:b/>
        </w:rPr>
        <w:t xml:space="preserve"> </w:t>
      </w:r>
    </w:p>
    <w:p w:rsidR="00CC655E" w:rsidRDefault="00CC655E" w:rsidP="00847259">
      <w:pPr>
        <w:jc w:val="both"/>
        <w:rPr>
          <w:rFonts w:ascii="Book Antiqua" w:hAnsi="Book Antiqua" w:cs="Arial"/>
        </w:rPr>
      </w:pPr>
    </w:p>
    <w:p w:rsidR="00F43F6B" w:rsidRDefault="00CC655E" w:rsidP="00F43F6B">
      <w:pPr>
        <w:numPr>
          <w:ilvl w:val="0"/>
          <w:numId w:val="1"/>
        </w:numPr>
        <w:jc w:val="both"/>
        <w:rPr>
          <w:rFonts w:ascii="Book Antiqua" w:hAnsi="Book Antiqua" w:cs="Arial"/>
        </w:rPr>
      </w:pPr>
      <w:r>
        <w:rPr>
          <w:rFonts w:ascii="Book Antiqua" w:hAnsi="Book Antiqua" w:cs="Arial"/>
        </w:rPr>
        <w:t xml:space="preserve">The appellant has a quite appalling criminal history. I remind myself of </w:t>
      </w:r>
      <w:r w:rsidR="008A7C6E">
        <w:rPr>
          <w:rFonts w:ascii="Book Antiqua" w:hAnsi="Book Antiqua" w:cs="Arial"/>
        </w:rPr>
        <w:t>his</w:t>
      </w:r>
      <w:r>
        <w:rPr>
          <w:rFonts w:ascii="Book Antiqua" w:hAnsi="Book Antiqua" w:cs="Arial"/>
        </w:rPr>
        <w:t xml:space="preserve"> </w:t>
      </w:r>
      <w:r w:rsidR="008A7C6E">
        <w:rPr>
          <w:rFonts w:ascii="Book Antiqua" w:hAnsi="Book Antiqua" w:cs="Arial"/>
        </w:rPr>
        <w:t>more</w:t>
      </w:r>
      <w:r>
        <w:rPr>
          <w:rFonts w:ascii="Book Antiqua" w:hAnsi="Book Antiqua" w:cs="Arial"/>
        </w:rPr>
        <w:t xml:space="preserve"> serious offences outlined in paragraph 8 above. The appellant’s offending consisted in large part of the infliction of violence or </w:t>
      </w:r>
      <w:r w:rsidR="008A7C6E">
        <w:rPr>
          <w:rFonts w:ascii="Book Antiqua" w:hAnsi="Book Antiqua" w:cs="Arial"/>
        </w:rPr>
        <w:t>causing</w:t>
      </w:r>
      <w:r>
        <w:rPr>
          <w:rFonts w:ascii="Book Antiqua" w:hAnsi="Book Antiqua" w:cs="Arial"/>
        </w:rPr>
        <w:t xml:space="preserve"> the apprehension that violence would be inflicted. I note in particular the extremely serious robbery that resulted in the seven-year custodial sentence. I have considered the sentencing remarks of Judge Stern QC who noted that the appellant communicated with armed robbers on 2 occasions prior to them bursting into a bookmaker shop, forcing a member of staff to open a door by putting a sword to his back and stealing about £200. The appellant was instrumental in informing those who carried out the actual robbery when it was </w:t>
      </w:r>
      <w:r w:rsidR="008A7C6E">
        <w:rPr>
          <w:rFonts w:ascii="Book Antiqua" w:hAnsi="Book Antiqua" w:cs="Arial"/>
        </w:rPr>
        <w:t>safe</w:t>
      </w:r>
      <w:r>
        <w:rPr>
          <w:rFonts w:ascii="Book Antiqua" w:hAnsi="Book Antiqua" w:cs="Arial"/>
        </w:rPr>
        <w:t xml:space="preserve"> to do so. </w:t>
      </w:r>
      <w:r w:rsidR="00316640">
        <w:rPr>
          <w:rFonts w:ascii="Book Antiqua" w:hAnsi="Book Antiqua" w:cs="Arial"/>
        </w:rPr>
        <w:t xml:space="preserve">Although he had no direct involvement in the raid, but acted as a lookout, the circumstances of the offence placed staff and customers alike at risk of serious harm. </w:t>
      </w:r>
      <w:r>
        <w:rPr>
          <w:rFonts w:ascii="Book Antiqua" w:hAnsi="Book Antiqua" w:cs="Arial"/>
        </w:rPr>
        <w:t>The judge was satisfied that it was a professionally planned robbery and the robbers knew at every stage that they could count on the appellant. The Sentencing Judge noted that the appellant had “a long-standing difficulty with drugs” and now had a “long-standing difficulty with drink.”</w:t>
      </w:r>
    </w:p>
    <w:p w:rsidR="004542A9" w:rsidRDefault="004542A9" w:rsidP="004542A9">
      <w:pPr>
        <w:ind w:left="567"/>
        <w:jc w:val="both"/>
        <w:rPr>
          <w:rFonts w:ascii="Book Antiqua" w:hAnsi="Book Antiqua" w:cs="Arial"/>
        </w:rPr>
      </w:pPr>
    </w:p>
    <w:p w:rsidR="004542A9" w:rsidRDefault="004542A9" w:rsidP="00F43F6B">
      <w:pPr>
        <w:numPr>
          <w:ilvl w:val="0"/>
          <w:numId w:val="1"/>
        </w:numPr>
        <w:jc w:val="both"/>
        <w:rPr>
          <w:rFonts w:ascii="Book Antiqua" w:hAnsi="Book Antiqua" w:cs="Arial"/>
        </w:rPr>
      </w:pPr>
      <w:r>
        <w:rPr>
          <w:rFonts w:ascii="Book Antiqua" w:hAnsi="Book Antiqua" w:cs="Arial"/>
        </w:rPr>
        <w:t>I have attached significant weight to the quantity and nature of the appellant’s criminality. The sheer number of offences (</w:t>
      </w:r>
      <w:r w:rsidR="008A7C6E">
        <w:rPr>
          <w:rFonts w:ascii="Book Antiqua" w:hAnsi="Book Antiqua" w:cs="Arial"/>
        </w:rPr>
        <w:t xml:space="preserve">I remind myself that </w:t>
      </w:r>
      <w:r>
        <w:rPr>
          <w:rFonts w:ascii="Book Antiqua" w:hAnsi="Book Antiqua" w:cs="Arial"/>
        </w:rPr>
        <w:t>he has been convicted for 45 offences on 28 occasions)</w:t>
      </w:r>
      <w:r w:rsidR="00053029">
        <w:rPr>
          <w:rFonts w:ascii="Book Antiqua" w:hAnsi="Book Antiqua" w:cs="Arial"/>
        </w:rPr>
        <w:t>,</w:t>
      </w:r>
      <w:r w:rsidR="00882D14">
        <w:rPr>
          <w:rFonts w:ascii="Book Antiqua" w:hAnsi="Book Antiqua" w:cs="Arial"/>
        </w:rPr>
        <w:t xml:space="preserve"> indicating that the appellant has a propensity to re-offend,</w:t>
      </w:r>
      <w:r w:rsidR="00053029">
        <w:rPr>
          <w:rFonts w:ascii="Book Antiqua" w:hAnsi="Book Antiqua" w:cs="Arial"/>
        </w:rPr>
        <w:t xml:space="preserve"> their escalating seriousness,</w:t>
      </w:r>
      <w:r>
        <w:rPr>
          <w:rFonts w:ascii="Book Antiqua" w:hAnsi="Book Antiqua" w:cs="Arial"/>
        </w:rPr>
        <w:t xml:space="preserve"> and the </w:t>
      </w:r>
      <w:r w:rsidR="00053029">
        <w:rPr>
          <w:rFonts w:ascii="Book Antiqua" w:hAnsi="Book Antiqua" w:cs="Arial"/>
        </w:rPr>
        <w:t>grave</w:t>
      </w:r>
      <w:r>
        <w:rPr>
          <w:rFonts w:ascii="Book Antiqua" w:hAnsi="Book Antiqua" w:cs="Arial"/>
        </w:rPr>
        <w:t xml:space="preserve"> nature of his </w:t>
      </w:r>
      <w:r w:rsidR="00053029">
        <w:rPr>
          <w:rFonts w:ascii="Book Antiqua" w:hAnsi="Book Antiqua" w:cs="Arial"/>
        </w:rPr>
        <w:t>often-violent</w:t>
      </w:r>
      <w:r>
        <w:rPr>
          <w:rFonts w:ascii="Book Antiqua" w:hAnsi="Book Antiqua" w:cs="Arial"/>
        </w:rPr>
        <w:t xml:space="preserve"> offending, reflected in his numerous sentences of imprisonment including, but by no means limited to, his sentence in July 2013 to 7 years imprisonment, suggests the appellant constitutes a danger to the public. This weighs heavily against the appellant’s rebuttal of the s.72 presumption. </w:t>
      </w:r>
    </w:p>
    <w:p w:rsidR="004542A9" w:rsidRDefault="004542A9" w:rsidP="004542A9">
      <w:pPr>
        <w:pStyle w:val="ListParagraph"/>
        <w:rPr>
          <w:rFonts w:ascii="Book Antiqua" w:hAnsi="Book Antiqua" w:cs="Arial"/>
        </w:rPr>
      </w:pPr>
    </w:p>
    <w:p w:rsidR="00053029" w:rsidRDefault="004542A9" w:rsidP="00B276C6">
      <w:pPr>
        <w:numPr>
          <w:ilvl w:val="0"/>
          <w:numId w:val="1"/>
        </w:numPr>
        <w:jc w:val="both"/>
        <w:rPr>
          <w:rFonts w:ascii="Book Antiqua" w:hAnsi="Book Antiqua" w:cs="Arial"/>
        </w:rPr>
      </w:pPr>
      <w:r w:rsidRPr="00053029">
        <w:rPr>
          <w:rFonts w:ascii="Book Antiqua" w:hAnsi="Book Antiqua" w:cs="Arial"/>
        </w:rPr>
        <w:t xml:space="preserve">I must however consider all relevant circumstances surrounding his offending in determining whether he does, in fact, constitute a danger to the public. </w:t>
      </w:r>
      <w:r w:rsidR="008F146D">
        <w:rPr>
          <w:rFonts w:ascii="Book Antiqua" w:hAnsi="Book Antiqua" w:cs="Arial"/>
        </w:rPr>
        <w:t>The Pre-Sentence reports from 2005 and 2011 position the appellant</w:t>
      </w:r>
      <w:r w:rsidR="00882D14">
        <w:rPr>
          <w:rFonts w:ascii="Book Antiqua" w:hAnsi="Book Antiqua" w:cs="Arial"/>
        </w:rPr>
        <w:t>’</w:t>
      </w:r>
      <w:r w:rsidR="008F146D">
        <w:rPr>
          <w:rFonts w:ascii="Book Antiqua" w:hAnsi="Book Antiqua" w:cs="Arial"/>
        </w:rPr>
        <w:t xml:space="preserve">s alcohol and substance abuse as central to his offending. </w:t>
      </w:r>
      <w:r w:rsidRPr="00053029">
        <w:rPr>
          <w:rFonts w:ascii="Book Antiqua" w:hAnsi="Book Antiqua" w:cs="Arial"/>
        </w:rPr>
        <w:t>Judge Stern QC acknowledged the appellant’s long-standing difficulty with substance abuse</w:t>
      </w:r>
      <w:r w:rsidR="008F146D">
        <w:rPr>
          <w:rFonts w:ascii="Book Antiqua" w:hAnsi="Book Antiqua" w:cs="Arial"/>
        </w:rPr>
        <w:t xml:space="preserve"> in his sentencing remarks in 2013</w:t>
      </w:r>
      <w:r w:rsidRPr="00053029">
        <w:rPr>
          <w:rFonts w:ascii="Book Antiqua" w:hAnsi="Book Antiqua" w:cs="Arial"/>
        </w:rPr>
        <w:t>.</w:t>
      </w:r>
      <w:r w:rsidR="00053029" w:rsidRPr="00053029">
        <w:rPr>
          <w:rFonts w:ascii="Book Antiqua" w:hAnsi="Book Antiqua" w:cs="Arial"/>
        </w:rPr>
        <w:t xml:space="preserve"> The OASys report</w:t>
      </w:r>
      <w:r w:rsidR="00882D14">
        <w:rPr>
          <w:rFonts w:ascii="Book Antiqua" w:hAnsi="Book Antiqua" w:cs="Arial"/>
        </w:rPr>
        <w:t>,</w:t>
      </w:r>
      <w:r w:rsidR="00053029" w:rsidRPr="00053029">
        <w:rPr>
          <w:rFonts w:ascii="Book Antiqua" w:hAnsi="Book Antiqua" w:cs="Arial"/>
        </w:rPr>
        <w:t xml:space="preserve"> completed on 23 March 2017</w:t>
      </w:r>
      <w:r w:rsidR="00882D14">
        <w:rPr>
          <w:rFonts w:ascii="Book Antiqua" w:hAnsi="Book Antiqua" w:cs="Arial"/>
        </w:rPr>
        <w:t>,</w:t>
      </w:r>
      <w:r w:rsidR="00053029" w:rsidRPr="00053029">
        <w:rPr>
          <w:rFonts w:ascii="Book Antiqua" w:hAnsi="Book Antiqua" w:cs="Arial"/>
        </w:rPr>
        <w:t xml:space="preserve"> </w:t>
      </w:r>
      <w:r w:rsidR="00467100">
        <w:rPr>
          <w:rFonts w:ascii="Book Antiqua" w:hAnsi="Book Antiqua" w:cs="Arial"/>
        </w:rPr>
        <w:t xml:space="preserve">also </w:t>
      </w:r>
      <w:r w:rsidR="00053029" w:rsidRPr="00053029">
        <w:rPr>
          <w:rFonts w:ascii="Book Antiqua" w:hAnsi="Book Antiqua" w:cs="Arial"/>
        </w:rPr>
        <w:t xml:space="preserve">acknowledges this long-standing struggle. Throughout the 45-page report reference is made to the addiction to drink and drugs </w:t>
      </w:r>
      <w:r w:rsidR="00053029">
        <w:rPr>
          <w:rFonts w:ascii="Book Antiqua" w:hAnsi="Book Antiqua" w:cs="Arial"/>
        </w:rPr>
        <w:t>that appears to have motivated</w:t>
      </w:r>
      <w:r w:rsidR="00970A43">
        <w:rPr>
          <w:rFonts w:ascii="Book Antiqua" w:hAnsi="Book Antiqua" w:cs="Arial"/>
        </w:rPr>
        <w:t xml:space="preserve"> most </w:t>
      </w:r>
      <w:r w:rsidR="00053029">
        <w:rPr>
          <w:rFonts w:ascii="Book Antiqua" w:hAnsi="Book Antiqua" w:cs="Arial"/>
        </w:rPr>
        <w:t>of his criminal offences. The report noted that the majority of the appellant’s offences were drug and alcohol-related and that, for most of them, he could not remember the details.</w:t>
      </w:r>
      <w:r w:rsidR="00970A43">
        <w:rPr>
          <w:rFonts w:ascii="Book Antiqua" w:hAnsi="Book Antiqua" w:cs="Arial"/>
        </w:rPr>
        <w:t xml:space="preserve"> He acquired a Class A drug habit </w:t>
      </w:r>
      <w:r w:rsidR="00272CEE">
        <w:rPr>
          <w:rFonts w:ascii="Book Antiqua" w:hAnsi="Book Antiqua" w:cs="Arial"/>
        </w:rPr>
        <w:t xml:space="preserve">at a young age </w:t>
      </w:r>
      <w:r w:rsidR="00970A43">
        <w:rPr>
          <w:rFonts w:ascii="Book Antiqua" w:hAnsi="Book Antiqua" w:cs="Arial"/>
        </w:rPr>
        <w:t xml:space="preserve">which he funded through the proceeds of crime, and had associated, </w:t>
      </w:r>
      <w:r w:rsidR="00272CEE">
        <w:rPr>
          <w:rFonts w:ascii="Book Antiqua" w:hAnsi="Book Antiqua" w:cs="Arial"/>
        </w:rPr>
        <w:t xml:space="preserve">again </w:t>
      </w:r>
      <w:r w:rsidR="00970A43">
        <w:rPr>
          <w:rFonts w:ascii="Book Antiqua" w:hAnsi="Book Antiqua" w:cs="Arial"/>
        </w:rPr>
        <w:t>from a young age, with a negative peer group through a perceived need to fit in</w:t>
      </w:r>
      <w:r w:rsidR="0099548D">
        <w:rPr>
          <w:rFonts w:ascii="Book Antiqua" w:hAnsi="Book Antiqua" w:cs="Arial"/>
        </w:rPr>
        <w:t>, and then developed an addiction to alcohol</w:t>
      </w:r>
      <w:r w:rsidR="00970A43">
        <w:rPr>
          <w:rFonts w:ascii="Book Antiqua" w:hAnsi="Book Antiqua" w:cs="Arial"/>
        </w:rPr>
        <w:t>.</w:t>
      </w:r>
      <w:r w:rsidR="00D3679A">
        <w:rPr>
          <w:rFonts w:ascii="Book Antiqua" w:hAnsi="Book Antiqua" w:cs="Arial"/>
        </w:rPr>
        <w:t xml:space="preserve"> The appellant c</w:t>
      </w:r>
      <w:r w:rsidR="006D5A2A">
        <w:rPr>
          <w:rFonts w:ascii="Book Antiqua" w:hAnsi="Book Antiqua" w:cs="Arial"/>
        </w:rPr>
        <w:t xml:space="preserve">ontends that he is no longer in the grips of his previous addictions, and that, as a result, he no longer constitutes a danger to the community. </w:t>
      </w:r>
    </w:p>
    <w:p w:rsidR="008F146D" w:rsidRDefault="008F146D" w:rsidP="008F146D">
      <w:pPr>
        <w:pStyle w:val="ListParagraph"/>
        <w:rPr>
          <w:rFonts w:ascii="Book Antiqua" w:hAnsi="Book Antiqua" w:cs="Arial"/>
        </w:rPr>
      </w:pPr>
    </w:p>
    <w:p w:rsidR="008F146D" w:rsidRDefault="008F146D" w:rsidP="008F146D">
      <w:pPr>
        <w:numPr>
          <w:ilvl w:val="0"/>
          <w:numId w:val="1"/>
        </w:numPr>
        <w:jc w:val="both"/>
        <w:rPr>
          <w:rFonts w:ascii="Book Antiqua" w:hAnsi="Book Antiqua" w:cs="Arial"/>
        </w:rPr>
      </w:pPr>
      <w:r>
        <w:rPr>
          <w:rFonts w:ascii="Book Antiqua" w:hAnsi="Book Antiqua" w:cs="Arial"/>
        </w:rPr>
        <w:lastRenderedPageBreak/>
        <w:t>The February 2017 OASys report indicated that the appellant had a strong and long-standing dependence on alcohol</w:t>
      </w:r>
      <w:r w:rsidR="009E65F9">
        <w:rPr>
          <w:rFonts w:ascii="Book Antiqua" w:hAnsi="Book Antiqua" w:cs="Arial"/>
        </w:rPr>
        <w:t xml:space="preserve">. On his release </w:t>
      </w:r>
      <w:r w:rsidR="006D5A2A">
        <w:rPr>
          <w:rFonts w:ascii="Book Antiqua" w:hAnsi="Book Antiqua" w:cs="Arial"/>
        </w:rPr>
        <w:t>however,</w:t>
      </w:r>
      <w:r w:rsidR="009E65F9">
        <w:rPr>
          <w:rFonts w:ascii="Book Antiqua" w:hAnsi="Book Antiqua" w:cs="Arial"/>
        </w:rPr>
        <w:t xml:space="preserve"> he was accepted into</w:t>
      </w:r>
      <w:r>
        <w:rPr>
          <w:rFonts w:ascii="Book Antiqua" w:hAnsi="Book Antiqua" w:cs="Arial"/>
        </w:rPr>
        <w:t xml:space="preserve"> Kairos Sober Living accommodation and participated in all activities associated with addressing his alcohol issues. </w:t>
      </w:r>
      <w:r w:rsidR="009E65F9">
        <w:rPr>
          <w:rFonts w:ascii="Book Antiqua" w:hAnsi="Book Antiqua" w:cs="Arial"/>
        </w:rPr>
        <w:t xml:space="preserve">I note that the appellant has now abstained </w:t>
      </w:r>
      <w:r w:rsidR="002642C5">
        <w:rPr>
          <w:rFonts w:ascii="Book Antiqua" w:hAnsi="Book Antiqua" w:cs="Arial"/>
        </w:rPr>
        <w:t>from alcohol for approximately 5</w:t>
      </w:r>
      <w:r w:rsidR="009E65F9">
        <w:rPr>
          <w:rFonts w:ascii="Book Antiqua" w:hAnsi="Book Antiqua" w:cs="Arial"/>
        </w:rPr>
        <w:t xml:space="preserve"> years. T</w:t>
      </w:r>
      <w:r>
        <w:rPr>
          <w:rFonts w:ascii="Book Antiqua" w:hAnsi="Book Antiqua" w:cs="Arial"/>
        </w:rPr>
        <w:t>he February 2017 OASys report said the appellant presented</w:t>
      </w:r>
      <w:r w:rsidR="009E65F9">
        <w:rPr>
          <w:rFonts w:ascii="Book Antiqua" w:hAnsi="Book Antiqua" w:cs="Arial"/>
        </w:rPr>
        <w:t xml:space="preserve"> as someone “…</w:t>
      </w:r>
      <w:r>
        <w:rPr>
          <w:rFonts w:ascii="Book Antiqua" w:hAnsi="Book Antiqua" w:cs="Arial"/>
        </w:rPr>
        <w:t>very motivated to turning his life around and engaging with the services of Kairos and maintaining support of his family.” He recognised the importance of engaging with all relevant partnership agencies as well as maintaining the support of his family, and was determined that he would never drink alcohol again. The same report noted that the risk of reoffending could increase if the appellant returned to alcohol misuse and associating with negative peers. There is however no suggestion in any of the documents before me that this has occurred.</w:t>
      </w:r>
    </w:p>
    <w:p w:rsidR="00272CEE" w:rsidRDefault="00272CEE" w:rsidP="00C169EA">
      <w:pPr>
        <w:jc w:val="both"/>
        <w:rPr>
          <w:rFonts w:ascii="Book Antiqua" w:hAnsi="Book Antiqua" w:cs="Arial"/>
        </w:rPr>
      </w:pPr>
    </w:p>
    <w:p w:rsidR="008F146D" w:rsidRDefault="00272CEE" w:rsidP="006D5A2A">
      <w:pPr>
        <w:numPr>
          <w:ilvl w:val="0"/>
          <w:numId w:val="1"/>
        </w:numPr>
        <w:jc w:val="both"/>
        <w:rPr>
          <w:rFonts w:ascii="Book Antiqua" w:hAnsi="Book Antiqua" w:cs="Arial"/>
        </w:rPr>
      </w:pPr>
      <w:r>
        <w:rPr>
          <w:rFonts w:ascii="Book Antiqua" w:hAnsi="Book Antiqua" w:cs="Arial"/>
        </w:rPr>
        <w:t xml:space="preserve">I have considered </w:t>
      </w:r>
      <w:r w:rsidR="006D5A2A">
        <w:rPr>
          <w:rFonts w:ascii="Book Antiqua" w:hAnsi="Book Antiqua" w:cs="Arial"/>
        </w:rPr>
        <w:t>several</w:t>
      </w:r>
      <w:r>
        <w:rPr>
          <w:rFonts w:ascii="Book Antiqua" w:hAnsi="Book Antiqua" w:cs="Arial"/>
        </w:rPr>
        <w:t xml:space="preserve"> letters written throughout 2017 by </w:t>
      </w:r>
      <w:proofErr w:type="spellStart"/>
      <w:r>
        <w:rPr>
          <w:rFonts w:ascii="Book Antiqua" w:hAnsi="Book Antiqua" w:cs="Arial"/>
        </w:rPr>
        <w:t>Karida</w:t>
      </w:r>
      <w:proofErr w:type="spellEnd"/>
      <w:r>
        <w:rPr>
          <w:rFonts w:ascii="Book Antiqua" w:hAnsi="Book Antiqua" w:cs="Arial"/>
        </w:rPr>
        <w:t xml:space="preserve"> </w:t>
      </w:r>
      <w:proofErr w:type="spellStart"/>
      <w:r>
        <w:rPr>
          <w:rFonts w:ascii="Book Antiqua" w:hAnsi="Book Antiqua" w:cs="Arial"/>
        </w:rPr>
        <w:t>Badwah</w:t>
      </w:r>
      <w:proofErr w:type="spellEnd"/>
      <w:r>
        <w:rPr>
          <w:rFonts w:ascii="Book Antiqua" w:hAnsi="Book Antiqua" w:cs="Arial"/>
        </w:rPr>
        <w:t xml:space="preserve">, Offender Manager for the appellant. These letters indicated that the appellant attended an after-care program </w:t>
      </w:r>
      <w:r w:rsidR="006D5A2A">
        <w:rPr>
          <w:rFonts w:ascii="Book Antiqua" w:hAnsi="Book Antiqua" w:cs="Arial"/>
        </w:rPr>
        <w:t>following</w:t>
      </w:r>
      <w:r>
        <w:rPr>
          <w:rFonts w:ascii="Book Antiqua" w:hAnsi="Book Antiqua" w:cs="Arial"/>
        </w:rPr>
        <w:t xml:space="preserve"> his release and was doing “extremely well.” H</w:t>
      </w:r>
      <w:r w:rsidR="006D5A2A">
        <w:rPr>
          <w:rFonts w:ascii="Book Antiqua" w:hAnsi="Book Antiqua" w:cs="Arial"/>
        </w:rPr>
        <w:t>e h</w:t>
      </w:r>
      <w:r>
        <w:rPr>
          <w:rFonts w:ascii="Book Antiqua" w:hAnsi="Book Antiqua" w:cs="Arial"/>
        </w:rPr>
        <w:t xml:space="preserve">ad completed </w:t>
      </w:r>
      <w:r w:rsidR="006D5A2A">
        <w:rPr>
          <w:rFonts w:ascii="Book Antiqua" w:hAnsi="Book Antiqua" w:cs="Arial"/>
        </w:rPr>
        <w:t>lots</w:t>
      </w:r>
      <w:r>
        <w:rPr>
          <w:rFonts w:ascii="Book Antiqua" w:hAnsi="Book Antiqua" w:cs="Arial"/>
        </w:rPr>
        <w:t xml:space="preserve"> of work around his offending behaviour and the impact this would have had on his </w:t>
      </w:r>
      <w:r w:rsidR="006D5A2A">
        <w:rPr>
          <w:rFonts w:ascii="Book Antiqua" w:hAnsi="Book Antiqua" w:cs="Arial"/>
        </w:rPr>
        <w:t>victims. He was said to have a</w:t>
      </w:r>
      <w:r>
        <w:rPr>
          <w:rFonts w:ascii="Book Antiqua" w:hAnsi="Book Antiqua" w:cs="Arial"/>
        </w:rPr>
        <w:t xml:space="preserve"> “</w:t>
      </w:r>
      <w:r w:rsidR="006D5A2A">
        <w:rPr>
          <w:rFonts w:ascii="Book Antiqua" w:hAnsi="Book Antiqua" w:cs="Arial"/>
        </w:rPr>
        <w:t xml:space="preserve">… </w:t>
      </w:r>
      <w:r>
        <w:rPr>
          <w:rFonts w:ascii="Book Antiqua" w:hAnsi="Book Antiqua" w:cs="Arial"/>
        </w:rPr>
        <w:t xml:space="preserve">clear desire to turn his life around.” The appellant has “… Done everything he can to implement the changes required to live a sober and crime free lifestyle.” </w:t>
      </w:r>
      <w:r w:rsidR="006D5A2A">
        <w:rPr>
          <w:rFonts w:ascii="Book Antiqua" w:hAnsi="Book Antiqua" w:cs="Arial"/>
        </w:rPr>
        <w:t xml:space="preserve">He </w:t>
      </w:r>
      <w:r>
        <w:rPr>
          <w:rFonts w:ascii="Book Antiqua" w:hAnsi="Book Antiqua" w:cs="Arial"/>
        </w:rPr>
        <w:t>has never missed an appointment with probation and there were no concerns regarding relapse or reoffending. T</w:t>
      </w:r>
      <w:r w:rsidR="006D5A2A">
        <w:rPr>
          <w:rFonts w:ascii="Book Antiqua" w:hAnsi="Book Antiqua" w:cs="Arial"/>
        </w:rPr>
        <w:t>he appellant was said to be “… c</w:t>
      </w:r>
      <w:r>
        <w:rPr>
          <w:rFonts w:ascii="Book Antiqua" w:hAnsi="Book Antiqua" w:cs="Arial"/>
        </w:rPr>
        <w:t>urrently stable and on a positive path of rehabilitation.”</w:t>
      </w:r>
    </w:p>
    <w:p w:rsidR="006D5A2A" w:rsidRDefault="006D5A2A" w:rsidP="006D5A2A">
      <w:pPr>
        <w:ind w:left="567"/>
        <w:jc w:val="both"/>
        <w:rPr>
          <w:rFonts w:ascii="Book Antiqua" w:hAnsi="Book Antiqua" w:cs="Arial"/>
        </w:rPr>
      </w:pPr>
    </w:p>
    <w:p w:rsidR="006D5A2A" w:rsidRDefault="006D5A2A" w:rsidP="006D5A2A">
      <w:pPr>
        <w:numPr>
          <w:ilvl w:val="0"/>
          <w:numId w:val="1"/>
        </w:numPr>
        <w:jc w:val="both"/>
        <w:rPr>
          <w:rFonts w:ascii="Book Antiqua" w:hAnsi="Book Antiqua" w:cs="Arial"/>
        </w:rPr>
      </w:pPr>
      <w:r>
        <w:rPr>
          <w:rFonts w:ascii="Book Antiqua" w:hAnsi="Book Antiqua" w:cs="Arial"/>
        </w:rPr>
        <w:t>While a serving prisoner the appellant tested negative to mandatory drug tests, as evidenced by certificates contained in his 1</w:t>
      </w:r>
      <w:r w:rsidRPr="00521091">
        <w:rPr>
          <w:rFonts w:ascii="Book Antiqua" w:hAnsi="Book Antiqua" w:cs="Arial"/>
          <w:vertAlign w:val="superscript"/>
        </w:rPr>
        <w:t>st</w:t>
      </w:r>
      <w:r>
        <w:rPr>
          <w:rFonts w:ascii="Book Antiqua" w:hAnsi="Book Antiqua" w:cs="Arial"/>
        </w:rPr>
        <w:t xml:space="preserve"> bundle. The February 2017 OASys report indicated that, following his release, the appellant was subject to random testing. There is nothing in any of the probation documents suggesting that he has returned a positive test to drugs. The report indicated that he had engaged well with the </w:t>
      </w:r>
      <w:proofErr w:type="spellStart"/>
      <w:r>
        <w:rPr>
          <w:rFonts w:ascii="Book Antiqua" w:hAnsi="Book Antiqua" w:cs="Arial"/>
        </w:rPr>
        <w:t>RAPt</w:t>
      </w:r>
      <w:proofErr w:type="spellEnd"/>
      <w:r>
        <w:rPr>
          <w:rFonts w:ascii="Book Antiqua" w:hAnsi="Book Antiqua" w:cs="Arial"/>
        </w:rPr>
        <w:t xml:space="preserve"> (Rehabilitation For Addicted Prisoners Trust) team and his 1</w:t>
      </w:r>
      <w:r w:rsidRPr="00534BD2">
        <w:rPr>
          <w:rFonts w:ascii="Book Antiqua" w:hAnsi="Book Antiqua" w:cs="Arial"/>
          <w:vertAlign w:val="superscript"/>
        </w:rPr>
        <w:t>st</w:t>
      </w:r>
      <w:r>
        <w:rPr>
          <w:rFonts w:ascii="Book Antiqua" w:hAnsi="Book Antiqua" w:cs="Arial"/>
        </w:rPr>
        <w:t xml:space="preserve"> bundle contained Certificates of Achievement in the Stepping Stones Programme, a certificate of attendance in respect of a workshop on cocaine and cannabis awareness, and a certificate confirming that the appellant had completed the three phase </w:t>
      </w:r>
      <w:proofErr w:type="spellStart"/>
      <w:r>
        <w:rPr>
          <w:rFonts w:ascii="Book Antiqua" w:hAnsi="Book Antiqua" w:cs="Arial"/>
        </w:rPr>
        <w:t>RAPt</w:t>
      </w:r>
      <w:proofErr w:type="spellEnd"/>
      <w:r>
        <w:rPr>
          <w:rFonts w:ascii="Book Antiqua" w:hAnsi="Book Antiqua" w:cs="Arial"/>
        </w:rPr>
        <w:t xml:space="preserve"> Substance Abuse Treatment Programme. </w:t>
      </w:r>
    </w:p>
    <w:p w:rsidR="006D5A2A" w:rsidRDefault="006D5A2A" w:rsidP="006D5A2A">
      <w:pPr>
        <w:ind w:left="567"/>
        <w:jc w:val="both"/>
        <w:rPr>
          <w:rFonts w:ascii="Book Antiqua" w:hAnsi="Book Antiqua" w:cs="Arial"/>
        </w:rPr>
      </w:pPr>
    </w:p>
    <w:p w:rsidR="006D5A2A" w:rsidRDefault="006D5A2A" w:rsidP="006D5A2A">
      <w:pPr>
        <w:numPr>
          <w:ilvl w:val="0"/>
          <w:numId w:val="1"/>
        </w:numPr>
        <w:jc w:val="both"/>
        <w:rPr>
          <w:rFonts w:ascii="Book Antiqua" w:hAnsi="Book Antiqua" w:cs="Arial"/>
        </w:rPr>
      </w:pPr>
      <w:r w:rsidRPr="00272CEE">
        <w:rPr>
          <w:rFonts w:ascii="Book Antiqua" w:hAnsi="Book Antiqua" w:cs="Arial"/>
        </w:rPr>
        <w:t>There is</w:t>
      </w:r>
      <w:r>
        <w:rPr>
          <w:rFonts w:ascii="Book Antiqua" w:hAnsi="Book Antiqua" w:cs="Arial"/>
        </w:rPr>
        <w:t xml:space="preserve"> other evidence that the appellant has genuinely decided to turn his life around. While a serving prisoner he was a student on the Personal and Social Development, Substance Misuse Awareness Course in 2014, when his attitude, behaviour and attendance was said to be very good. He completed the course and gained a Substance Misuse Awareness Level 2 Certificate. A letter, dated 20 October 2017, from Radha Allen, Service Manager of BSAFE, indicated that the appellant had completed a Recovery Champion Course, a self-development course leading people out of treatment, and had signed on to the November intake in order to graduate. He was said to be “highly motivated with a constructive attitude” and had started volunteering at the BSAFE weekend service, which is run </w:t>
      </w:r>
      <w:r>
        <w:rPr>
          <w:rFonts w:ascii="Book Antiqua" w:hAnsi="Book Antiqua" w:cs="Arial"/>
        </w:rPr>
        <w:lastRenderedPageBreak/>
        <w:t xml:space="preserve">by volunteers wanting to give back to the community and help other recovering addicts by giving them a safe space at weekends when all other services are closed. The appellant had also signed up with a partner agency, Project Stride, </w:t>
      </w:r>
      <w:r w:rsidR="001A4527">
        <w:rPr>
          <w:rFonts w:ascii="Book Antiqua" w:hAnsi="Book Antiqua" w:cs="Arial"/>
        </w:rPr>
        <w:t xml:space="preserve">which helped people with addiction </w:t>
      </w:r>
      <w:r>
        <w:rPr>
          <w:rFonts w:ascii="Book Antiqua" w:hAnsi="Book Antiqua" w:cs="Arial"/>
        </w:rPr>
        <w:t>backgrounds back into work, and had also signed up with PLIAS to try to further his education. The appellant was said to be a valued member of the team, was hard-working and a great communicator. A further letter written by Ms Allen, dated 6 April 2018, confirmed that the appellant graduated in December 2017 and has since been back to support and encourage the next intake of Recovery Champions. The appellant earned himself the volunteer of the month award in January 2018 and participated in a Junior Citizenship scheme, educating year 7 pupils about alcohol and nicotine.</w:t>
      </w:r>
    </w:p>
    <w:p w:rsidR="006D5A2A" w:rsidRDefault="006D5A2A" w:rsidP="001A4527">
      <w:pPr>
        <w:jc w:val="both"/>
        <w:rPr>
          <w:rFonts w:ascii="Book Antiqua" w:hAnsi="Book Antiqua" w:cs="Arial"/>
        </w:rPr>
      </w:pPr>
    </w:p>
    <w:p w:rsidR="006D5A2A" w:rsidRDefault="006D5A2A" w:rsidP="006D5A2A">
      <w:pPr>
        <w:numPr>
          <w:ilvl w:val="0"/>
          <w:numId w:val="1"/>
        </w:numPr>
        <w:jc w:val="both"/>
        <w:rPr>
          <w:rFonts w:ascii="Book Antiqua" w:hAnsi="Book Antiqua" w:cs="Arial"/>
        </w:rPr>
      </w:pPr>
      <w:r>
        <w:rPr>
          <w:rFonts w:ascii="Book Antiqua" w:hAnsi="Book Antiqua" w:cs="Arial"/>
        </w:rPr>
        <w:t xml:space="preserve">Further evidence that the appellant has finally overcome his substance abuse is seen in the letter, dated 26 October 2017, from </w:t>
      </w:r>
      <w:proofErr w:type="spellStart"/>
      <w:r>
        <w:rPr>
          <w:rFonts w:ascii="Book Antiqua" w:hAnsi="Book Antiqua" w:cs="Arial"/>
        </w:rPr>
        <w:t>Tarja</w:t>
      </w:r>
      <w:proofErr w:type="spellEnd"/>
      <w:r>
        <w:rPr>
          <w:rFonts w:ascii="Book Antiqua" w:hAnsi="Book Antiqua" w:cs="Arial"/>
        </w:rPr>
        <w:t xml:space="preserve"> Davidson, Assistant Psychologist of the Addiction Recovery &amp; Clinical Centre, noting that the appellant is a service user, successfully completed a 12-week program and continued to engage with the service by attending 1-2-1 counselling sessions weekly since 28 June 2017. The appellant was described as being highly motivated to achieve a positive outcome, maintained a good attendance and remains abstinent from alcohol. Another letter from </w:t>
      </w:r>
      <w:proofErr w:type="spellStart"/>
      <w:r>
        <w:rPr>
          <w:rFonts w:ascii="Book Antiqua" w:hAnsi="Book Antiqua" w:cs="Arial"/>
        </w:rPr>
        <w:t>Fathiya</w:t>
      </w:r>
      <w:proofErr w:type="spellEnd"/>
      <w:r>
        <w:rPr>
          <w:rFonts w:ascii="Book Antiqua" w:hAnsi="Book Antiqua" w:cs="Arial"/>
        </w:rPr>
        <w:t xml:space="preserve"> </w:t>
      </w:r>
      <w:proofErr w:type="spellStart"/>
      <w:r>
        <w:rPr>
          <w:rFonts w:ascii="Book Antiqua" w:hAnsi="Book Antiqua" w:cs="Arial"/>
        </w:rPr>
        <w:t>Abdirazak</w:t>
      </w:r>
      <w:proofErr w:type="spellEnd"/>
      <w:r>
        <w:rPr>
          <w:rFonts w:ascii="Book Antiqua" w:hAnsi="Book Antiqua" w:cs="Arial"/>
        </w:rPr>
        <w:t xml:space="preserve"> of the organisation SOVA, indicated that the appellant gained a Substance Misuse Counselling Level 2 qualification with 2 ongoing assignments left to complete. The appellant showed money budgeting skills and solved his debt problems. The appellant demonstrated initiative and determination in completing tasks and had shown </w:t>
      </w:r>
      <w:r w:rsidR="002642C5">
        <w:rPr>
          <w:rFonts w:ascii="Book Antiqua" w:hAnsi="Book Antiqua" w:cs="Arial"/>
        </w:rPr>
        <w:t>an interest in becoming a mentor</w:t>
      </w:r>
      <w:r>
        <w:rPr>
          <w:rFonts w:ascii="Book Antiqua" w:hAnsi="Book Antiqua" w:cs="Arial"/>
        </w:rPr>
        <w:t xml:space="preserve"> with the organisation in the future. A letter dated 26 October 2017 from Frank Donald, a Support Worker with the Kairos Community Trust, confirmed that the appellant had been deemed suitable for one of the organisation</w:t>
      </w:r>
      <w:r w:rsidR="001A4527">
        <w:rPr>
          <w:rFonts w:ascii="Book Antiqua" w:hAnsi="Book Antiqua" w:cs="Arial"/>
        </w:rPr>
        <w:t>’</w:t>
      </w:r>
      <w:r>
        <w:rPr>
          <w:rFonts w:ascii="Book Antiqua" w:hAnsi="Book Antiqua" w:cs="Arial"/>
        </w:rPr>
        <w:t>s 3</w:t>
      </w:r>
      <w:r w:rsidRPr="00916BD2">
        <w:rPr>
          <w:rFonts w:ascii="Book Antiqua" w:hAnsi="Book Antiqua" w:cs="Arial"/>
          <w:vertAlign w:val="superscript"/>
        </w:rPr>
        <w:t>rd</w:t>
      </w:r>
      <w:r>
        <w:rPr>
          <w:rFonts w:ascii="Book Antiqua" w:hAnsi="Book Antiqua" w:cs="Arial"/>
        </w:rPr>
        <w:t xml:space="preserve"> stage recovery homes and that on 28 June 2017 he started to engage with NHS counselling service to address his PTSD issues. Mr Macdonald corroborated the evidence from Ms Allen in respect of the appellant’s voluntary position at BSAFE and his completion of the Recovery Champions course. The appellant had fully complied with all expectations </w:t>
      </w:r>
      <w:r w:rsidR="001A4527">
        <w:rPr>
          <w:rFonts w:ascii="Book Antiqua" w:hAnsi="Book Antiqua" w:cs="Arial"/>
        </w:rPr>
        <w:t>within Kairos and appeared, “… t</w:t>
      </w:r>
      <w:r>
        <w:rPr>
          <w:rFonts w:ascii="Book Antiqua" w:hAnsi="Book Antiqua" w:cs="Arial"/>
        </w:rPr>
        <w:t>o have turned away from his previous way of being and has developed a drug/alcohol free lifestyle and presents today as being [a] responsible productive member of society.” The appellant often shared his feelings of guilt, shame and remorse and was seen as a role model to many in the house supporting people wishing to address the</w:t>
      </w:r>
      <w:r w:rsidR="001A4527">
        <w:rPr>
          <w:rFonts w:ascii="Book Antiqua" w:hAnsi="Book Antiqua" w:cs="Arial"/>
        </w:rPr>
        <w:t>ir</w:t>
      </w:r>
      <w:r>
        <w:rPr>
          <w:rFonts w:ascii="Book Antiqua" w:hAnsi="Book Antiqua" w:cs="Arial"/>
        </w:rPr>
        <w:t xml:space="preserve"> substance misuse issues. The appellant was totally abstinent from all mood-altering substances, attended ‘12-step fellowship’ meetings fo</w:t>
      </w:r>
      <w:r w:rsidR="001A4527">
        <w:rPr>
          <w:rFonts w:ascii="Book Antiqua" w:hAnsi="Book Antiqua" w:cs="Arial"/>
        </w:rPr>
        <w:t>u</w:t>
      </w:r>
      <w:r>
        <w:rPr>
          <w:rFonts w:ascii="Book Antiqua" w:hAnsi="Book Antiqua" w:cs="Arial"/>
        </w:rPr>
        <w:t>r times a week and consistently helped others. He also had commitments at local groups giving his time freely to support young people. The appellant was said to have taken full responsibility and ownership for his actions and was making the necessary changes in his life to support himself in leading an alcohol/drug crime free lifestyle.</w:t>
      </w:r>
    </w:p>
    <w:p w:rsidR="001A4527" w:rsidRDefault="001A4527" w:rsidP="001A4527">
      <w:pPr>
        <w:ind w:left="567"/>
        <w:jc w:val="both"/>
        <w:rPr>
          <w:rFonts w:ascii="Book Antiqua" w:hAnsi="Book Antiqua" w:cs="Arial"/>
        </w:rPr>
      </w:pPr>
    </w:p>
    <w:p w:rsidR="001A4527" w:rsidRDefault="001A4527" w:rsidP="001A4527">
      <w:pPr>
        <w:numPr>
          <w:ilvl w:val="0"/>
          <w:numId w:val="1"/>
        </w:numPr>
        <w:jc w:val="both"/>
        <w:rPr>
          <w:rFonts w:ascii="Book Antiqua" w:hAnsi="Book Antiqua" w:cs="Arial"/>
        </w:rPr>
      </w:pPr>
      <w:r>
        <w:rPr>
          <w:rFonts w:ascii="Book Antiqua" w:hAnsi="Book Antiqua" w:cs="Arial"/>
        </w:rPr>
        <w:t xml:space="preserve">I additionally note that the appellant has undertaken a number of courses whilst in prison including literacy and numeracy work, health and safety in the workplace, </w:t>
      </w:r>
      <w:r>
        <w:rPr>
          <w:rFonts w:ascii="Book Antiqua" w:hAnsi="Book Antiqua" w:cs="Arial"/>
        </w:rPr>
        <w:lastRenderedPageBreak/>
        <w:t>employability and life skills and has studied plumbing</w:t>
      </w:r>
      <w:r w:rsidR="002642C5">
        <w:rPr>
          <w:rFonts w:ascii="Book Antiqua" w:hAnsi="Book Antiqua" w:cs="Arial"/>
        </w:rPr>
        <w:t xml:space="preserve"> and has various plumbing related certificates</w:t>
      </w:r>
      <w:r>
        <w:rPr>
          <w:rFonts w:ascii="Book Antiqua" w:hAnsi="Book Antiqua" w:cs="Arial"/>
        </w:rPr>
        <w:t>. This is a further factor, albeit a relatively slight one, that supports the appellant’s claim that he has undergone a ‘sea change’ and has put his criminality behind him. The February 2017 OASys report noted that a lack of direction had been a strong contributing factor to the appellant’s offending activity.</w:t>
      </w:r>
    </w:p>
    <w:p w:rsidR="001A4527" w:rsidRPr="0016016D" w:rsidRDefault="001A4527" w:rsidP="001A4527">
      <w:pPr>
        <w:ind w:left="567"/>
        <w:jc w:val="both"/>
        <w:rPr>
          <w:rFonts w:ascii="Book Antiqua" w:hAnsi="Book Antiqua" w:cs="Arial"/>
        </w:rPr>
      </w:pPr>
    </w:p>
    <w:p w:rsidR="001A4527" w:rsidRDefault="001A4527" w:rsidP="001A4527">
      <w:pPr>
        <w:numPr>
          <w:ilvl w:val="0"/>
          <w:numId w:val="1"/>
        </w:numPr>
        <w:jc w:val="both"/>
        <w:rPr>
          <w:rFonts w:ascii="Book Antiqua" w:hAnsi="Book Antiqua" w:cs="Arial"/>
        </w:rPr>
      </w:pPr>
      <w:r>
        <w:rPr>
          <w:rFonts w:ascii="Book Antiqua" w:hAnsi="Book Antiqua" w:cs="Arial"/>
        </w:rPr>
        <w:t>The February 2017 OASys report concluded that the appellant presented a medium risk of serious harm to the public, and medium risk of reoffending, with a probability of proven reoffending within the 1</w:t>
      </w:r>
      <w:r w:rsidRPr="0099548D">
        <w:rPr>
          <w:rFonts w:ascii="Book Antiqua" w:hAnsi="Book Antiqua" w:cs="Arial"/>
          <w:vertAlign w:val="superscript"/>
        </w:rPr>
        <w:t>st</w:t>
      </w:r>
      <w:r>
        <w:rPr>
          <w:rFonts w:ascii="Book Antiqua" w:hAnsi="Book Antiqua" w:cs="Arial"/>
        </w:rPr>
        <w:t xml:space="preserve"> year at 57%, and at 73% in the 2</w:t>
      </w:r>
      <w:r w:rsidRPr="0099548D">
        <w:rPr>
          <w:rFonts w:ascii="Book Antiqua" w:hAnsi="Book Antiqua" w:cs="Arial"/>
          <w:vertAlign w:val="superscript"/>
        </w:rPr>
        <w:t>nd</w:t>
      </w:r>
      <w:r>
        <w:rPr>
          <w:rFonts w:ascii="Book Antiqua" w:hAnsi="Book Antiqua" w:cs="Arial"/>
        </w:rPr>
        <w:t xml:space="preserve"> year. </w:t>
      </w:r>
      <w:r w:rsidRPr="001A4527">
        <w:rPr>
          <w:rFonts w:ascii="Book Antiqua" w:hAnsi="Book Antiqua" w:cs="Arial"/>
        </w:rPr>
        <w:t>A further OASys report, dated 29 March 2018, confirmed that the appellant had been compliant and had abstained from alcohol. The assessed risk of causing serious harm to the public was now low. This was a reduction from the February 2017 OASys report. He remained however at medium risk of reoffending, with the same percentile assessment. The circumstances said to be likely to increase risk included associations with negative peers, relapse into alcohol misuse, poor emotional control and poorer problem-solving skills, lack of victim empathy and poor financial management.</w:t>
      </w:r>
      <w:r w:rsidR="003E63EF">
        <w:rPr>
          <w:rFonts w:ascii="Book Antiqua" w:hAnsi="Book Antiqua" w:cs="Arial"/>
        </w:rPr>
        <w:t xml:space="preserve"> I note that, at the date of the hearing in May 2018, there was no suggestion that the appellant had associated with negative peers or that he had relapsed into alcohol misuse. </w:t>
      </w:r>
      <w:r w:rsidR="005836E9">
        <w:rPr>
          <w:rFonts w:ascii="Book Antiqua" w:hAnsi="Book Antiqua" w:cs="Arial"/>
        </w:rPr>
        <w:t xml:space="preserve">Factors </w:t>
      </w:r>
      <w:r w:rsidR="009D55C5">
        <w:rPr>
          <w:rFonts w:ascii="Book Antiqua" w:hAnsi="Book Antiqua" w:cs="Arial"/>
        </w:rPr>
        <w:t xml:space="preserve">identified as </w:t>
      </w:r>
      <w:r w:rsidR="005836E9">
        <w:rPr>
          <w:rFonts w:ascii="Book Antiqua" w:hAnsi="Book Antiqua" w:cs="Arial"/>
        </w:rPr>
        <w:t>likely</w:t>
      </w:r>
      <w:r w:rsidR="009D55C5">
        <w:rPr>
          <w:rFonts w:ascii="Book Antiqua" w:hAnsi="Book Antiqua" w:cs="Arial"/>
        </w:rPr>
        <w:t xml:space="preserve"> to reduce risk included engagement and participation with the Kairos support worker and </w:t>
      </w:r>
      <w:r w:rsidR="002642C5">
        <w:rPr>
          <w:rFonts w:ascii="Book Antiqua" w:hAnsi="Book Antiqua" w:cs="Arial"/>
        </w:rPr>
        <w:t>participation</w:t>
      </w:r>
      <w:r w:rsidR="009D55C5">
        <w:rPr>
          <w:rFonts w:ascii="Book Antiqua" w:hAnsi="Book Antiqua" w:cs="Arial"/>
        </w:rPr>
        <w:t xml:space="preserve"> in group therapy sessions, engagement in counselling to address emotional needs, family support and secure employment. </w:t>
      </w:r>
      <w:r w:rsidR="009710BD">
        <w:rPr>
          <w:rFonts w:ascii="Book Antiqua" w:hAnsi="Book Antiqua" w:cs="Arial"/>
        </w:rPr>
        <w:t>A letter from Frank McDonald dated 6 February 2018 confirmed that the appellant has done “extremely well” since entering the Kairos accommodation and was now ready to move on to independent living. The appellant was said to have mixed well with other residents and had taken responsibility for his own recovery as well as helping others voluntarily. The appellant was described as being a “great example” to others, had been active in his voluntary work for 6 months and was now ready for change.</w:t>
      </w:r>
    </w:p>
    <w:p w:rsidR="003E63EF" w:rsidRDefault="003E63EF" w:rsidP="003E63EF">
      <w:pPr>
        <w:pStyle w:val="ListParagraph"/>
        <w:rPr>
          <w:rFonts w:ascii="Book Antiqua" w:hAnsi="Book Antiqua" w:cs="Arial"/>
        </w:rPr>
      </w:pPr>
    </w:p>
    <w:p w:rsidR="001A4527" w:rsidRDefault="001A4527" w:rsidP="003E63EF">
      <w:pPr>
        <w:numPr>
          <w:ilvl w:val="0"/>
          <w:numId w:val="1"/>
        </w:numPr>
        <w:jc w:val="both"/>
        <w:rPr>
          <w:rFonts w:ascii="Book Antiqua" w:hAnsi="Book Antiqua" w:cs="Arial"/>
        </w:rPr>
      </w:pPr>
      <w:r w:rsidRPr="003E63EF">
        <w:rPr>
          <w:rFonts w:ascii="Book Antiqua" w:hAnsi="Book Antiqua" w:cs="Arial"/>
        </w:rPr>
        <w:t xml:space="preserve">Whilst I attach appropriate weight to the percentile assessment of the appellant reoffending, I note that the assessment tool combines static data with dynamic factors relating to the </w:t>
      </w:r>
      <w:r w:rsidR="003E63EF">
        <w:rPr>
          <w:rFonts w:ascii="Book Antiqua" w:hAnsi="Book Antiqua" w:cs="Arial"/>
        </w:rPr>
        <w:t>appellant. There is no indication that the author of the March 2018 OASys report interviewed or considered evidence from the appellant’s family or partner</w:t>
      </w:r>
      <w:r w:rsidR="009710BD">
        <w:rPr>
          <w:rFonts w:ascii="Book Antiqua" w:hAnsi="Book Antiqua" w:cs="Arial"/>
        </w:rPr>
        <w:t>, or that the author was aware of the employment opportunities now offered by the appellant’s family</w:t>
      </w:r>
      <w:r w:rsidR="003E63EF">
        <w:rPr>
          <w:rFonts w:ascii="Book Antiqua" w:hAnsi="Book Antiqua" w:cs="Arial"/>
        </w:rPr>
        <w:t>.</w:t>
      </w:r>
      <w:r w:rsidR="009710BD">
        <w:rPr>
          <w:rFonts w:ascii="Book Antiqua" w:hAnsi="Book Antiqua" w:cs="Arial"/>
        </w:rPr>
        <w:t xml:space="preserve"> In his statement dated 5 April 2018 AK indicated that he owned his own company, Emergency Heating and Plumbing, and that he was willing to help the appellant with his training and that, if he qualifies as a gas safe engineer, the appellant could work as a subcontractor. </w:t>
      </w:r>
      <w:r w:rsidR="003E719E">
        <w:rPr>
          <w:rFonts w:ascii="Book Antiqua" w:hAnsi="Book Antiqua" w:cs="Arial"/>
        </w:rPr>
        <w:t xml:space="preserve">He would loan the appellant money to fund his training which could be paid back once he was employed. </w:t>
      </w:r>
      <w:r w:rsidR="009710BD">
        <w:rPr>
          <w:rFonts w:ascii="Book Antiqua" w:hAnsi="Book Antiqua" w:cs="Arial"/>
        </w:rPr>
        <w:t>Some details of AK’s business were provided and there was no challenge to his assertions at the hearing. In addition, in both her email dated 5 April 2018</w:t>
      </w:r>
      <w:r w:rsidR="00037911">
        <w:rPr>
          <w:rFonts w:ascii="Book Antiqua" w:hAnsi="Book Antiqua" w:cs="Arial"/>
        </w:rPr>
        <w:t xml:space="preserve"> and her oral evidence at the hearing, ATK indicated that she would be happy to employee the appellant to support her in running her new company, </w:t>
      </w:r>
      <w:r w:rsidR="002642C5">
        <w:rPr>
          <w:rFonts w:ascii="Book Antiqua" w:hAnsi="Book Antiqua" w:cs="Arial"/>
        </w:rPr>
        <w:t>‘</w:t>
      </w:r>
      <w:proofErr w:type="spellStart"/>
      <w:r w:rsidR="00037911">
        <w:rPr>
          <w:rFonts w:ascii="Book Antiqua" w:hAnsi="Book Antiqua" w:cs="Arial"/>
        </w:rPr>
        <w:t>Amatte</w:t>
      </w:r>
      <w:proofErr w:type="spellEnd"/>
      <w:r w:rsidR="00037911">
        <w:rPr>
          <w:rFonts w:ascii="Book Antiqua" w:hAnsi="Book Antiqua" w:cs="Arial"/>
        </w:rPr>
        <w:t xml:space="preserve"> Ltd’, which is a direct trade coffee business. There was no challenge to this evidence at the hearing. I find that the offers of employment</w:t>
      </w:r>
      <w:r w:rsidR="002642C5">
        <w:rPr>
          <w:rFonts w:ascii="Book Antiqua" w:hAnsi="Book Antiqua" w:cs="Arial"/>
        </w:rPr>
        <w:t xml:space="preserve"> and training</w:t>
      </w:r>
      <w:r w:rsidR="003E63EF">
        <w:rPr>
          <w:rFonts w:ascii="Book Antiqua" w:hAnsi="Book Antiqua" w:cs="Arial"/>
        </w:rPr>
        <w:t xml:space="preserve"> </w:t>
      </w:r>
      <w:r w:rsidR="00037911">
        <w:rPr>
          <w:rFonts w:ascii="Book Antiqua" w:hAnsi="Book Antiqua" w:cs="Arial"/>
        </w:rPr>
        <w:t xml:space="preserve">to the </w:t>
      </w:r>
      <w:r w:rsidR="00037911">
        <w:rPr>
          <w:rFonts w:ascii="Book Antiqua" w:hAnsi="Book Antiqua" w:cs="Arial"/>
        </w:rPr>
        <w:lastRenderedPageBreak/>
        <w:t>appellant are genuine and that they offer the appellant both stability and a source of income. I am additionally satisfied that the offers of employment demonstrate a newfound belief on the part of the appellant’s family that he will no longer engage in behaviour leading to criminality.</w:t>
      </w:r>
    </w:p>
    <w:p w:rsidR="00C169EA" w:rsidRPr="00EA4CAC" w:rsidRDefault="00C169EA" w:rsidP="00C169EA">
      <w:pPr>
        <w:ind w:left="567"/>
        <w:jc w:val="both"/>
        <w:rPr>
          <w:rFonts w:ascii="Book Antiqua" w:hAnsi="Book Antiqua" w:cs="Arial"/>
        </w:rPr>
      </w:pPr>
    </w:p>
    <w:p w:rsidR="00C169EA" w:rsidRPr="00EA4CAC" w:rsidRDefault="00C169EA" w:rsidP="00C169EA">
      <w:pPr>
        <w:numPr>
          <w:ilvl w:val="0"/>
          <w:numId w:val="1"/>
        </w:numPr>
        <w:jc w:val="both"/>
        <w:rPr>
          <w:rFonts w:ascii="Book Antiqua" w:hAnsi="Book Antiqua" w:cs="Arial"/>
        </w:rPr>
      </w:pPr>
      <w:r w:rsidRPr="00EA4CAC">
        <w:rPr>
          <w:rFonts w:ascii="Book Antiqua" w:hAnsi="Book Antiqua" w:cs="Arial"/>
        </w:rPr>
        <w:t>While it is concerning to note that, according the February 2017 OASys report, the appellant did not accept responsibility for the April 2012 robbery, maintaining that he was there by chance and denying having anything to do with the males, he has subsequently fully accepted responsibility and ownership for his actions.</w:t>
      </w:r>
      <w:r w:rsidR="00EA4CAC">
        <w:rPr>
          <w:rFonts w:ascii="Book Antiqua" w:hAnsi="Book Antiqua" w:cs="Arial"/>
        </w:rPr>
        <w:t xml:space="preserve"> He indicated in his November 2017 statement that he was ashamed of his offending and expressed deep regret for his actions, and </w:t>
      </w:r>
      <w:r w:rsidRPr="00EA4CAC">
        <w:rPr>
          <w:rFonts w:ascii="Book Antiqua" w:hAnsi="Book Antiqua" w:cs="Arial"/>
        </w:rPr>
        <w:t xml:space="preserve">the letter from Frank Macdonald, </w:t>
      </w:r>
      <w:r w:rsidR="00EA4CAC">
        <w:rPr>
          <w:rFonts w:ascii="Book Antiqua" w:hAnsi="Book Antiqua" w:cs="Arial"/>
        </w:rPr>
        <w:t xml:space="preserve">of the Kairos Community Trust, indicated that the appellant had taken full responsibility and ownership for his actions. There was no challenge to this evidence by the Presenting Officer. </w:t>
      </w:r>
    </w:p>
    <w:p w:rsidR="00C169EA" w:rsidRDefault="00C169EA" w:rsidP="003E719E">
      <w:pPr>
        <w:jc w:val="both"/>
        <w:rPr>
          <w:rFonts w:ascii="Book Antiqua" w:hAnsi="Book Antiqua" w:cs="Arial"/>
        </w:rPr>
      </w:pPr>
    </w:p>
    <w:p w:rsidR="008E3CF9" w:rsidRDefault="00C169EA" w:rsidP="003E63EF">
      <w:pPr>
        <w:numPr>
          <w:ilvl w:val="0"/>
          <w:numId w:val="1"/>
        </w:numPr>
        <w:jc w:val="both"/>
        <w:rPr>
          <w:rFonts w:ascii="Book Antiqua" w:hAnsi="Book Antiqua" w:cs="Arial"/>
        </w:rPr>
      </w:pPr>
      <w:r>
        <w:rPr>
          <w:rFonts w:ascii="Book Antiqua" w:hAnsi="Book Antiqua" w:cs="Arial"/>
        </w:rPr>
        <w:t>In his statement</w:t>
      </w:r>
      <w:r w:rsidR="00B31B2D">
        <w:rPr>
          <w:rFonts w:ascii="Book Antiqua" w:hAnsi="Book Antiqua" w:cs="Arial"/>
        </w:rPr>
        <w:t>s</w:t>
      </w:r>
      <w:r>
        <w:rPr>
          <w:rFonts w:ascii="Book Antiqua" w:hAnsi="Book Antiqua" w:cs="Arial"/>
        </w:rPr>
        <w:t xml:space="preserve"> dated 6 November 2017 </w:t>
      </w:r>
      <w:r w:rsidR="00B31B2D">
        <w:rPr>
          <w:rFonts w:ascii="Book Antiqua" w:hAnsi="Book Antiqua" w:cs="Arial"/>
        </w:rPr>
        <w:t xml:space="preserve">and 5 April 2018 </w:t>
      </w:r>
      <w:r>
        <w:rPr>
          <w:rFonts w:ascii="Book Antiqua" w:hAnsi="Book Antiqua" w:cs="Arial"/>
        </w:rPr>
        <w:t xml:space="preserve">the appellant recalled his traumatic childhood as a refugee living in Sudan and the difficulties he encountered when he moved to the UK to live with his sister, including bullying and racial abuse. </w:t>
      </w:r>
      <w:r w:rsidR="00EA4CAC">
        <w:rPr>
          <w:rFonts w:ascii="Book Antiqua" w:hAnsi="Book Antiqua" w:cs="Arial"/>
        </w:rPr>
        <w:t>He explained that he got to a point where he realised he was hurting his friends and family, and that his own family stopped talking to him on</w:t>
      </w:r>
      <w:r w:rsidR="002642C5">
        <w:rPr>
          <w:rFonts w:ascii="Book Antiqua" w:hAnsi="Book Antiqua" w:cs="Arial"/>
        </w:rPr>
        <w:t>e</w:t>
      </w:r>
      <w:r w:rsidR="00EA4CAC">
        <w:rPr>
          <w:rFonts w:ascii="Book Antiqua" w:hAnsi="Book Antiqua" w:cs="Arial"/>
        </w:rPr>
        <w:t xml:space="preserve"> point. The appellant maintains that his crimes were committed to feed his addiction and that he now accepts responsibility</w:t>
      </w:r>
      <w:r w:rsidR="00B31B2D">
        <w:rPr>
          <w:rFonts w:ascii="Book Antiqua" w:hAnsi="Book Antiqua" w:cs="Arial"/>
        </w:rPr>
        <w:t xml:space="preserve"> and that in the past 5 years he has completed the process of rebuilding himself</w:t>
      </w:r>
      <w:r w:rsidR="00EA4CAC">
        <w:rPr>
          <w:rFonts w:ascii="Book Antiqua" w:hAnsi="Book Antiqua" w:cs="Arial"/>
        </w:rPr>
        <w:t>.</w:t>
      </w:r>
      <w:r w:rsidR="00B31B2D">
        <w:rPr>
          <w:rFonts w:ascii="Book Antiqua" w:hAnsi="Book Antiqua" w:cs="Arial"/>
        </w:rPr>
        <w:t xml:space="preserve"> </w:t>
      </w:r>
      <w:r w:rsidR="003E719E">
        <w:rPr>
          <w:rFonts w:ascii="Book Antiqua" w:hAnsi="Book Antiqua" w:cs="Arial"/>
        </w:rPr>
        <w:t xml:space="preserve">He continues to volunteer for BSAFE and had attended </w:t>
      </w:r>
      <w:r w:rsidR="00C478E1">
        <w:rPr>
          <w:rFonts w:ascii="Book Antiqua" w:hAnsi="Book Antiqua" w:cs="Arial"/>
        </w:rPr>
        <w:t>a ‘</w:t>
      </w:r>
      <w:r w:rsidR="003E719E">
        <w:rPr>
          <w:rFonts w:ascii="Book Antiqua" w:hAnsi="Book Antiqua" w:cs="Arial"/>
        </w:rPr>
        <w:t xml:space="preserve">Drink and Drugs News’ conference in Birmingham in February 2018. </w:t>
      </w:r>
      <w:r w:rsidR="00B31B2D">
        <w:rPr>
          <w:rFonts w:ascii="Book Antiqua" w:hAnsi="Book Antiqua" w:cs="Arial"/>
        </w:rPr>
        <w:t>He met NJ before he was incarcerated and she has been there for him “every step of the way” since his release in January 2017. The appellant indicated that he has been open and honest with NJ, loved and respected her</w:t>
      </w:r>
      <w:r w:rsidR="002642C5">
        <w:rPr>
          <w:rFonts w:ascii="Book Antiqua" w:hAnsi="Book Antiqua" w:cs="Arial"/>
        </w:rPr>
        <w:t>,</w:t>
      </w:r>
      <w:r w:rsidR="00B31B2D">
        <w:rPr>
          <w:rFonts w:ascii="Book Antiqua" w:hAnsi="Book Antiqua" w:cs="Arial"/>
        </w:rPr>
        <w:t xml:space="preserve"> was full of gratitude to her, and wanted to act as a role model for her son, M. He did not want to disappoint NJ or his family. The appellant resided with NJ while she had an operation for glaucoma</w:t>
      </w:r>
      <w:r w:rsidR="003E719E">
        <w:rPr>
          <w:rFonts w:ascii="Book Antiqua" w:hAnsi="Book Antiqua" w:cs="Arial"/>
        </w:rPr>
        <w:t xml:space="preserve">, although he was currently residing with his mother. As the appellant is currently unable to work it was difficult to make plans for the future including marriage. </w:t>
      </w:r>
      <w:r w:rsidR="008E3CF9">
        <w:rPr>
          <w:rFonts w:ascii="Book Antiqua" w:hAnsi="Book Antiqua" w:cs="Arial"/>
        </w:rPr>
        <w:t xml:space="preserve">In his oral evidence the appellant confirmed his volunteering work with BSAFE and explained that he is doing this work because he had an addiction problem he wants to others </w:t>
      </w:r>
      <w:r w:rsidR="002642C5">
        <w:rPr>
          <w:rFonts w:ascii="Book Antiqua" w:hAnsi="Book Antiqua" w:cs="Arial"/>
        </w:rPr>
        <w:t xml:space="preserve">in </w:t>
      </w:r>
      <w:r w:rsidR="008E3CF9">
        <w:rPr>
          <w:rFonts w:ascii="Book Antiqua" w:hAnsi="Book Antiqua" w:cs="Arial"/>
        </w:rPr>
        <w:t>the same situation. He confirmed in cross-examination that he was on licence until 24 July 2020. When he came out of prison in the past he would often go back straightaway, but he</w:t>
      </w:r>
      <w:r w:rsidR="008E3CF9" w:rsidRPr="008E3CF9">
        <w:rPr>
          <w:rFonts w:ascii="Book Antiqua" w:hAnsi="Book Antiqua" w:cs="Arial"/>
        </w:rPr>
        <w:t xml:space="preserve"> </w:t>
      </w:r>
      <w:r w:rsidR="008E3CF9">
        <w:rPr>
          <w:rFonts w:ascii="Book Antiqua" w:hAnsi="Book Antiqua" w:cs="Arial"/>
        </w:rPr>
        <w:t>explained that he was now thinking in a different way. In re-examination he confirmed that he now stayed away from the wrong people and there were no temptations in his life. I found the appellant gave his evidence in a forthright and open manner. Taking full account of the appellant’s past dishonesty, and having considered the supporting documents from the various agencies and organisations with whom the appellant has engaged</w:t>
      </w:r>
      <w:r w:rsidR="00AC2A32">
        <w:rPr>
          <w:rFonts w:ascii="Book Antiqua" w:hAnsi="Book Antiqua" w:cs="Arial"/>
        </w:rPr>
        <w:t>, including the Probation S</w:t>
      </w:r>
      <w:r w:rsidR="008E3CF9">
        <w:rPr>
          <w:rFonts w:ascii="Book Antiqua" w:hAnsi="Book Antiqua" w:cs="Arial"/>
        </w:rPr>
        <w:t>ervice, I found him to be an honest witness</w:t>
      </w:r>
      <w:r w:rsidR="004D7BD5">
        <w:rPr>
          <w:rFonts w:ascii="Book Antiqua" w:hAnsi="Book Antiqua" w:cs="Arial"/>
        </w:rPr>
        <w:t xml:space="preserve"> in terms of his belief that he has undergone a significant and permanent change since overcoming his addictions.</w:t>
      </w:r>
    </w:p>
    <w:p w:rsidR="008E3CF9" w:rsidRDefault="008E3CF9" w:rsidP="004D7BD5">
      <w:pPr>
        <w:jc w:val="both"/>
        <w:rPr>
          <w:rFonts w:ascii="Book Antiqua" w:hAnsi="Book Antiqua" w:cs="Arial"/>
        </w:rPr>
      </w:pPr>
    </w:p>
    <w:p w:rsidR="00037911" w:rsidRDefault="003E719E" w:rsidP="003E63EF">
      <w:pPr>
        <w:numPr>
          <w:ilvl w:val="0"/>
          <w:numId w:val="1"/>
        </w:numPr>
        <w:jc w:val="both"/>
        <w:rPr>
          <w:rFonts w:ascii="Book Antiqua" w:hAnsi="Book Antiqua" w:cs="Arial"/>
        </w:rPr>
      </w:pPr>
      <w:r>
        <w:rPr>
          <w:rFonts w:ascii="Book Antiqua" w:hAnsi="Book Antiqua" w:cs="Arial"/>
        </w:rPr>
        <w:lastRenderedPageBreak/>
        <w:t xml:space="preserve">In her statements NJ indicated that she had no time for “time wasters” and that if she </w:t>
      </w:r>
      <w:r w:rsidR="004D7BD5">
        <w:rPr>
          <w:rFonts w:ascii="Book Antiqua" w:hAnsi="Book Antiqua" w:cs="Arial"/>
        </w:rPr>
        <w:t>“</w:t>
      </w:r>
      <w:r>
        <w:rPr>
          <w:rFonts w:ascii="Book Antiqua" w:hAnsi="Book Antiqua" w:cs="Arial"/>
        </w:rPr>
        <w:t>smelt a rat</w:t>
      </w:r>
      <w:r w:rsidR="004D7BD5">
        <w:rPr>
          <w:rFonts w:ascii="Book Antiqua" w:hAnsi="Book Antiqua" w:cs="Arial"/>
        </w:rPr>
        <w:t>”</w:t>
      </w:r>
      <w:r>
        <w:rPr>
          <w:rFonts w:ascii="Book Antiqua" w:hAnsi="Book Antiqua" w:cs="Arial"/>
        </w:rPr>
        <w:t xml:space="preserve"> she would have told the appellant to go away. Although she had </w:t>
      </w:r>
      <w:r w:rsidR="00C478E1">
        <w:rPr>
          <w:rFonts w:ascii="Book Antiqua" w:hAnsi="Book Antiqua" w:cs="Arial"/>
        </w:rPr>
        <w:t xml:space="preserve">initial </w:t>
      </w:r>
      <w:r>
        <w:rPr>
          <w:rFonts w:ascii="Book Antiqua" w:hAnsi="Book Antiqua" w:cs="Arial"/>
        </w:rPr>
        <w:t>reservations about the appellant, both as a mother and a woman, he met her expectations and won her over.</w:t>
      </w:r>
      <w:r w:rsidR="00C478E1">
        <w:rPr>
          <w:rFonts w:ascii="Book Antiqua" w:hAnsi="Book Antiqua" w:cs="Arial"/>
        </w:rPr>
        <w:t xml:space="preserve"> The appellant was very close to her son, M, and he talked to </w:t>
      </w:r>
      <w:proofErr w:type="spellStart"/>
      <w:r w:rsidR="00C478E1">
        <w:rPr>
          <w:rFonts w:ascii="Book Antiqua" w:hAnsi="Book Antiqua" w:cs="Arial"/>
        </w:rPr>
        <w:t>M</w:t>
      </w:r>
      <w:proofErr w:type="spellEnd"/>
      <w:r w:rsidR="00C478E1">
        <w:rPr>
          <w:rFonts w:ascii="Book Antiqua" w:hAnsi="Book Antiqua" w:cs="Arial"/>
        </w:rPr>
        <w:t xml:space="preserve"> about bullying and coping strategies. She confirmed that he no longer drinks or takes drugs. </w:t>
      </w:r>
      <w:r w:rsidR="008E3CF9">
        <w:rPr>
          <w:rFonts w:ascii="Book Antiqua" w:hAnsi="Book Antiqua" w:cs="Arial"/>
        </w:rPr>
        <w:t>In cross-examination NJ said she would “not stand for it” if the appellant was drawn to criminality and explained, in re-examination, that she and him had long conversations about his past and that they had developed trust and that they were going in one direction as a family unit.</w:t>
      </w:r>
      <w:r w:rsidR="004D7BD5">
        <w:rPr>
          <w:rFonts w:ascii="Book Antiqua" w:hAnsi="Book Antiqua" w:cs="Arial"/>
        </w:rPr>
        <w:t xml:space="preserve"> NJ gave her evidence in an open and straightforward manner. Her evidence was consistent with the documentary evidence before me, and internally consistent. There was no indication that NJ was attempting to embellish her evidence. While taking account of the inherent possibility of bias from a partner, I am nevertheless satisfied that NJ is an honest witness. This is particularly relevant in respect of her evidence that the appellant has continued to abstain from alcohol and drugs.</w:t>
      </w:r>
    </w:p>
    <w:p w:rsidR="004D7BD5" w:rsidRDefault="004D7BD5" w:rsidP="004D7BD5">
      <w:pPr>
        <w:ind w:left="567"/>
        <w:jc w:val="both"/>
        <w:rPr>
          <w:rFonts w:ascii="Book Antiqua" w:hAnsi="Book Antiqua" w:cs="Arial"/>
        </w:rPr>
      </w:pPr>
    </w:p>
    <w:p w:rsidR="004D7BD5" w:rsidRDefault="004D7BD5" w:rsidP="003E63EF">
      <w:pPr>
        <w:numPr>
          <w:ilvl w:val="0"/>
          <w:numId w:val="1"/>
        </w:numPr>
        <w:jc w:val="both"/>
        <w:rPr>
          <w:rFonts w:ascii="Book Antiqua" w:hAnsi="Book Antiqua" w:cs="Arial"/>
        </w:rPr>
      </w:pPr>
      <w:r>
        <w:rPr>
          <w:rFonts w:ascii="Book Antiqua" w:hAnsi="Book Antiqua" w:cs="Arial"/>
        </w:rPr>
        <w:t>The appellant’s mother was unable to give evidence as she is in the United States of America. I can only therefore attach limited weight to her evidence given the absence of any opportunity to probe or test her assertions.</w:t>
      </w:r>
      <w:r w:rsidR="00E862A9">
        <w:rPr>
          <w:rFonts w:ascii="Book Antiqua" w:hAnsi="Book Antiqua" w:cs="Arial"/>
        </w:rPr>
        <w:t xml:space="preserve"> When assessing the evidence from the appellant’s mother, and indeed his siblings, I take full account of the possibility of bias emanating from </w:t>
      </w:r>
      <w:r w:rsidR="002642C5">
        <w:rPr>
          <w:rFonts w:ascii="Book Antiqua" w:hAnsi="Book Antiqua" w:cs="Arial"/>
        </w:rPr>
        <w:t xml:space="preserve">the relationship between </w:t>
      </w:r>
      <w:r w:rsidR="00E862A9">
        <w:rPr>
          <w:rFonts w:ascii="Book Antiqua" w:hAnsi="Book Antiqua" w:cs="Arial"/>
        </w:rPr>
        <w:t>close family members. The appellant’s mother noted a significant contrast between his previous behaviour, which had become increasingly challenging, and his behaviour since his conviction in July 2013. The appellant had not touched a drop of alcohol for the last 5 years. She indicated that the appellant now listens to advice and that NJ was a good influence on him. The appellant was now making good the time he lost with his mother and his other family. The appellant’s mother confirmed that he always talked about the volunteering work as a support worker.</w:t>
      </w:r>
    </w:p>
    <w:p w:rsidR="00E862A9" w:rsidRDefault="00E862A9" w:rsidP="00E862A9">
      <w:pPr>
        <w:pStyle w:val="ListParagraph"/>
        <w:rPr>
          <w:rFonts w:ascii="Book Antiqua" w:hAnsi="Book Antiqua" w:cs="Arial"/>
        </w:rPr>
      </w:pPr>
    </w:p>
    <w:p w:rsidR="00E862A9" w:rsidRDefault="00E862A9" w:rsidP="003E63EF">
      <w:pPr>
        <w:numPr>
          <w:ilvl w:val="0"/>
          <w:numId w:val="1"/>
        </w:numPr>
        <w:jc w:val="both"/>
        <w:rPr>
          <w:rFonts w:ascii="Book Antiqua" w:hAnsi="Book Antiqua" w:cs="Arial"/>
        </w:rPr>
      </w:pPr>
      <w:r>
        <w:rPr>
          <w:rFonts w:ascii="Book Antiqua" w:hAnsi="Book Antiqua" w:cs="Arial"/>
        </w:rPr>
        <w:t xml:space="preserve">In their oral evidence the appellant’s sisters, EK and ATK, both described the </w:t>
      </w:r>
      <w:r w:rsidR="002642C5">
        <w:rPr>
          <w:rFonts w:ascii="Book Antiqua" w:hAnsi="Book Antiqua" w:cs="Arial"/>
        </w:rPr>
        <w:t>change</w:t>
      </w:r>
      <w:r>
        <w:rPr>
          <w:rFonts w:ascii="Book Antiqua" w:hAnsi="Book Antiqua" w:cs="Arial"/>
        </w:rPr>
        <w:t xml:space="preserve"> in the appellant</w:t>
      </w:r>
      <w:r w:rsidR="00404E2D">
        <w:rPr>
          <w:rFonts w:ascii="Book Antiqua" w:hAnsi="Book Antiqua" w:cs="Arial"/>
        </w:rPr>
        <w:t xml:space="preserve"> since his last conviction. ATK described the change as “dramatic” and that the appellant was making tangible efforts in his volunteer work </w:t>
      </w:r>
      <w:r w:rsidR="002642C5">
        <w:rPr>
          <w:rFonts w:ascii="Book Antiqua" w:hAnsi="Book Antiqua" w:cs="Arial"/>
        </w:rPr>
        <w:t>to contributing to society. There</w:t>
      </w:r>
      <w:r w:rsidR="00404E2D">
        <w:rPr>
          <w:rFonts w:ascii="Book Antiqua" w:hAnsi="Book Antiqua" w:cs="Arial"/>
        </w:rPr>
        <w:t xml:space="preserve"> had also been a dramatic change in the way he conducted himself with his family. In the past he had often lost his temper but now he would think before addressing questions. There was also a positive change in the way that he interacted with his nieces and nephews. ATK explained that she has now started enjoying his company more and more and that she had seen a clear difference in him. He </w:t>
      </w:r>
      <w:r w:rsidR="003D5888">
        <w:rPr>
          <w:rFonts w:ascii="Book Antiqua" w:hAnsi="Book Antiqua" w:cs="Arial"/>
        </w:rPr>
        <w:t>is</w:t>
      </w:r>
      <w:r w:rsidR="00404E2D">
        <w:rPr>
          <w:rFonts w:ascii="Book Antiqua" w:hAnsi="Book Antiqua" w:cs="Arial"/>
        </w:rPr>
        <w:t xml:space="preserve"> now a</w:t>
      </w:r>
      <w:r w:rsidR="003D5888">
        <w:rPr>
          <w:rFonts w:ascii="Book Antiqua" w:hAnsi="Book Antiqua" w:cs="Arial"/>
        </w:rPr>
        <w:t>ble to listen to what she says</w:t>
      </w:r>
      <w:r w:rsidR="00404E2D">
        <w:rPr>
          <w:rFonts w:ascii="Book Antiqua" w:hAnsi="Book Antiqua" w:cs="Arial"/>
        </w:rPr>
        <w:t xml:space="preserve">. EK explained that the appellant now spends time with her and her family and that she, her 4 children and the appellant often go out. When he was taking </w:t>
      </w:r>
      <w:r w:rsidR="003D5888">
        <w:rPr>
          <w:rFonts w:ascii="Book Antiqua" w:hAnsi="Book Antiqua" w:cs="Arial"/>
        </w:rPr>
        <w:t>drugs</w:t>
      </w:r>
      <w:r w:rsidR="00404E2D">
        <w:rPr>
          <w:rFonts w:ascii="Book Antiqua" w:hAnsi="Book Antiqua" w:cs="Arial"/>
        </w:rPr>
        <w:t xml:space="preserve"> he was restless but he is no longer restless. This evidence reflected the written evidence from the appellant’s siblings in which they described the appellant’s pride in his achievements of the past 5 years and his motivation to help other people with their addictions.</w:t>
      </w:r>
      <w:r w:rsidR="002D5BC1">
        <w:rPr>
          <w:rFonts w:ascii="Book Antiqua" w:hAnsi="Book Antiqua" w:cs="Arial"/>
        </w:rPr>
        <w:t xml:space="preserve"> Both siblings expressed their belief that the appellant had been sober for the past 5 years.</w:t>
      </w:r>
      <w:r w:rsidR="00404E2D">
        <w:rPr>
          <w:rFonts w:ascii="Book Antiqua" w:hAnsi="Book Antiqua" w:cs="Arial"/>
        </w:rPr>
        <w:t xml:space="preserve"> There was no challenge by the Presenting Officer to the evidence from ATK or EK in respect of their perception of the change in the appellant since his last criminal </w:t>
      </w:r>
      <w:r w:rsidR="00404E2D">
        <w:rPr>
          <w:rFonts w:ascii="Book Antiqua" w:hAnsi="Book Antiqua" w:cs="Arial"/>
        </w:rPr>
        <w:lastRenderedPageBreak/>
        <w:t xml:space="preserve">offences. There was no suggestion that either of the appellant’s sisters </w:t>
      </w:r>
      <w:r w:rsidR="003D5888">
        <w:rPr>
          <w:rFonts w:ascii="Book Antiqua" w:hAnsi="Book Antiqua" w:cs="Arial"/>
        </w:rPr>
        <w:t>gave</w:t>
      </w:r>
      <w:r w:rsidR="00404E2D">
        <w:rPr>
          <w:rFonts w:ascii="Book Antiqua" w:hAnsi="Book Antiqua" w:cs="Arial"/>
        </w:rPr>
        <w:t xml:space="preserve"> incredible</w:t>
      </w:r>
      <w:r w:rsidR="003D5888">
        <w:rPr>
          <w:rFonts w:ascii="Book Antiqua" w:hAnsi="Book Antiqua" w:cs="Arial"/>
        </w:rPr>
        <w:t xml:space="preserve"> evidence</w:t>
      </w:r>
      <w:r w:rsidR="00404E2D">
        <w:rPr>
          <w:rFonts w:ascii="Book Antiqua" w:hAnsi="Book Antiqua" w:cs="Arial"/>
        </w:rPr>
        <w:t>. I am satisfied that they have witnessed a material change in the appellant’s behaviour since his last conviction.</w:t>
      </w:r>
    </w:p>
    <w:p w:rsidR="002D5BC1" w:rsidRDefault="002D5BC1" w:rsidP="002D5BC1">
      <w:pPr>
        <w:ind w:left="567"/>
        <w:jc w:val="both"/>
        <w:rPr>
          <w:rFonts w:ascii="Book Antiqua" w:hAnsi="Book Antiqua" w:cs="Arial"/>
        </w:rPr>
      </w:pPr>
    </w:p>
    <w:p w:rsidR="00272CEE" w:rsidRDefault="00272CEE" w:rsidP="002D5BC1">
      <w:pPr>
        <w:numPr>
          <w:ilvl w:val="0"/>
          <w:numId w:val="1"/>
        </w:numPr>
        <w:jc w:val="both"/>
        <w:rPr>
          <w:rFonts w:ascii="Book Antiqua" w:hAnsi="Book Antiqua" w:cs="Arial"/>
        </w:rPr>
      </w:pPr>
      <w:r w:rsidRPr="002D5BC1">
        <w:rPr>
          <w:rFonts w:ascii="Book Antiqua" w:hAnsi="Book Antiqua" w:cs="Arial"/>
        </w:rPr>
        <w:t>I take full account of the fact that the 2005 Pre-Sentence report placed the appellant at high risk of reoffending and medium risk of harm to the public, and that the 2011 Pre-Sentence report also placed the appellant and high risk of reoffending and medium risk of serious harm to the public. These assessments however occurred when the appellant was still very much in the grip of his substance abuse, when he did not have the emotional support of a partner, and in circumstances where he had not evidenced a consistent determination to engage with the various agencies able to provide support.</w:t>
      </w:r>
    </w:p>
    <w:p w:rsidR="002D5BC1" w:rsidRDefault="002D5BC1" w:rsidP="002D5BC1">
      <w:pPr>
        <w:pStyle w:val="ListParagraph"/>
        <w:rPr>
          <w:rFonts w:ascii="Book Antiqua" w:hAnsi="Book Antiqua" w:cs="Arial"/>
        </w:rPr>
      </w:pPr>
    </w:p>
    <w:p w:rsidR="002D5BC1" w:rsidRDefault="002D5BC1" w:rsidP="002D5BC1">
      <w:pPr>
        <w:numPr>
          <w:ilvl w:val="0"/>
          <w:numId w:val="1"/>
        </w:numPr>
        <w:jc w:val="both"/>
        <w:rPr>
          <w:rFonts w:ascii="Book Antiqua" w:hAnsi="Book Antiqua" w:cs="Arial"/>
        </w:rPr>
      </w:pPr>
      <w:r>
        <w:rPr>
          <w:rFonts w:ascii="Book Antiqua" w:hAnsi="Book Antiqua" w:cs="Arial"/>
        </w:rPr>
        <w:t xml:space="preserve">Having carefully considered the factors identified above weighing in favour of the presumption that the appellant constitutes a danger to the community, I am persuaded, having holistically </w:t>
      </w:r>
      <w:r w:rsidR="00EF19D2">
        <w:rPr>
          <w:rFonts w:ascii="Book Antiqua" w:hAnsi="Book Antiqua" w:cs="Arial"/>
        </w:rPr>
        <w:t>regard to</w:t>
      </w:r>
      <w:r>
        <w:rPr>
          <w:rFonts w:ascii="Book Antiqua" w:hAnsi="Book Antiqua" w:cs="Arial"/>
        </w:rPr>
        <w:t xml:space="preserve"> all the evidence </w:t>
      </w:r>
      <w:r w:rsidR="00EF19D2">
        <w:rPr>
          <w:rFonts w:ascii="Book Antiqua" w:hAnsi="Book Antiqua" w:cs="Arial"/>
        </w:rPr>
        <w:t xml:space="preserve">before me </w:t>
      </w:r>
      <w:r>
        <w:rPr>
          <w:rFonts w:ascii="Book Antiqua" w:hAnsi="Book Antiqua" w:cs="Arial"/>
        </w:rPr>
        <w:t>and for the reasons given above, that the appellant does not constitute a danger to the public. I find that the danger to the public principally arose as a result of the appellant’s addiction</w:t>
      </w:r>
      <w:r w:rsidR="00EF19D2">
        <w:rPr>
          <w:rFonts w:ascii="Book Antiqua" w:hAnsi="Book Antiqua" w:cs="Arial"/>
        </w:rPr>
        <w:t xml:space="preserve">s, initially to </w:t>
      </w:r>
      <w:r>
        <w:rPr>
          <w:rFonts w:ascii="Book Antiqua" w:hAnsi="Book Antiqua" w:cs="Arial"/>
        </w:rPr>
        <w:t xml:space="preserve">drugs and then alcohol. The evidence identified above strongly </w:t>
      </w:r>
      <w:r w:rsidR="00EF19D2">
        <w:rPr>
          <w:rFonts w:ascii="Book Antiqua" w:hAnsi="Book Antiqua" w:cs="Arial"/>
        </w:rPr>
        <w:t>suggests</w:t>
      </w:r>
      <w:r>
        <w:rPr>
          <w:rFonts w:ascii="Book Antiqua" w:hAnsi="Book Antiqua" w:cs="Arial"/>
        </w:rPr>
        <w:t xml:space="preserve"> that the appellant has permanently overcome his addiction</w:t>
      </w:r>
      <w:r w:rsidR="00EF19D2">
        <w:rPr>
          <w:rFonts w:ascii="Book Antiqua" w:hAnsi="Book Antiqua" w:cs="Arial"/>
        </w:rPr>
        <w:t>.</w:t>
      </w:r>
      <w:r w:rsidR="00AC224C">
        <w:rPr>
          <w:rFonts w:ascii="Book Antiqua" w:hAnsi="Book Antiqua" w:cs="Arial"/>
        </w:rPr>
        <w:t xml:space="preserve"> I have concluded, having fully considered the assessment contained in the OASys report, that the appellant is unlikely to re-offend.</w:t>
      </w:r>
      <w:r w:rsidR="00EF19D2">
        <w:rPr>
          <w:rFonts w:ascii="Book Antiqua" w:hAnsi="Book Antiqua" w:cs="Arial"/>
        </w:rPr>
        <w:t xml:space="preserve"> He </w:t>
      </w:r>
      <w:r>
        <w:rPr>
          <w:rFonts w:ascii="Book Antiqua" w:hAnsi="Book Antiqua" w:cs="Arial"/>
        </w:rPr>
        <w:t xml:space="preserve">now has </w:t>
      </w:r>
      <w:r w:rsidR="001D42EF">
        <w:rPr>
          <w:rFonts w:ascii="Book Antiqua" w:hAnsi="Book Antiqua" w:cs="Arial"/>
        </w:rPr>
        <w:t>st</w:t>
      </w:r>
      <w:r>
        <w:rPr>
          <w:rFonts w:ascii="Book Antiqua" w:hAnsi="Book Antiqua" w:cs="Arial"/>
        </w:rPr>
        <w:t xml:space="preserve">rong support from his partner </w:t>
      </w:r>
      <w:r w:rsidR="00EF19D2">
        <w:rPr>
          <w:rFonts w:ascii="Book Antiqua" w:hAnsi="Book Antiqua" w:cs="Arial"/>
        </w:rPr>
        <w:t xml:space="preserve">which provides further stability in his life and is now </w:t>
      </w:r>
      <w:r w:rsidR="007724A5">
        <w:rPr>
          <w:rFonts w:ascii="Book Antiqua" w:hAnsi="Book Antiqua" w:cs="Arial"/>
        </w:rPr>
        <w:t>very</w:t>
      </w:r>
      <w:r w:rsidR="00EF19D2">
        <w:rPr>
          <w:rFonts w:ascii="Book Antiqua" w:hAnsi="Book Antiqua" w:cs="Arial"/>
        </w:rPr>
        <w:t xml:space="preserve"> motivated to assist others with their addictions.</w:t>
      </w:r>
      <w:r w:rsidR="007724A5">
        <w:rPr>
          <w:rFonts w:ascii="Book Antiqua" w:hAnsi="Book Antiqua" w:cs="Arial"/>
        </w:rPr>
        <w:t xml:space="preserve"> </w:t>
      </w:r>
      <w:r w:rsidR="00AC224C">
        <w:rPr>
          <w:rFonts w:ascii="Book Antiqua" w:hAnsi="Book Antiqua" w:cs="Arial"/>
        </w:rPr>
        <w:t xml:space="preserve">Although he has only been released since January 2017 he has not re-offended and there is no indication at all that he has touched alcohol or associated with those who may exercise a negative influence. </w:t>
      </w:r>
      <w:r w:rsidR="007724A5">
        <w:rPr>
          <w:rFonts w:ascii="Book Antiqua" w:hAnsi="Book Antiqua" w:cs="Arial"/>
        </w:rPr>
        <w:t xml:space="preserve">The offers of potential employment and training from his siblings, and their additional support, </w:t>
      </w:r>
      <w:r w:rsidR="003D5888">
        <w:rPr>
          <w:rFonts w:ascii="Book Antiqua" w:hAnsi="Book Antiqua" w:cs="Arial"/>
        </w:rPr>
        <w:t xml:space="preserve">additionally </w:t>
      </w:r>
      <w:r w:rsidR="007724A5">
        <w:rPr>
          <w:rFonts w:ascii="Book Antiqua" w:hAnsi="Book Antiqua" w:cs="Arial"/>
        </w:rPr>
        <w:t>lead me to conclude that the presumption under s.72 of the 2002 Act has been rebutted.</w:t>
      </w:r>
    </w:p>
    <w:p w:rsidR="007724A5" w:rsidRDefault="007724A5" w:rsidP="007724A5">
      <w:pPr>
        <w:pStyle w:val="ListParagraph"/>
        <w:rPr>
          <w:rFonts w:ascii="Book Antiqua" w:hAnsi="Book Antiqua" w:cs="Arial"/>
        </w:rPr>
      </w:pPr>
    </w:p>
    <w:p w:rsidR="007724A5" w:rsidRDefault="007724A5" w:rsidP="002D5BC1">
      <w:pPr>
        <w:numPr>
          <w:ilvl w:val="0"/>
          <w:numId w:val="1"/>
        </w:numPr>
        <w:jc w:val="both"/>
        <w:rPr>
          <w:rFonts w:ascii="Book Antiqua" w:hAnsi="Book Antiqua" w:cs="Arial"/>
        </w:rPr>
      </w:pPr>
      <w:r>
        <w:rPr>
          <w:rFonts w:ascii="Book Antiqua" w:hAnsi="Book Antiqua" w:cs="Arial"/>
        </w:rPr>
        <w:t xml:space="preserve">The respondent, through his Presenting Officer, has indicated that he will not be pursuing cessation of the appellant’s refugee status. There has been no challenge to the First-tier Tribunal’s decision that the appellant’s removal would breach article 3. The First-tier Tribunal concluded that the appellant would face a risk of serious ill-treatment as, </w:t>
      </w:r>
      <w:r>
        <w:rPr>
          <w:rFonts w:ascii="Book Antiqua" w:hAnsi="Book Antiqua" w:cs="Arial"/>
          <w:i/>
        </w:rPr>
        <w:t>inter alia</w:t>
      </w:r>
      <w:r>
        <w:rPr>
          <w:rFonts w:ascii="Book Antiqua" w:hAnsi="Book Antiqua" w:cs="Arial"/>
        </w:rPr>
        <w:t>, a perceived draft evader. In these circumstances I find that the appellant’s removal would constitute a breach of the Refugee Convention. I therefore allow the appeal on the grounds that the appellant’s removal would breach the U.K.’s obligations under the Refugee Convention.</w:t>
      </w:r>
    </w:p>
    <w:p w:rsidR="003D5888" w:rsidRDefault="003D5888" w:rsidP="007724A5">
      <w:pPr>
        <w:pStyle w:val="ListParagraph"/>
        <w:ind w:left="0"/>
        <w:rPr>
          <w:rFonts w:ascii="Book Antiqua" w:hAnsi="Book Antiqua" w:cs="Arial"/>
          <w:b/>
        </w:rPr>
      </w:pPr>
    </w:p>
    <w:p w:rsidR="007724A5" w:rsidRPr="007724A5" w:rsidRDefault="007724A5" w:rsidP="007724A5">
      <w:pPr>
        <w:pStyle w:val="ListParagraph"/>
        <w:ind w:left="0"/>
        <w:rPr>
          <w:rFonts w:ascii="Book Antiqua" w:hAnsi="Book Antiqua" w:cs="Arial"/>
          <w:b/>
        </w:rPr>
      </w:pPr>
      <w:r w:rsidRPr="007724A5">
        <w:rPr>
          <w:rFonts w:ascii="Book Antiqua" w:hAnsi="Book Antiqua" w:cs="Arial"/>
          <w:b/>
        </w:rPr>
        <w:t xml:space="preserve">Article 8 </w:t>
      </w:r>
    </w:p>
    <w:p w:rsidR="007724A5" w:rsidRDefault="007724A5" w:rsidP="007724A5">
      <w:pPr>
        <w:pStyle w:val="ListParagraph"/>
        <w:ind w:left="0"/>
        <w:rPr>
          <w:rFonts w:ascii="Book Antiqua" w:hAnsi="Book Antiqua" w:cs="Arial"/>
        </w:rPr>
      </w:pPr>
    </w:p>
    <w:p w:rsidR="007724A5" w:rsidRPr="002D5BC1" w:rsidRDefault="007724A5" w:rsidP="002D5BC1">
      <w:pPr>
        <w:numPr>
          <w:ilvl w:val="0"/>
          <w:numId w:val="1"/>
        </w:numPr>
        <w:jc w:val="both"/>
        <w:rPr>
          <w:rFonts w:ascii="Book Antiqua" w:hAnsi="Book Antiqua" w:cs="Arial"/>
        </w:rPr>
      </w:pPr>
      <w:r>
        <w:rPr>
          <w:rFonts w:ascii="Book Antiqua" w:hAnsi="Book Antiqua" w:cs="Arial"/>
        </w:rPr>
        <w:t xml:space="preserve">I am additionally obliged to consider the appellant’s appeal under article 8. Under paragraph 398 of the immigration rules the appellant must show that there are very compelling circumstances over and above those described in paragraphs 399 and 399A. </w:t>
      </w:r>
      <w:r w:rsidR="003D5888">
        <w:rPr>
          <w:rFonts w:ascii="Book Antiqua" w:hAnsi="Book Antiqua" w:cs="Arial"/>
        </w:rPr>
        <w:t xml:space="preserve">Section </w:t>
      </w:r>
      <w:r w:rsidR="004E7EC5">
        <w:rPr>
          <w:rFonts w:ascii="Book Antiqua" w:hAnsi="Book Antiqua" w:cs="Arial"/>
        </w:rPr>
        <w:t xml:space="preserve">117C (6) of the 2002 Act is in similar terms in respect of exceptions 1 and 2 detailed in s.117C (4) &amp; (5). The appellant faces a real risk of torture or </w:t>
      </w:r>
      <w:r w:rsidR="004E7EC5">
        <w:rPr>
          <w:rFonts w:ascii="Book Antiqua" w:hAnsi="Book Antiqua" w:cs="Arial"/>
        </w:rPr>
        <w:lastRenderedPageBreak/>
        <w:t>inhuman or degrading treatment or punishment if deported to Eritrea. If he is subjected to this treatment or punishment it will undoubtedly constitute a serious infringement of his moral and physical integrity, which is protected by article 8. I am consequently satisfied that the real risk that the appellant will suffer article 3 ill-treatment is a very compelling circumstance sufficient to render his removal disproportionate</w:t>
      </w:r>
      <w:r w:rsidR="003D5888">
        <w:rPr>
          <w:rFonts w:ascii="Book Antiqua" w:hAnsi="Book Antiqua" w:cs="Arial"/>
        </w:rPr>
        <w:t xml:space="preserve"> under article 8</w:t>
      </w:r>
      <w:r w:rsidR="004E7EC5">
        <w:rPr>
          <w:rFonts w:ascii="Book Antiqua" w:hAnsi="Book Antiqua" w:cs="Arial"/>
        </w:rPr>
        <w:t>.</w:t>
      </w:r>
    </w:p>
    <w:p w:rsidR="00205BA2" w:rsidRPr="00AE6DDE" w:rsidRDefault="00205BA2" w:rsidP="00847259">
      <w:pPr>
        <w:jc w:val="both"/>
        <w:rPr>
          <w:rFonts w:ascii="Book Antiqua" w:hAnsi="Book Antiqua" w:cs="Arial"/>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47259" w:rsidRPr="008137EE" w:rsidRDefault="004E7EC5" w:rsidP="00847259">
      <w:pPr>
        <w:jc w:val="both"/>
        <w:rPr>
          <w:rFonts w:ascii="Book Antiqua" w:hAnsi="Book Antiqua" w:cs="Arial"/>
          <w:b/>
        </w:rPr>
      </w:pPr>
      <w:r w:rsidRPr="008137EE">
        <w:rPr>
          <w:rFonts w:ascii="Book Antiqua" w:hAnsi="Book Antiqua" w:cs="Arial"/>
          <w:b/>
        </w:rPr>
        <w:t>The appellant has rebutted the presumption under s.72 of the Nationality, Immigration and Asylum Act 2002.</w:t>
      </w:r>
    </w:p>
    <w:p w:rsidR="008137EE" w:rsidRPr="008137EE" w:rsidRDefault="004E7EC5" w:rsidP="00847259">
      <w:pPr>
        <w:jc w:val="both"/>
        <w:rPr>
          <w:rFonts w:ascii="Book Antiqua" w:hAnsi="Book Antiqua" w:cs="Arial"/>
          <w:b/>
        </w:rPr>
      </w:pPr>
      <w:r w:rsidRPr="008137EE">
        <w:rPr>
          <w:rFonts w:ascii="Book Antiqua" w:hAnsi="Book Antiqua" w:cs="Arial"/>
          <w:b/>
        </w:rPr>
        <w:t>The appeal is allowed on the basis that</w:t>
      </w:r>
      <w:r w:rsidR="008137EE" w:rsidRPr="008137EE">
        <w:rPr>
          <w:rFonts w:ascii="Book Antiqua" w:hAnsi="Book Antiqua" w:cs="Arial"/>
          <w:b/>
        </w:rPr>
        <w:t xml:space="preserve"> the appellant’s deportation would breach the U.K.’s</w:t>
      </w:r>
      <w:r w:rsidR="003D5888">
        <w:rPr>
          <w:rFonts w:ascii="Book Antiqua" w:hAnsi="Book Antiqua" w:cs="Arial"/>
          <w:b/>
        </w:rPr>
        <w:t xml:space="preserve"> obligations under the R</w:t>
      </w:r>
      <w:r w:rsidR="008137EE" w:rsidRPr="008137EE">
        <w:rPr>
          <w:rFonts w:ascii="Book Antiqua" w:hAnsi="Book Antiqua" w:cs="Arial"/>
          <w:b/>
        </w:rPr>
        <w:t xml:space="preserve">efugee Convention. </w:t>
      </w:r>
    </w:p>
    <w:p w:rsidR="004E7EC5" w:rsidRPr="008137EE" w:rsidRDefault="008137EE" w:rsidP="00847259">
      <w:pPr>
        <w:jc w:val="both"/>
        <w:rPr>
          <w:rFonts w:ascii="Book Antiqua" w:hAnsi="Book Antiqua" w:cs="Arial"/>
          <w:b/>
        </w:rPr>
      </w:pPr>
      <w:r w:rsidRPr="008137EE">
        <w:rPr>
          <w:rFonts w:ascii="Book Antiqua" w:hAnsi="Book Antiqua" w:cs="Arial"/>
          <w:b/>
        </w:rPr>
        <w:t xml:space="preserve">The appeal is allowed on the basis that the appellant’s removal from the UK would be unlawful under section 6 of the Human Rights Act 1998 (public authority not to act contrary to Human Rights Convention). </w:t>
      </w:r>
    </w:p>
    <w:p w:rsidR="004E7EC5" w:rsidRDefault="004E7EC5" w:rsidP="00847259">
      <w:pPr>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9D1EA3">
        <w:rPr>
          <w:rFonts w:ascii="Book Antiqua" w:hAnsi="Book Antiqua"/>
        </w:rPr>
        <w:t>a</w:t>
      </w:r>
      <w:r>
        <w:rPr>
          <w:rFonts w:ascii="Book Antiqua" w:hAnsi="Book Antiqua"/>
        </w:rPr>
        <w:t xml:space="preserve">ppellant is granted anonymity.  No report of these proceedings shall directly or indirectly identify him or any member of their family.  This direction applies both to the </w:t>
      </w:r>
      <w:r w:rsidR="009D1EA3">
        <w:rPr>
          <w:rFonts w:ascii="Book Antiqua" w:hAnsi="Book Antiqua"/>
        </w:rPr>
        <w:t>a</w:t>
      </w:r>
      <w:r>
        <w:rPr>
          <w:rFonts w:ascii="Book Antiqua" w:hAnsi="Book Antiqua"/>
        </w:rPr>
        <w:t xml:space="preserve">ppellant and to the </w:t>
      </w:r>
      <w:r w:rsidR="009D1EA3">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9F5220" w:rsidRPr="004954AD" w:rsidRDefault="009F5220" w:rsidP="00847259">
      <w:pPr>
        <w:jc w:val="both"/>
        <w:rPr>
          <w:rFonts w:ascii="Book Antiqua" w:hAnsi="Book Antiqua" w:cs="Arial"/>
        </w:rPr>
      </w:pPr>
    </w:p>
    <w:p w:rsidR="001F2716" w:rsidRPr="004954AD" w:rsidRDefault="0045162A" w:rsidP="00847259">
      <w:pPr>
        <w:jc w:val="both"/>
        <w:rPr>
          <w:rFonts w:ascii="Book Antiqua" w:hAnsi="Book Antiqua" w:cs="Arial"/>
        </w:rPr>
      </w:pPr>
      <w:r w:rsidRPr="004954AD">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954AD" w:rsidRPr="004954AD">
        <w:rPr>
          <w:rFonts w:ascii="Book Antiqua" w:hAnsi="Book Antiqua"/>
        </w:rPr>
        <w:tab/>
      </w:r>
      <w:r w:rsidR="004954AD" w:rsidRPr="004954AD">
        <w:rPr>
          <w:rFonts w:ascii="Book Antiqua" w:hAnsi="Book Antiqua"/>
        </w:rPr>
        <w:tab/>
      </w:r>
      <w:r w:rsidR="004954AD" w:rsidRPr="004954AD">
        <w:rPr>
          <w:rFonts w:ascii="Book Antiqua" w:hAnsi="Book Antiqua"/>
        </w:rPr>
        <w:tab/>
      </w:r>
      <w:r w:rsidR="004954AD" w:rsidRPr="004954AD">
        <w:rPr>
          <w:rFonts w:ascii="Book Antiqua" w:hAnsi="Book Antiqua"/>
        </w:rPr>
        <w:tab/>
      </w:r>
      <w:r w:rsidR="004954AD" w:rsidRPr="004954AD">
        <w:rPr>
          <w:rFonts w:ascii="Book Antiqua" w:hAnsi="Book Antiqua"/>
        </w:rPr>
        <w:tab/>
      </w:r>
      <w:r w:rsidR="004954AD" w:rsidRPr="004954AD">
        <w:rPr>
          <w:rFonts w:ascii="Book Antiqua" w:hAnsi="Book Antiqua"/>
        </w:rPr>
        <w:tab/>
      </w:r>
      <w:r w:rsidR="004954AD" w:rsidRPr="004954AD">
        <w:rPr>
          <w:rFonts w:ascii="Book Antiqua" w:hAnsi="Book Antiqua"/>
        </w:rPr>
        <w:tab/>
      </w:r>
      <w:r w:rsidR="003D5888">
        <w:rPr>
          <w:rFonts w:ascii="Book Antiqua" w:hAnsi="Book Antiqua"/>
        </w:rPr>
        <w:t xml:space="preserve">15 May </w:t>
      </w:r>
      <w:r w:rsidR="004954AD" w:rsidRPr="004954AD">
        <w:rPr>
          <w:rFonts w:ascii="Book Antiqua" w:hAnsi="Book Antiqua"/>
        </w:rPr>
        <w:t>2018</w:t>
      </w:r>
    </w:p>
    <w:p w:rsidR="00925A1D" w:rsidRDefault="00925A1D" w:rsidP="00847259">
      <w:pPr>
        <w:jc w:val="both"/>
        <w:rPr>
          <w:rFonts w:ascii="Book Antiqua" w:hAnsi="Book Antiqua" w:cs="Arial"/>
        </w:rPr>
      </w:pPr>
    </w:p>
    <w:p w:rsidR="001F2716" w:rsidRPr="004954AD" w:rsidRDefault="00780F86" w:rsidP="00847259">
      <w:pPr>
        <w:jc w:val="both"/>
        <w:rPr>
          <w:rFonts w:ascii="Book Antiqua" w:hAnsi="Book Antiqua" w:cs="Arial"/>
        </w:rPr>
      </w:pPr>
      <w:r w:rsidRPr="004954AD">
        <w:rPr>
          <w:rFonts w:ascii="Book Antiqua" w:hAnsi="Book Antiqua" w:cs="Arial"/>
        </w:rPr>
        <w:t>Signed</w:t>
      </w:r>
      <w:r w:rsidRPr="004954AD">
        <w:rPr>
          <w:rFonts w:ascii="Book Antiqua" w:hAnsi="Book Antiqua" w:cs="Arial"/>
        </w:rPr>
        <w:tab/>
      </w:r>
      <w:r w:rsidRPr="004954AD">
        <w:rPr>
          <w:rFonts w:ascii="Book Antiqua" w:hAnsi="Book Antiqua" w:cs="Arial"/>
        </w:rPr>
        <w:tab/>
      </w:r>
      <w:r w:rsidRPr="004954AD">
        <w:rPr>
          <w:rFonts w:ascii="Book Antiqua" w:hAnsi="Book Antiqua" w:cs="Arial"/>
        </w:rPr>
        <w:tab/>
      </w:r>
      <w:r w:rsidRPr="004954AD">
        <w:rPr>
          <w:rFonts w:ascii="Book Antiqua" w:hAnsi="Book Antiqua" w:cs="Arial"/>
        </w:rPr>
        <w:tab/>
      </w:r>
      <w:r w:rsidRPr="004954AD">
        <w:rPr>
          <w:rFonts w:ascii="Book Antiqua" w:hAnsi="Book Antiqua" w:cs="Arial"/>
        </w:rPr>
        <w:tab/>
      </w:r>
      <w:r w:rsidRPr="004954AD">
        <w:rPr>
          <w:rFonts w:ascii="Book Antiqua" w:hAnsi="Book Antiqua" w:cs="Arial"/>
        </w:rPr>
        <w:tab/>
      </w:r>
      <w:r w:rsidRPr="004954AD">
        <w:rPr>
          <w:rFonts w:ascii="Book Antiqua" w:hAnsi="Book Antiqua" w:cs="Arial"/>
        </w:rPr>
        <w:tab/>
      </w:r>
      <w:r w:rsidRPr="004954AD">
        <w:rPr>
          <w:rFonts w:ascii="Book Antiqua" w:hAnsi="Book Antiqua" w:cs="Arial"/>
        </w:rPr>
        <w:tab/>
      </w:r>
      <w:r w:rsidR="001F2716" w:rsidRPr="004954AD">
        <w:rPr>
          <w:rFonts w:ascii="Book Antiqua" w:hAnsi="Book Antiqua" w:cs="Arial"/>
        </w:rPr>
        <w:t>Date</w:t>
      </w:r>
    </w:p>
    <w:p w:rsidR="001F2716" w:rsidRPr="00AE6DDE" w:rsidRDefault="001F2716" w:rsidP="00847259">
      <w:pPr>
        <w:jc w:val="both"/>
        <w:rPr>
          <w:rFonts w:ascii="Book Antiqua" w:hAnsi="Book Antiqua" w:cs="Arial"/>
        </w:rPr>
      </w:pPr>
    </w:p>
    <w:p w:rsidR="00B95326" w:rsidRPr="00AE6DDE" w:rsidRDefault="00537BD6" w:rsidP="001C77DF">
      <w:pPr>
        <w:jc w:val="both"/>
        <w:rPr>
          <w:rFonts w:ascii="Book Antiqua" w:hAnsi="Book Antiqua" w:cs="Arial"/>
        </w:rPr>
      </w:pPr>
      <w:r>
        <w:rPr>
          <w:rFonts w:ascii="Book Antiqua" w:hAnsi="Book Antiqua" w:cs="Arial"/>
          <w:color w:val="000000"/>
        </w:rPr>
        <w:t>Upper Tribunal Judge Blum</w:t>
      </w:r>
      <w:r w:rsidR="005E761F">
        <w:rPr>
          <w:rFonts w:ascii="Book Antiqua" w:hAnsi="Book Antiqua" w:cs="Arial"/>
          <w:color w:val="000000"/>
        </w:rPr>
        <w:t xml:space="preserve"> </w:t>
      </w:r>
    </w:p>
    <w:sectPr w:rsidR="00B95326" w:rsidRPr="00AE6DDE"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C59" w:rsidRDefault="00F33C59">
      <w:r>
        <w:separator/>
      </w:r>
    </w:p>
  </w:endnote>
  <w:endnote w:type="continuationSeparator" w:id="0">
    <w:p w:rsidR="00F33C59" w:rsidRDefault="00F3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D2" w:rsidRPr="00AE6DDE" w:rsidRDefault="00EF19D2"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C052E9">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D2" w:rsidRPr="00AE6DDE" w:rsidRDefault="00EF19D2"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C59" w:rsidRDefault="00F33C59">
      <w:r>
        <w:separator/>
      </w:r>
    </w:p>
  </w:footnote>
  <w:footnote w:type="continuationSeparator" w:id="0">
    <w:p w:rsidR="00F33C59" w:rsidRDefault="00F3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D2" w:rsidRPr="00AE6DDE" w:rsidRDefault="00EF19D2"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RP/00026/2017</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D2" w:rsidRPr="00AE6DDE" w:rsidRDefault="00EF19D2">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2628"/>
    <w:multiLevelType w:val="hybridMultilevel"/>
    <w:tmpl w:val="3374594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865EF0-DED5-4404-89D6-14B702E59BB1}"/>
    <w:docVar w:name="dgnword-eventsink" w:val="354844744"/>
  </w:docVars>
  <w:rsids>
    <w:rsidRoot w:val="00555C5C"/>
    <w:rsid w:val="00000621"/>
    <w:rsid w:val="000036C2"/>
    <w:rsid w:val="00031D21"/>
    <w:rsid w:val="0003204E"/>
    <w:rsid w:val="00033D3D"/>
    <w:rsid w:val="00037911"/>
    <w:rsid w:val="0004163A"/>
    <w:rsid w:val="00053029"/>
    <w:rsid w:val="00062F02"/>
    <w:rsid w:val="00066563"/>
    <w:rsid w:val="00071A7E"/>
    <w:rsid w:val="000746C0"/>
    <w:rsid w:val="00074C6F"/>
    <w:rsid w:val="00074D1D"/>
    <w:rsid w:val="00077405"/>
    <w:rsid w:val="00092580"/>
    <w:rsid w:val="00093D4D"/>
    <w:rsid w:val="000B24F7"/>
    <w:rsid w:val="000C4CC2"/>
    <w:rsid w:val="000D5D94"/>
    <w:rsid w:val="000E0B4E"/>
    <w:rsid w:val="000E7908"/>
    <w:rsid w:val="000F1A0E"/>
    <w:rsid w:val="00106BBE"/>
    <w:rsid w:val="001165A7"/>
    <w:rsid w:val="00116EFC"/>
    <w:rsid w:val="0013456B"/>
    <w:rsid w:val="0016016D"/>
    <w:rsid w:val="00167D3A"/>
    <w:rsid w:val="00173946"/>
    <w:rsid w:val="0018178A"/>
    <w:rsid w:val="00187ECD"/>
    <w:rsid w:val="001945D3"/>
    <w:rsid w:val="001A3082"/>
    <w:rsid w:val="001A4527"/>
    <w:rsid w:val="001B186A"/>
    <w:rsid w:val="001B2F75"/>
    <w:rsid w:val="001B3153"/>
    <w:rsid w:val="001C0FA2"/>
    <w:rsid w:val="001C77DF"/>
    <w:rsid w:val="001D42EF"/>
    <w:rsid w:val="001E57A8"/>
    <w:rsid w:val="001E7486"/>
    <w:rsid w:val="001F094D"/>
    <w:rsid w:val="001F2716"/>
    <w:rsid w:val="00205BA2"/>
    <w:rsid w:val="00207617"/>
    <w:rsid w:val="00224D49"/>
    <w:rsid w:val="0023134B"/>
    <w:rsid w:val="002376E5"/>
    <w:rsid w:val="00252EB7"/>
    <w:rsid w:val="00253D70"/>
    <w:rsid w:val="00254DBC"/>
    <w:rsid w:val="002642C5"/>
    <w:rsid w:val="00272CEE"/>
    <w:rsid w:val="00275117"/>
    <w:rsid w:val="00283659"/>
    <w:rsid w:val="002C0234"/>
    <w:rsid w:val="002C6BD4"/>
    <w:rsid w:val="002D083B"/>
    <w:rsid w:val="002D5BC1"/>
    <w:rsid w:val="002D68BF"/>
    <w:rsid w:val="002F6B98"/>
    <w:rsid w:val="00316640"/>
    <w:rsid w:val="003210A7"/>
    <w:rsid w:val="0032301C"/>
    <w:rsid w:val="003350EB"/>
    <w:rsid w:val="00336CBF"/>
    <w:rsid w:val="00343FE3"/>
    <w:rsid w:val="003546C8"/>
    <w:rsid w:val="00361CAF"/>
    <w:rsid w:val="00381200"/>
    <w:rsid w:val="003A0375"/>
    <w:rsid w:val="003A1526"/>
    <w:rsid w:val="003A2E8A"/>
    <w:rsid w:val="003A7CF2"/>
    <w:rsid w:val="003C5CE5"/>
    <w:rsid w:val="003D5888"/>
    <w:rsid w:val="003D59B3"/>
    <w:rsid w:val="003D746F"/>
    <w:rsid w:val="003E267B"/>
    <w:rsid w:val="003E295E"/>
    <w:rsid w:val="003E63EF"/>
    <w:rsid w:val="003E719E"/>
    <w:rsid w:val="003E7CD1"/>
    <w:rsid w:val="003E7F90"/>
    <w:rsid w:val="003F4C61"/>
    <w:rsid w:val="00402B9E"/>
    <w:rsid w:val="00404E2D"/>
    <w:rsid w:val="00412B21"/>
    <w:rsid w:val="004249CB"/>
    <w:rsid w:val="00432647"/>
    <w:rsid w:val="00433501"/>
    <w:rsid w:val="0044127D"/>
    <w:rsid w:val="004448DB"/>
    <w:rsid w:val="00446C9A"/>
    <w:rsid w:val="00447988"/>
    <w:rsid w:val="0045162A"/>
    <w:rsid w:val="00452F2B"/>
    <w:rsid w:val="004542A9"/>
    <w:rsid w:val="00467100"/>
    <w:rsid w:val="00471E3C"/>
    <w:rsid w:val="00472840"/>
    <w:rsid w:val="00476407"/>
    <w:rsid w:val="00477193"/>
    <w:rsid w:val="004954AD"/>
    <w:rsid w:val="004A1848"/>
    <w:rsid w:val="004A6F4A"/>
    <w:rsid w:val="004C4718"/>
    <w:rsid w:val="004D7BD5"/>
    <w:rsid w:val="004E4717"/>
    <w:rsid w:val="004E6D32"/>
    <w:rsid w:val="004E7EC5"/>
    <w:rsid w:val="004F672C"/>
    <w:rsid w:val="0050388A"/>
    <w:rsid w:val="00507FEC"/>
    <w:rsid w:val="00510F0E"/>
    <w:rsid w:val="00521091"/>
    <w:rsid w:val="00534BD2"/>
    <w:rsid w:val="00537BD6"/>
    <w:rsid w:val="005420FD"/>
    <w:rsid w:val="005473D4"/>
    <w:rsid w:val="005479E1"/>
    <w:rsid w:val="0055013B"/>
    <w:rsid w:val="00553E0A"/>
    <w:rsid w:val="00555C5C"/>
    <w:rsid w:val="005570FD"/>
    <w:rsid w:val="005575EA"/>
    <w:rsid w:val="00562283"/>
    <w:rsid w:val="0057790C"/>
    <w:rsid w:val="005836E9"/>
    <w:rsid w:val="00593795"/>
    <w:rsid w:val="00596130"/>
    <w:rsid w:val="00596914"/>
    <w:rsid w:val="005A75FF"/>
    <w:rsid w:val="005C2B9C"/>
    <w:rsid w:val="005C3605"/>
    <w:rsid w:val="005D10AB"/>
    <w:rsid w:val="005E3B61"/>
    <w:rsid w:val="005E761F"/>
    <w:rsid w:val="005E7919"/>
    <w:rsid w:val="00601D8F"/>
    <w:rsid w:val="0061259E"/>
    <w:rsid w:val="0062078F"/>
    <w:rsid w:val="00653E97"/>
    <w:rsid w:val="006571B6"/>
    <w:rsid w:val="00674187"/>
    <w:rsid w:val="00684A74"/>
    <w:rsid w:val="00690B8A"/>
    <w:rsid w:val="006C2924"/>
    <w:rsid w:val="006D5A2A"/>
    <w:rsid w:val="006E4615"/>
    <w:rsid w:val="006E47C4"/>
    <w:rsid w:val="006F2CF1"/>
    <w:rsid w:val="006F3D28"/>
    <w:rsid w:val="0070181F"/>
    <w:rsid w:val="00703184"/>
    <w:rsid w:val="007038ED"/>
    <w:rsid w:val="00703BC3"/>
    <w:rsid w:val="00704B61"/>
    <w:rsid w:val="0073357F"/>
    <w:rsid w:val="007552A9"/>
    <w:rsid w:val="007612C1"/>
    <w:rsid w:val="00761858"/>
    <w:rsid w:val="00767D59"/>
    <w:rsid w:val="007724A5"/>
    <w:rsid w:val="00776E97"/>
    <w:rsid w:val="00780F86"/>
    <w:rsid w:val="007912AD"/>
    <w:rsid w:val="00792409"/>
    <w:rsid w:val="00794C21"/>
    <w:rsid w:val="007A0794"/>
    <w:rsid w:val="007B0824"/>
    <w:rsid w:val="007B5D3C"/>
    <w:rsid w:val="007C2B0F"/>
    <w:rsid w:val="008137EE"/>
    <w:rsid w:val="00821B72"/>
    <w:rsid w:val="00823EF2"/>
    <w:rsid w:val="00827025"/>
    <w:rsid w:val="008303B8"/>
    <w:rsid w:val="00833DCE"/>
    <w:rsid w:val="00847259"/>
    <w:rsid w:val="008478F6"/>
    <w:rsid w:val="00854534"/>
    <w:rsid w:val="00871D34"/>
    <w:rsid w:val="00874D45"/>
    <w:rsid w:val="00882D14"/>
    <w:rsid w:val="008A7C6E"/>
    <w:rsid w:val="008B10AD"/>
    <w:rsid w:val="008B270C"/>
    <w:rsid w:val="008B5078"/>
    <w:rsid w:val="008C3D3D"/>
    <w:rsid w:val="008D4131"/>
    <w:rsid w:val="008E3CF9"/>
    <w:rsid w:val="008E611B"/>
    <w:rsid w:val="008F146D"/>
    <w:rsid w:val="008F1932"/>
    <w:rsid w:val="0090674E"/>
    <w:rsid w:val="00916A78"/>
    <w:rsid w:val="00916BD2"/>
    <w:rsid w:val="00921062"/>
    <w:rsid w:val="00925A1D"/>
    <w:rsid w:val="00942BEE"/>
    <w:rsid w:val="00947565"/>
    <w:rsid w:val="009566CF"/>
    <w:rsid w:val="00960ACE"/>
    <w:rsid w:val="00970A43"/>
    <w:rsid w:val="009710BD"/>
    <w:rsid w:val="009722BC"/>
    <w:rsid w:val="009727A3"/>
    <w:rsid w:val="00984E64"/>
    <w:rsid w:val="00985E3E"/>
    <w:rsid w:val="00986D7F"/>
    <w:rsid w:val="00987774"/>
    <w:rsid w:val="0099548D"/>
    <w:rsid w:val="00997D92"/>
    <w:rsid w:val="009A11E8"/>
    <w:rsid w:val="009B443B"/>
    <w:rsid w:val="009D1EA3"/>
    <w:rsid w:val="009D2CB7"/>
    <w:rsid w:val="009D55C5"/>
    <w:rsid w:val="009E56FC"/>
    <w:rsid w:val="009E65F9"/>
    <w:rsid w:val="009F5220"/>
    <w:rsid w:val="009F6BAB"/>
    <w:rsid w:val="00A03802"/>
    <w:rsid w:val="00A15234"/>
    <w:rsid w:val="00A178A7"/>
    <w:rsid w:val="00A201AB"/>
    <w:rsid w:val="00A31C8B"/>
    <w:rsid w:val="00A509FA"/>
    <w:rsid w:val="00A57B5D"/>
    <w:rsid w:val="00A6008F"/>
    <w:rsid w:val="00A616D2"/>
    <w:rsid w:val="00A668A6"/>
    <w:rsid w:val="00A76E0B"/>
    <w:rsid w:val="00A845DC"/>
    <w:rsid w:val="00A92942"/>
    <w:rsid w:val="00AC224C"/>
    <w:rsid w:val="00AC2A32"/>
    <w:rsid w:val="00AC2C5E"/>
    <w:rsid w:val="00AD5231"/>
    <w:rsid w:val="00AE6DDE"/>
    <w:rsid w:val="00AE7D4D"/>
    <w:rsid w:val="00AF1761"/>
    <w:rsid w:val="00B03093"/>
    <w:rsid w:val="00B17F13"/>
    <w:rsid w:val="00B200D2"/>
    <w:rsid w:val="00B26AA2"/>
    <w:rsid w:val="00B276C6"/>
    <w:rsid w:val="00B31B2D"/>
    <w:rsid w:val="00B3524D"/>
    <w:rsid w:val="00B40F69"/>
    <w:rsid w:val="00B46616"/>
    <w:rsid w:val="00B55C9C"/>
    <w:rsid w:val="00B7040A"/>
    <w:rsid w:val="00B83391"/>
    <w:rsid w:val="00B8730C"/>
    <w:rsid w:val="00B87C01"/>
    <w:rsid w:val="00B95326"/>
    <w:rsid w:val="00BB176E"/>
    <w:rsid w:val="00BB3127"/>
    <w:rsid w:val="00BD4196"/>
    <w:rsid w:val="00BE6840"/>
    <w:rsid w:val="00BF22CA"/>
    <w:rsid w:val="00BF23BB"/>
    <w:rsid w:val="00C052E9"/>
    <w:rsid w:val="00C169EA"/>
    <w:rsid w:val="00C26032"/>
    <w:rsid w:val="00C345E1"/>
    <w:rsid w:val="00C432B4"/>
    <w:rsid w:val="00C43BFD"/>
    <w:rsid w:val="00C478E1"/>
    <w:rsid w:val="00C53074"/>
    <w:rsid w:val="00C612EB"/>
    <w:rsid w:val="00C824AA"/>
    <w:rsid w:val="00C917BC"/>
    <w:rsid w:val="00CA32BF"/>
    <w:rsid w:val="00CB6E35"/>
    <w:rsid w:val="00CC655E"/>
    <w:rsid w:val="00CD3634"/>
    <w:rsid w:val="00CD58CE"/>
    <w:rsid w:val="00CD59AC"/>
    <w:rsid w:val="00CE1A46"/>
    <w:rsid w:val="00CE6ADE"/>
    <w:rsid w:val="00D20757"/>
    <w:rsid w:val="00D22636"/>
    <w:rsid w:val="00D3679A"/>
    <w:rsid w:val="00D40FD9"/>
    <w:rsid w:val="00D43FED"/>
    <w:rsid w:val="00D45631"/>
    <w:rsid w:val="00D46206"/>
    <w:rsid w:val="00D51AFE"/>
    <w:rsid w:val="00D53769"/>
    <w:rsid w:val="00D73B76"/>
    <w:rsid w:val="00D85C13"/>
    <w:rsid w:val="00D87AF7"/>
    <w:rsid w:val="00D9111A"/>
    <w:rsid w:val="00D91BE3"/>
    <w:rsid w:val="00D94AFC"/>
    <w:rsid w:val="00D97576"/>
    <w:rsid w:val="00DA2BA8"/>
    <w:rsid w:val="00DB70AE"/>
    <w:rsid w:val="00DD1BBC"/>
    <w:rsid w:val="00DD5071"/>
    <w:rsid w:val="00DD5C39"/>
    <w:rsid w:val="00DE7DB7"/>
    <w:rsid w:val="00DF09E9"/>
    <w:rsid w:val="00E008E6"/>
    <w:rsid w:val="00E00973"/>
    <w:rsid w:val="00E00A0A"/>
    <w:rsid w:val="00E066DE"/>
    <w:rsid w:val="00E07F57"/>
    <w:rsid w:val="00E1425B"/>
    <w:rsid w:val="00E24648"/>
    <w:rsid w:val="00E30683"/>
    <w:rsid w:val="00E453D8"/>
    <w:rsid w:val="00E478DA"/>
    <w:rsid w:val="00E50BCE"/>
    <w:rsid w:val="00E574BF"/>
    <w:rsid w:val="00E57C1B"/>
    <w:rsid w:val="00E61292"/>
    <w:rsid w:val="00E67616"/>
    <w:rsid w:val="00E77C4D"/>
    <w:rsid w:val="00E81371"/>
    <w:rsid w:val="00E81D01"/>
    <w:rsid w:val="00E845A5"/>
    <w:rsid w:val="00E862A9"/>
    <w:rsid w:val="00EA4CAC"/>
    <w:rsid w:val="00ED64A3"/>
    <w:rsid w:val="00EE45D8"/>
    <w:rsid w:val="00EF19D2"/>
    <w:rsid w:val="00F2297B"/>
    <w:rsid w:val="00F22EDA"/>
    <w:rsid w:val="00F31A3C"/>
    <w:rsid w:val="00F32F12"/>
    <w:rsid w:val="00F33C59"/>
    <w:rsid w:val="00F43F6B"/>
    <w:rsid w:val="00F4480D"/>
    <w:rsid w:val="00F74FA7"/>
    <w:rsid w:val="00F7771B"/>
    <w:rsid w:val="00F940C1"/>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D4885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E57C1B"/>
    <w:pPr>
      <w:ind w:left="720"/>
    </w:pPr>
  </w:style>
  <w:style w:type="paragraph" w:customStyle="1" w:styleId="Default">
    <w:name w:val="Default"/>
    <w:rsid w:val="00E57C1B"/>
    <w:pPr>
      <w:autoSpaceDE w:val="0"/>
      <w:autoSpaceDN w:val="0"/>
      <w:adjustRightInd w:val="0"/>
    </w:pPr>
    <w:rPr>
      <w:rFonts w:ascii="Arial" w:hAnsi="Arial" w:cs="Arial"/>
      <w:color w:val="000000"/>
      <w:sz w:val="24"/>
      <w:szCs w:val="24"/>
    </w:rPr>
  </w:style>
  <w:style w:type="character" w:customStyle="1" w:styleId="legds3">
    <w:name w:val="legds3"/>
    <w:rsid w:val="00205BA2"/>
    <w:rPr>
      <w:vanish w:val="0"/>
      <w:webHidden w:val="0"/>
      <w:specVanish w:val="0"/>
    </w:rPr>
  </w:style>
  <w:style w:type="character" w:customStyle="1" w:styleId="legextentrestriction2">
    <w:name w:val="legextentrestriction2"/>
    <w:rsid w:val="00205BA2"/>
    <w:rPr>
      <w:vanish/>
      <w:webHidden w:val="0"/>
      <w:color w:val="FFFFFF"/>
      <w:sz w:val="22"/>
      <w:szCs w:val="22"/>
      <w:specVanish w:val="0"/>
    </w:rPr>
  </w:style>
  <w:style w:type="paragraph" w:customStyle="1" w:styleId="legclearfix2">
    <w:name w:val="legclearfix2"/>
    <w:basedOn w:val="Normal"/>
    <w:rsid w:val="00205BA2"/>
    <w:pPr>
      <w:shd w:val="clear" w:color="auto" w:fill="FFFFFF"/>
      <w:spacing w:after="120" w:line="432" w:lineRule="atLeast"/>
    </w:pPr>
    <w:rPr>
      <w:color w:val="000000"/>
      <w:sz w:val="19"/>
      <w:szCs w:val="19"/>
    </w:rPr>
  </w:style>
  <w:style w:type="character" w:customStyle="1" w:styleId="legamendingtext">
    <w:name w:val="legamendingtext"/>
    <w:rsid w:val="00F94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602549">
      <w:bodyDiv w:val="1"/>
      <w:marLeft w:val="0"/>
      <w:marRight w:val="0"/>
      <w:marTop w:val="0"/>
      <w:marBottom w:val="0"/>
      <w:divBdr>
        <w:top w:val="none" w:sz="0" w:space="0" w:color="auto"/>
        <w:left w:val="none" w:sz="0" w:space="0" w:color="auto"/>
        <w:bottom w:val="none" w:sz="0" w:space="0" w:color="auto"/>
        <w:right w:val="none" w:sz="0" w:space="0" w:color="auto"/>
      </w:divBdr>
      <w:divsChild>
        <w:div w:id="330719167">
          <w:marLeft w:val="0"/>
          <w:marRight w:val="0"/>
          <w:marTop w:val="0"/>
          <w:marBottom w:val="0"/>
          <w:divBdr>
            <w:top w:val="none" w:sz="0" w:space="0" w:color="auto"/>
            <w:left w:val="none" w:sz="0" w:space="0" w:color="auto"/>
            <w:bottom w:val="none" w:sz="0" w:space="0" w:color="auto"/>
            <w:right w:val="none" w:sz="0" w:space="0" w:color="auto"/>
          </w:divBdr>
          <w:divsChild>
            <w:div w:id="1975090155">
              <w:marLeft w:val="0"/>
              <w:marRight w:val="0"/>
              <w:marTop w:val="0"/>
              <w:marBottom w:val="0"/>
              <w:divBdr>
                <w:top w:val="none" w:sz="0" w:space="0" w:color="auto"/>
                <w:left w:val="none" w:sz="0" w:space="0" w:color="auto"/>
                <w:bottom w:val="none" w:sz="0" w:space="0" w:color="auto"/>
                <w:right w:val="none" w:sz="0" w:space="0" w:color="auto"/>
              </w:divBdr>
              <w:divsChild>
                <w:div w:id="1187672001">
                  <w:marLeft w:val="0"/>
                  <w:marRight w:val="0"/>
                  <w:marTop w:val="0"/>
                  <w:marBottom w:val="0"/>
                  <w:divBdr>
                    <w:top w:val="none" w:sz="0" w:space="0" w:color="auto"/>
                    <w:left w:val="none" w:sz="0" w:space="0" w:color="auto"/>
                    <w:bottom w:val="none" w:sz="0" w:space="0" w:color="auto"/>
                    <w:right w:val="none" w:sz="0" w:space="0" w:color="auto"/>
                  </w:divBdr>
                  <w:divsChild>
                    <w:div w:id="2040354941">
                      <w:marLeft w:val="0"/>
                      <w:marRight w:val="0"/>
                      <w:marTop w:val="0"/>
                      <w:marBottom w:val="0"/>
                      <w:divBdr>
                        <w:top w:val="none" w:sz="0" w:space="0" w:color="auto"/>
                        <w:left w:val="none" w:sz="0" w:space="0" w:color="auto"/>
                        <w:bottom w:val="none" w:sz="0" w:space="0" w:color="auto"/>
                        <w:right w:val="none" w:sz="0" w:space="0" w:color="auto"/>
                      </w:divBdr>
                      <w:divsChild>
                        <w:div w:id="612129658">
                          <w:marLeft w:val="0"/>
                          <w:marRight w:val="0"/>
                          <w:marTop w:val="0"/>
                          <w:marBottom w:val="0"/>
                          <w:divBdr>
                            <w:top w:val="none" w:sz="0" w:space="0" w:color="auto"/>
                            <w:left w:val="none" w:sz="0" w:space="0" w:color="auto"/>
                            <w:bottom w:val="none" w:sz="0" w:space="0" w:color="auto"/>
                            <w:right w:val="none" w:sz="0" w:space="0" w:color="auto"/>
                          </w:divBdr>
                          <w:divsChild>
                            <w:div w:id="503057753">
                              <w:marLeft w:val="0"/>
                              <w:marRight w:val="0"/>
                              <w:marTop w:val="0"/>
                              <w:marBottom w:val="0"/>
                              <w:divBdr>
                                <w:top w:val="none" w:sz="0" w:space="0" w:color="auto"/>
                                <w:left w:val="none" w:sz="0" w:space="0" w:color="auto"/>
                                <w:bottom w:val="none" w:sz="0" w:space="0" w:color="auto"/>
                                <w:right w:val="none" w:sz="0" w:space="0" w:color="auto"/>
                              </w:divBdr>
                              <w:divsChild>
                                <w:div w:id="1349529921">
                                  <w:marLeft w:val="0"/>
                                  <w:marRight w:val="0"/>
                                  <w:marTop w:val="0"/>
                                  <w:marBottom w:val="0"/>
                                  <w:divBdr>
                                    <w:top w:val="none" w:sz="0" w:space="0" w:color="auto"/>
                                    <w:left w:val="none" w:sz="0" w:space="0" w:color="auto"/>
                                    <w:bottom w:val="none" w:sz="0" w:space="0" w:color="auto"/>
                                    <w:right w:val="none" w:sz="0" w:space="0" w:color="auto"/>
                                  </w:divBdr>
                                  <w:divsChild>
                                    <w:div w:id="1457531015">
                                      <w:marLeft w:val="0"/>
                                      <w:marRight w:val="0"/>
                                      <w:marTop w:val="0"/>
                                      <w:marBottom w:val="0"/>
                                      <w:divBdr>
                                        <w:top w:val="none" w:sz="0" w:space="0" w:color="auto"/>
                                        <w:left w:val="none" w:sz="0" w:space="0" w:color="auto"/>
                                        <w:bottom w:val="none" w:sz="0" w:space="0" w:color="auto"/>
                                        <w:right w:val="none" w:sz="0" w:space="0" w:color="auto"/>
                                      </w:divBdr>
                                      <w:divsChild>
                                        <w:div w:id="1655138080">
                                          <w:marLeft w:val="0"/>
                                          <w:marRight w:val="0"/>
                                          <w:marTop w:val="0"/>
                                          <w:marBottom w:val="0"/>
                                          <w:divBdr>
                                            <w:top w:val="none" w:sz="0" w:space="0" w:color="auto"/>
                                            <w:left w:val="none" w:sz="0" w:space="0" w:color="auto"/>
                                            <w:bottom w:val="none" w:sz="0" w:space="0" w:color="auto"/>
                                            <w:right w:val="none" w:sz="0" w:space="0" w:color="auto"/>
                                          </w:divBdr>
                                          <w:divsChild>
                                            <w:div w:id="905381544">
                                              <w:marLeft w:val="0"/>
                                              <w:marRight w:val="0"/>
                                              <w:marTop w:val="0"/>
                                              <w:marBottom w:val="0"/>
                                              <w:divBdr>
                                                <w:top w:val="none" w:sz="0" w:space="0" w:color="auto"/>
                                                <w:left w:val="none" w:sz="0" w:space="0" w:color="auto"/>
                                                <w:bottom w:val="none" w:sz="0" w:space="0" w:color="auto"/>
                                                <w:right w:val="none" w:sz="0" w:space="0" w:color="auto"/>
                                              </w:divBdr>
                                              <w:divsChild>
                                                <w:div w:id="760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3535774">
      <w:bodyDiv w:val="1"/>
      <w:marLeft w:val="0"/>
      <w:marRight w:val="0"/>
      <w:marTop w:val="0"/>
      <w:marBottom w:val="0"/>
      <w:divBdr>
        <w:top w:val="none" w:sz="0" w:space="0" w:color="auto"/>
        <w:left w:val="none" w:sz="0" w:space="0" w:color="auto"/>
        <w:bottom w:val="none" w:sz="0" w:space="0" w:color="auto"/>
        <w:right w:val="none" w:sz="0" w:space="0" w:color="auto"/>
      </w:divBdr>
      <w:divsChild>
        <w:div w:id="1896893177">
          <w:marLeft w:val="0"/>
          <w:marRight w:val="0"/>
          <w:marTop w:val="0"/>
          <w:marBottom w:val="0"/>
          <w:divBdr>
            <w:top w:val="none" w:sz="0" w:space="0" w:color="auto"/>
            <w:left w:val="none" w:sz="0" w:space="0" w:color="auto"/>
            <w:bottom w:val="none" w:sz="0" w:space="0" w:color="auto"/>
            <w:right w:val="none" w:sz="0" w:space="0" w:color="auto"/>
          </w:divBdr>
          <w:divsChild>
            <w:div w:id="603805782">
              <w:marLeft w:val="0"/>
              <w:marRight w:val="0"/>
              <w:marTop w:val="0"/>
              <w:marBottom w:val="0"/>
              <w:divBdr>
                <w:top w:val="none" w:sz="0" w:space="0" w:color="auto"/>
                <w:left w:val="none" w:sz="0" w:space="0" w:color="auto"/>
                <w:bottom w:val="none" w:sz="0" w:space="0" w:color="auto"/>
                <w:right w:val="none" w:sz="0" w:space="0" w:color="auto"/>
              </w:divBdr>
              <w:divsChild>
                <w:div w:id="911433405">
                  <w:marLeft w:val="0"/>
                  <w:marRight w:val="0"/>
                  <w:marTop w:val="0"/>
                  <w:marBottom w:val="0"/>
                  <w:divBdr>
                    <w:top w:val="none" w:sz="0" w:space="0" w:color="auto"/>
                    <w:left w:val="none" w:sz="0" w:space="0" w:color="auto"/>
                    <w:bottom w:val="none" w:sz="0" w:space="0" w:color="auto"/>
                    <w:right w:val="none" w:sz="0" w:space="0" w:color="auto"/>
                  </w:divBdr>
                  <w:divsChild>
                    <w:div w:id="2108691962">
                      <w:marLeft w:val="0"/>
                      <w:marRight w:val="0"/>
                      <w:marTop w:val="0"/>
                      <w:marBottom w:val="0"/>
                      <w:divBdr>
                        <w:top w:val="none" w:sz="0" w:space="0" w:color="auto"/>
                        <w:left w:val="none" w:sz="0" w:space="0" w:color="auto"/>
                        <w:bottom w:val="none" w:sz="0" w:space="0" w:color="auto"/>
                        <w:right w:val="none" w:sz="0" w:space="0" w:color="auto"/>
                      </w:divBdr>
                      <w:divsChild>
                        <w:div w:id="808783212">
                          <w:marLeft w:val="0"/>
                          <w:marRight w:val="0"/>
                          <w:marTop w:val="0"/>
                          <w:marBottom w:val="0"/>
                          <w:divBdr>
                            <w:top w:val="none" w:sz="0" w:space="0" w:color="auto"/>
                            <w:left w:val="none" w:sz="0" w:space="0" w:color="auto"/>
                            <w:bottom w:val="none" w:sz="0" w:space="0" w:color="auto"/>
                            <w:right w:val="none" w:sz="0" w:space="0" w:color="auto"/>
                          </w:divBdr>
                          <w:divsChild>
                            <w:div w:id="948582639">
                              <w:marLeft w:val="0"/>
                              <w:marRight w:val="0"/>
                              <w:marTop w:val="0"/>
                              <w:marBottom w:val="0"/>
                              <w:divBdr>
                                <w:top w:val="none" w:sz="0" w:space="0" w:color="auto"/>
                                <w:left w:val="none" w:sz="0" w:space="0" w:color="auto"/>
                                <w:bottom w:val="none" w:sz="0" w:space="0" w:color="auto"/>
                                <w:right w:val="none" w:sz="0" w:space="0" w:color="auto"/>
                              </w:divBdr>
                              <w:divsChild>
                                <w:div w:id="817065259">
                                  <w:marLeft w:val="0"/>
                                  <w:marRight w:val="0"/>
                                  <w:marTop w:val="0"/>
                                  <w:marBottom w:val="0"/>
                                  <w:divBdr>
                                    <w:top w:val="none" w:sz="0" w:space="0" w:color="auto"/>
                                    <w:left w:val="none" w:sz="0" w:space="0" w:color="auto"/>
                                    <w:bottom w:val="none" w:sz="0" w:space="0" w:color="auto"/>
                                    <w:right w:val="none" w:sz="0" w:space="0" w:color="auto"/>
                                  </w:divBdr>
                                  <w:divsChild>
                                    <w:div w:id="403183338">
                                      <w:marLeft w:val="0"/>
                                      <w:marRight w:val="0"/>
                                      <w:marTop w:val="0"/>
                                      <w:marBottom w:val="0"/>
                                      <w:divBdr>
                                        <w:top w:val="none" w:sz="0" w:space="0" w:color="auto"/>
                                        <w:left w:val="none" w:sz="0" w:space="0" w:color="auto"/>
                                        <w:bottom w:val="none" w:sz="0" w:space="0" w:color="auto"/>
                                        <w:right w:val="none" w:sz="0" w:space="0" w:color="auto"/>
                                      </w:divBdr>
                                      <w:divsChild>
                                        <w:div w:id="1154686108">
                                          <w:marLeft w:val="0"/>
                                          <w:marRight w:val="0"/>
                                          <w:marTop w:val="0"/>
                                          <w:marBottom w:val="0"/>
                                          <w:divBdr>
                                            <w:top w:val="none" w:sz="0" w:space="0" w:color="auto"/>
                                            <w:left w:val="none" w:sz="0" w:space="0" w:color="auto"/>
                                            <w:bottom w:val="none" w:sz="0" w:space="0" w:color="auto"/>
                                            <w:right w:val="none" w:sz="0" w:space="0" w:color="auto"/>
                                          </w:divBdr>
                                          <w:divsChild>
                                            <w:div w:id="217908573">
                                              <w:marLeft w:val="0"/>
                                              <w:marRight w:val="0"/>
                                              <w:marTop w:val="0"/>
                                              <w:marBottom w:val="0"/>
                                              <w:divBdr>
                                                <w:top w:val="none" w:sz="0" w:space="0" w:color="auto"/>
                                                <w:left w:val="none" w:sz="0" w:space="0" w:color="auto"/>
                                                <w:bottom w:val="none" w:sz="0" w:space="0" w:color="auto"/>
                                                <w:right w:val="none" w:sz="0" w:space="0" w:color="auto"/>
                                              </w:divBdr>
                                              <w:divsChild>
                                                <w:div w:id="13271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449904">
      <w:bodyDiv w:val="1"/>
      <w:marLeft w:val="0"/>
      <w:marRight w:val="0"/>
      <w:marTop w:val="0"/>
      <w:marBottom w:val="0"/>
      <w:divBdr>
        <w:top w:val="none" w:sz="0" w:space="0" w:color="auto"/>
        <w:left w:val="none" w:sz="0" w:space="0" w:color="auto"/>
        <w:bottom w:val="none" w:sz="0" w:space="0" w:color="auto"/>
        <w:right w:val="none" w:sz="0" w:space="0" w:color="auto"/>
      </w:divBdr>
      <w:divsChild>
        <w:div w:id="1031539729">
          <w:marLeft w:val="0"/>
          <w:marRight w:val="0"/>
          <w:marTop w:val="0"/>
          <w:marBottom w:val="0"/>
          <w:divBdr>
            <w:top w:val="none" w:sz="0" w:space="0" w:color="auto"/>
            <w:left w:val="none" w:sz="0" w:space="0" w:color="auto"/>
            <w:bottom w:val="none" w:sz="0" w:space="0" w:color="auto"/>
            <w:right w:val="none" w:sz="0" w:space="0" w:color="auto"/>
          </w:divBdr>
          <w:divsChild>
            <w:div w:id="1502356514">
              <w:marLeft w:val="0"/>
              <w:marRight w:val="0"/>
              <w:marTop w:val="0"/>
              <w:marBottom w:val="0"/>
              <w:divBdr>
                <w:top w:val="none" w:sz="0" w:space="0" w:color="auto"/>
                <w:left w:val="none" w:sz="0" w:space="0" w:color="auto"/>
                <w:bottom w:val="none" w:sz="0" w:space="0" w:color="auto"/>
                <w:right w:val="none" w:sz="0" w:space="0" w:color="auto"/>
              </w:divBdr>
              <w:divsChild>
                <w:div w:id="1862477018">
                  <w:marLeft w:val="0"/>
                  <w:marRight w:val="0"/>
                  <w:marTop w:val="0"/>
                  <w:marBottom w:val="0"/>
                  <w:divBdr>
                    <w:top w:val="none" w:sz="0" w:space="0" w:color="auto"/>
                    <w:left w:val="none" w:sz="0" w:space="0" w:color="auto"/>
                    <w:bottom w:val="none" w:sz="0" w:space="0" w:color="auto"/>
                    <w:right w:val="none" w:sz="0" w:space="0" w:color="auto"/>
                  </w:divBdr>
                  <w:divsChild>
                    <w:div w:id="612060782">
                      <w:marLeft w:val="0"/>
                      <w:marRight w:val="0"/>
                      <w:marTop w:val="0"/>
                      <w:marBottom w:val="0"/>
                      <w:divBdr>
                        <w:top w:val="none" w:sz="0" w:space="0" w:color="auto"/>
                        <w:left w:val="none" w:sz="0" w:space="0" w:color="auto"/>
                        <w:bottom w:val="none" w:sz="0" w:space="0" w:color="auto"/>
                        <w:right w:val="none" w:sz="0" w:space="0" w:color="auto"/>
                      </w:divBdr>
                      <w:divsChild>
                        <w:div w:id="345795095">
                          <w:marLeft w:val="0"/>
                          <w:marRight w:val="0"/>
                          <w:marTop w:val="0"/>
                          <w:marBottom w:val="0"/>
                          <w:divBdr>
                            <w:top w:val="none" w:sz="0" w:space="0" w:color="auto"/>
                            <w:left w:val="none" w:sz="0" w:space="0" w:color="auto"/>
                            <w:bottom w:val="none" w:sz="0" w:space="0" w:color="auto"/>
                            <w:right w:val="none" w:sz="0" w:space="0" w:color="auto"/>
                          </w:divBdr>
                          <w:divsChild>
                            <w:div w:id="1522352920">
                              <w:marLeft w:val="0"/>
                              <w:marRight w:val="0"/>
                              <w:marTop w:val="0"/>
                              <w:marBottom w:val="0"/>
                              <w:divBdr>
                                <w:top w:val="none" w:sz="0" w:space="0" w:color="auto"/>
                                <w:left w:val="none" w:sz="0" w:space="0" w:color="auto"/>
                                <w:bottom w:val="none" w:sz="0" w:space="0" w:color="auto"/>
                                <w:right w:val="none" w:sz="0" w:space="0" w:color="auto"/>
                              </w:divBdr>
                              <w:divsChild>
                                <w:div w:id="43916929">
                                  <w:marLeft w:val="0"/>
                                  <w:marRight w:val="0"/>
                                  <w:marTop w:val="0"/>
                                  <w:marBottom w:val="0"/>
                                  <w:divBdr>
                                    <w:top w:val="none" w:sz="0" w:space="0" w:color="auto"/>
                                    <w:left w:val="none" w:sz="0" w:space="0" w:color="auto"/>
                                    <w:bottom w:val="none" w:sz="0" w:space="0" w:color="auto"/>
                                    <w:right w:val="none" w:sz="0" w:space="0" w:color="auto"/>
                                  </w:divBdr>
                                  <w:divsChild>
                                    <w:div w:id="1949846770">
                                      <w:marLeft w:val="0"/>
                                      <w:marRight w:val="0"/>
                                      <w:marTop w:val="0"/>
                                      <w:marBottom w:val="0"/>
                                      <w:divBdr>
                                        <w:top w:val="none" w:sz="0" w:space="0" w:color="auto"/>
                                        <w:left w:val="none" w:sz="0" w:space="0" w:color="auto"/>
                                        <w:bottom w:val="none" w:sz="0" w:space="0" w:color="auto"/>
                                        <w:right w:val="none" w:sz="0" w:space="0" w:color="auto"/>
                                      </w:divBdr>
                                      <w:divsChild>
                                        <w:div w:id="1026100394">
                                          <w:marLeft w:val="0"/>
                                          <w:marRight w:val="0"/>
                                          <w:marTop w:val="0"/>
                                          <w:marBottom w:val="0"/>
                                          <w:divBdr>
                                            <w:top w:val="none" w:sz="0" w:space="0" w:color="auto"/>
                                            <w:left w:val="none" w:sz="0" w:space="0" w:color="auto"/>
                                            <w:bottom w:val="none" w:sz="0" w:space="0" w:color="auto"/>
                                            <w:right w:val="none" w:sz="0" w:space="0" w:color="auto"/>
                                          </w:divBdr>
                                          <w:divsChild>
                                            <w:div w:id="2000771300">
                                              <w:marLeft w:val="0"/>
                                              <w:marRight w:val="0"/>
                                              <w:marTop w:val="0"/>
                                              <w:marBottom w:val="0"/>
                                              <w:divBdr>
                                                <w:top w:val="none" w:sz="0" w:space="0" w:color="auto"/>
                                                <w:left w:val="none" w:sz="0" w:space="0" w:color="auto"/>
                                                <w:bottom w:val="none" w:sz="0" w:space="0" w:color="auto"/>
                                                <w:right w:val="none" w:sz="0" w:space="0" w:color="auto"/>
                                              </w:divBdr>
                                              <w:divsChild>
                                                <w:div w:id="1837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430616">
      <w:bodyDiv w:val="1"/>
      <w:marLeft w:val="0"/>
      <w:marRight w:val="0"/>
      <w:marTop w:val="0"/>
      <w:marBottom w:val="0"/>
      <w:divBdr>
        <w:top w:val="none" w:sz="0" w:space="0" w:color="auto"/>
        <w:left w:val="none" w:sz="0" w:space="0" w:color="auto"/>
        <w:bottom w:val="none" w:sz="0" w:space="0" w:color="auto"/>
        <w:right w:val="none" w:sz="0" w:space="0" w:color="auto"/>
      </w:divBdr>
      <w:divsChild>
        <w:div w:id="1942640913">
          <w:marLeft w:val="0"/>
          <w:marRight w:val="0"/>
          <w:marTop w:val="0"/>
          <w:marBottom w:val="0"/>
          <w:divBdr>
            <w:top w:val="none" w:sz="0" w:space="0" w:color="auto"/>
            <w:left w:val="none" w:sz="0" w:space="0" w:color="auto"/>
            <w:bottom w:val="none" w:sz="0" w:space="0" w:color="auto"/>
            <w:right w:val="none" w:sz="0" w:space="0" w:color="auto"/>
          </w:divBdr>
          <w:divsChild>
            <w:div w:id="1294487307">
              <w:marLeft w:val="0"/>
              <w:marRight w:val="0"/>
              <w:marTop w:val="0"/>
              <w:marBottom w:val="0"/>
              <w:divBdr>
                <w:top w:val="none" w:sz="0" w:space="0" w:color="auto"/>
                <w:left w:val="none" w:sz="0" w:space="0" w:color="auto"/>
                <w:bottom w:val="none" w:sz="0" w:space="0" w:color="auto"/>
                <w:right w:val="none" w:sz="0" w:space="0" w:color="auto"/>
              </w:divBdr>
              <w:divsChild>
                <w:div w:id="994915657">
                  <w:marLeft w:val="0"/>
                  <w:marRight w:val="0"/>
                  <w:marTop w:val="0"/>
                  <w:marBottom w:val="0"/>
                  <w:divBdr>
                    <w:top w:val="none" w:sz="0" w:space="0" w:color="auto"/>
                    <w:left w:val="none" w:sz="0" w:space="0" w:color="auto"/>
                    <w:bottom w:val="none" w:sz="0" w:space="0" w:color="auto"/>
                    <w:right w:val="none" w:sz="0" w:space="0" w:color="auto"/>
                  </w:divBdr>
                  <w:divsChild>
                    <w:div w:id="722141716">
                      <w:marLeft w:val="0"/>
                      <w:marRight w:val="0"/>
                      <w:marTop w:val="0"/>
                      <w:marBottom w:val="0"/>
                      <w:divBdr>
                        <w:top w:val="none" w:sz="0" w:space="0" w:color="auto"/>
                        <w:left w:val="none" w:sz="0" w:space="0" w:color="auto"/>
                        <w:bottom w:val="none" w:sz="0" w:space="0" w:color="auto"/>
                        <w:right w:val="none" w:sz="0" w:space="0" w:color="auto"/>
                      </w:divBdr>
                      <w:divsChild>
                        <w:div w:id="718820399">
                          <w:marLeft w:val="0"/>
                          <w:marRight w:val="0"/>
                          <w:marTop w:val="0"/>
                          <w:marBottom w:val="0"/>
                          <w:divBdr>
                            <w:top w:val="none" w:sz="0" w:space="0" w:color="auto"/>
                            <w:left w:val="none" w:sz="0" w:space="0" w:color="auto"/>
                            <w:bottom w:val="none" w:sz="0" w:space="0" w:color="auto"/>
                            <w:right w:val="none" w:sz="0" w:space="0" w:color="auto"/>
                          </w:divBdr>
                          <w:divsChild>
                            <w:div w:id="106123007">
                              <w:marLeft w:val="0"/>
                              <w:marRight w:val="0"/>
                              <w:marTop w:val="0"/>
                              <w:marBottom w:val="0"/>
                              <w:divBdr>
                                <w:top w:val="none" w:sz="0" w:space="0" w:color="auto"/>
                                <w:left w:val="none" w:sz="0" w:space="0" w:color="auto"/>
                                <w:bottom w:val="none" w:sz="0" w:space="0" w:color="auto"/>
                                <w:right w:val="none" w:sz="0" w:space="0" w:color="auto"/>
                              </w:divBdr>
                              <w:divsChild>
                                <w:div w:id="1607468216">
                                  <w:marLeft w:val="0"/>
                                  <w:marRight w:val="0"/>
                                  <w:marTop w:val="0"/>
                                  <w:marBottom w:val="0"/>
                                  <w:divBdr>
                                    <w:top w:val="none" w:sz="0" w:space="0" w:color="auto"/>
                                    <w:left w:val="none" w:sz="0" w:space="0" w:color="auto"/>
                                    <w:bottom w:val="none" w:sz="0" w:space="0" w:color="auto"/>
                                    <w:right w:val="none" w:sz="0" w:space="0" w:color="auto"/>
                                  </w:divBdr>
                                  <w:divsChild>
                                    <w:div w:id="545416468">
                                      <w:marLeft w:val="0"/>
                                      <w:marRight w:val="0"/>
                                      <w:marTop w:val="0"/>
                                      <w:marBottom w:val="0"/>
                                      <w:divBdr>
                                        <w:top w:val="none" w:sz="0" w:space="0" w:color="auto"/>
                                        <w:left w:val="none" w:sz="0" w:space="0" w:color="auto"/>
                                        <w:bottom w:val="none" w:sz="0" w:space="0" w:color="auto"/>
                                        <w:right w:val="none" w:sz="0" w:space="0" w:color="auto"/>
                                      </w:divBdr>
                                      <w:divsChild>
                                        <w:div w:id="1659337380">
                                          <w:marLeft w:val="0"/>
                                          <w:marRight w:val="0"/>
                                          <w:marTop w:val="0"/>
                                          <w:marBottom w:val="0"/>
                                          <w:divBdr>
                                            <w:top w:val="none" w:sz="0" w:space="0" w:color="auto"/>
                                            <w:left w:val="none" w:sz="0" w:space="0" w:color="auto"/>
                                            <w:bottom w:val="none" w:sz="0" w:space="0" w:color="auto"/>
                                            <w:right w:val="none" w:sz="0" w:space="0" w:color="auto"/>
                                          </w:divBdr>
                                          <w:divsChild>
                                            <w:div w:id="1039742375">
                                              <w:marLeft w:val="0"/>
                                              <w:marRight w:val="0"/>
                                              <w:marTop w:val="0"/>
                                              <w:marBottom w:val="0"/>
                                              <w:divBdr>
                                                <w:top w:val="none" w:sz="0" w:space="0" w:color="auto"/>
                                                <w:left w:val="none" w:sz="0" w:space="0" w:color="auto"/>
                                                <w:bottom w:val="none" w:sz="0" w:space="0" w:color="auto"/>
                                                <w:right w:val="none" w:sz="0" w:space="0" w:color="auto"/>
                                              </w:divBdr>
                                              <w:divsChild>
                                                <w:div w:id="21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6537</Words>
  <Characters>37263</Characters>
  <Application>Microsoft Office Word</Application>
  <DocSecurity>0</DocSecurity>
  <Lines>310</Lines>
  <Paragraphs>87</Paragraphs>
  <ScaleCrop>false</ScaleCrop>
  <Company/>
  <LinksUpToDate>false</LinksUpToDate>
  <CharactersWithSpaces>43713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2018-06-12T12:04:00Z</dcterms:created>
  <dcterms:modified xsi:type="dcterms:W3CDTF">2018-06-12T12:04:00Z</dcterms:modified>
</cp:coreProperties>
</file>