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3A11" w14:textId="4695A59A" w:rsidR="00BF4365" w:rsidRDefault="00D5411B" w:rsidP="00BF4365">
      <w:pPr>
        <w:jc w:val="center"/>
        <w:rPr>
          <w:rFonts w:ascii="Book Antiqua" w:hAnsi="Book Antiqua" w:cs="Arial"/>
          <w:caps/>
          <w:color w:val="000000"/>
          <w:sz w:val="16"/>
          <w:szCs w:val="16"/>
        </w:rPr>
      </w:pPr>
      <w:r w:rsidRPr="009E5F59">
        <w:rPr>
          <w:noProof/>
          <w:sz w:val="16"/>
          <w:szCs w:val="16"/>
        </w:rPr>
        <w:drawing>
          <wp:inline distT="0" distB="0" distL="0" distR="0" wp14:anchorId="44B9FCF1" wp14:editId="2E29900E">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75FED4BE" w14:textId="77777777" w:rsidR="009E5F59" w:rsidRPr="009E5F59" w:rsidRDefault="009E5F59" w:rsidP="00BF4365">
      <w:pPr>
        <w:jc w:val="center"/>
        <w:rPr>
          <w:rFonts w:ascii="Book Antiqua" w:hAnsi="Book Antiqua" w:cs="Arial"/>
          <w:caps/>
          <w:color w:val="000000"/>
          <w:sz w:val="16"/>
          <w:szCs w:val="16"/>
        </w:rPr>
      </w:pPr>
    </w:p>
    <w:p w14:paraId="372D6A3B" w14:textId="77777777"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14:paraId="64511AEB" w14:textId="77777777" w:rsidR="007B0824" w:rsidRPr="00AE22BD" w:rsidRDefault="00BF4365" w:rsidP="00780F86">
      <w:pPr>
        <w:tabs>
          <w:tab w:val="right" w:pos="9720"/>
        </w:tabs>
        <w:ind w:right="-82"/>
        <w:rPr>
          <w:rFonts w:ascii="Book Antiqua" w:hAnsi="Book Antiqua" w:cs="Arial"/>
          <w:color w:val="000000"/>
        </w:rPr>
      </w:pPr>
      <w:r w:rsidRPr="00AE22BD">
        <w:rPr>
          <w:rFonts w:ascii="Book Antiqua" w:hAnsi="Book Antiqua" w:cs="Arial"/>
          <w:b/>
          <w:color w:val="000000"/>
        </w:rPr>
        <w:t>(Immigration and Asylum Chamber)</w:t>
      </w:r>
      <w:r w:rsidR="00DB70AE" w:rsidRPr="00AE22BD">
        <w:rPr>
          <w:rFonts w:ascii="Book Antiqua" w:hAnsi="Book Antiqua" w:cs="Arial"/>
          <w:b/>
          <w:color w:val="000000"/>
        </w:rPr>
        <w:tab/>
      </w:r>
      <w:r w:rsidR="00B3524D" w:rsidRPr="00AE22BD">
        <w:rPr>
          <w:rFonts w:ascii="Book Antiqua" w:hAnsi="Book Antiqua" w:cs="Arial"/>
          <w:color w:val="000000"/>
        </w:rPr>
        <w:t>Appeal Number</w:t>
      </w:r>
      <w:r w:rsidR="00D53769" w:rsidRPr="00AE22BD">
        <w:rPr>
          <w:rFonts w:ascii="Book Antiqua" w:hAnsi="Book Antiqua" w:cs="Arial"/>
          <w:color w:val="000000"/>
        </w:rPr>
        <w:t>:</w:t>
      </w:r>
      <w:r w:rsidR="00B3524D" w:rsidRPr="00AE22BD">
        <w:rPr>
          <w:rFonts w:ascii="Book Antiqua" w:hAnsi="Book Antiqua" w:cs="Arial"/>
          <w:color w:val="000000"/>
        </w:rPr>
        <w:t xml:space="preserve"> </w:t>
      </w:r>
      <w:r w:rsidR="00D5411B" w:rsidRPr="00D5411B">
        <w:rPr>
          <w:rFonts w:ascii="Book Antiqua" w:hAnsi="Book Antiqua" w:cs="Arial"/>
          <w:caps/>
          <w:color w:val="000000"/>
        </w:rPr>
        <w:t>RP/00067/2016</w:t>
      </w:r>
    </w:p>
    <w:p w14:paraId="1682A023" w14:textId="77777777" w:rsidR="00C345E1" w:rsidRPr="00AE22BD" w:rsidRDefault="00C345E1" w:rsidP="00473D56">
      <w:pPr>
        <w:rPr>
          <w:rFonts w:ascii="Book Antiqua" w:hAnsi="Book Antiqua" w:cs="Arial"/>
          <w:color w:val="000000"/>
        </w:rPr>
      </w:pPr>
    </w:p>
    <w:p w14:paraId="5EC907DC" w14:textId="77777777" w:rsidR="009E5F59" w:rsidRDefault="009E5F59" w:rsidP="00C345E1">
      <w:pPr>
        <w:jc w:val="center"/>
        <w:rPr>
          <w:rFonts w:ascii="Book Antiqua" w:hAnsi="Book Antiqua" w:cs="Arial"/>
          <w:b/>
          <w:color w:val="000000"/>
          <w:u w:val="single"/>
        </w:rPr>
      </w:pPr>
    </w:p>
    <w:p w14:paraId="2C460E5F" w14:textId="75692BFA"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14:paraId="16A21A12" w14:textId="77777777" w:rsidR="00C345E1" w:rsidRPr="00AE22BD" w:rsidRDefault="00C345E1" w:rsidP="00C345E1">
      <w:pPr>
        <w:jc w:val="center"/>
        <w:rPr>
          <w:rFonts w:ascii="Book Antiqua" w:hAnsi="Book Antiqua" w:cs="Arial"/>
          <w:b/>
          <w:u w:val="single"/>
        </w:rPr>
      </w:pPr>
    </w:p>
    <w:p w14:paraId="63CEE9EC" w14:textId="77777777" w:rsidR="00C345E1" w:rsidRPr="00AE22BD"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E22BD" w14:paraId="31857424" w14:textId="77777777" w:rsidTr="007C61CF">
        <w:tc>
          <w:tcPr>
            <w:tcW w:w="6048" w:type="dxa"/>
          </w:tcPr>
          <w:p w14:paraId="13F0E438" w14:textId="77777777" w:rsidR="00D22636" w:rsidRPr="00AE22BD" w:rsidRDefault="00D22636" w:rsidP="004A1848">
            <w:pPr>
              <w:jc w:val="both"/>
              <w:rPr>
                <w:rFonts w:ascii="Book Antiqua" w:hAnsi="Book Antiqua" w:cs="Arial"/>
                <w:b/>
              </w:rPr>
            </w:pPr>
            <w:r w:rsidRPr="00AE22BD">
              <w:rPr>
                <w:rFonts w:ascii="Book Antiqua" w:hAnsi="Book Antiqua" w:cs="Arial"/>
                <w:b/>
              </w:rPr>
              <w:t xml:space="preserve">Heard at </w:t>
            </w:r>
            <w:r w:rsidR="00D5411B">
              <w:rPr>
                <w:rFonts w:ascii="Book Antiqua" w:hAnsi="Book Antiqua" w:cs="Arial"/>
                <w:b/>
              </w:rPr>
              <w:t>Field House</w:t>
            </w:r>
          </w:p>
        </w:tc>
        <w:tc>
          <w:tcPr>
            <w:tcW w:w="3960" w:type="dxa"/>
          </w:tcPr>
          <w:p w14:paraId="1B6FF7E3" w14:textId="77777777" w:rsidR="00D22636" w:rsidRPr="00AE22BD" w:rsidRDefault="007C61CF" w:rsidP="00093D4D">
            <w:pPr>
              <w:jc w:val="both"/>
              <w:rPr>
                <w:rFonts w:ascii="Book Antiqua" w:hAnsi="Book Antiqua" w:cs="Arial"/>
                <w:b/>
                <w:color w:val="000000"/>
              </w:rPr>
            </w:pPr>
            <w:r>
              <w:rPr>
                <w:rFonts w:ascii="Book Antiqua" w:hAnsi="Book Antiqua" w:cs="Arial"/>
                <w:b/>
                <w:color w:val="000000"/>
              </w:rPr>
              <w:t>Decision &amp; Reasons</w:t>
            </w:r>
            <w:r w:rsidR="00283659" w:rsidRPr="00AE22BD">
              <w:rPr>
                <w:rFonts w:ascii="Book Antiqua" w:hAnsi="Book Antiqua" w:cs="Arial"/>
                <w:b/>
                <w:color w:val="000000"/>
              </w:rPr>
              <w:t xml:space="preserve"> Promulgated</w:t>
            </w:r>
          </w:p>
        </w:tc>
      </w:tr>
      <w:tr w:rsidR="00D22636" w:rsidRPr="00AE22BD" w14:paraId="4CFCC58D" w14:textId="77777777" w:rsidTr="007C61CF">
        <w:tc>
          <w:tcPr>
            <w:tcW w:w="6048" w:type="dxa"/>
          </w:tcPr>
          <w:p w14:paraId="67C55727" w14:textId="77777777" w:rsidR="00D22636" w:rsidRPr="00AE22BD" w:rsidRDefault="00D22636" w:rsidP="004A1848">
            <w:pPr>
              <w:jc w:val="both"/>
              <w:rPr>
                <w:rFonts w:ascii="Book Antiqua" w:hAnsi="Book Antiqua" w:cs="Arial"/>
                <w:b/>
              </w:rPr>
            </w:pPr>
            <w:r w:rsidRPr="00AE22BD">
              <w:rPr>
                <w:rFonts w:ascii="Book Antiqua" w:hAnsi="Book Antiqua" w:cs="Arial"/>
                <w:b/>
              </w:rPr>
              <w:t xml:space="preserve">On </w:t>
            </w:r>
            <w:r w:rsidR="00D5411B">
              <w:rPr>
                <w:rFonts w:ascii="Book Antiqua" w:hAnsi="Book Antiqua" w:cs="Arial"/>
                <w:b/>
              </w:rPr>
              <w:t>15 August 2018</w:t>
            </w:r>
          </w:p>
        </w:tc>
        <w:tc>
          <w:tcPr>
            <w:tcW w:w="3960" w:type="dxa"/>
          </w:tcPr>
          <w:p w14:paraId="18AD575A" w14:textId="77777777" w:rsidR="00D22636" w:rsidRPr="00AE22BD" w:rsidRDefault="00473D56" w:rsidP="004A1848">
            <w:pPr>
              <w:jc w:val="both"/>
              <w:rPr>
                <w:rFonts w:ascii="Book Antiqua" w:hAnsi="Book Antiqua" w:cs="Arial"/>
                <w:b/>
              </w:rPr>
            </w:pPr>
            <w:r>
              <w:rPr>
                <w:rFonts w:ascii="Book Antiqua" w:hAnsi="Book Antiqua" w:cs="Arial"/>
                <w:b/>
              </w:rPr>
              <w:t>On 03 September 2018</w:t>
            </w:r>
          </w:p>
        </w:tc>
      </w:tr>
      <w:tr w:rsidR="00D22636" w:rsidRPr="00AE22BD" w14:paraId="63C01440" w14:textId="77777777" w:rsidTr="007C61CF">
        <w:tc>
          <w:tcPr>
            <w:tcW w:w="6048" w:type="dxa"/>
          </w:tcPr>
          <w:p w14:paraId="1833925C" w14:textId="77777777" w:rsidR="00D22636" w:rsidRPr="00AE22BD" w:rsidRDefault="00D22636" w:rsidP="004A1848">
            <w:pPr>
              <w:jc w:val="both"/>
              <w:rPr>
                <w:rFonts w:ascii="Book Antiqua" w:hAnsi="Book Antiqua" w:cs="Arial"/>
                <w:b/>
              </w:rPr>
            </w:pPr>
          </w:p>
        </w:tc>
        <w:tc>
          <w:tcPr>
            <w:tcW w:w="3960" w:type="dxa"/>
          </w:tcPr>
          <w:p w14:paraId="0D8288A0" w14:textId="77777777" w:rsidR="00D22636" w:rsidRPr="00AE22BD" w:rsidRDefault="00D22636" w:rsidP="004A1848">
            <w:pPr>
              <w:jc w:val="both"/>
              <w:rPr>
                <w:rFonts w:ascii="Book Antiqua" w:hAnsi="Book Antiqua" w:cs="Arial"/>
                <w:b/>
              </w:rPr>
            </w:pPr>
          </w:p>
        </w:tc>
      </w:tr>
    </w:tbl>
    <w:p w14:paraId="5AD5C8F2" w14:textId="77777777" w:rsidR="00A15234" w:rsidRPr="00AE22BD" w:rsidRDefault="00A15234" w:rsidP="00473D56">
      <w:pPr>
        <w:rPr>
          <w:rFonts w:ascii="Book Antiqua" w:hAnsi="Book Antiqua" w:cs="Arial"/>
        </w:rPr>
      </w:pPr>
    </w:p>
    <w:p w14:paraId="568AC2C1" w14:textId="77777777"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14:paraId="245E53F6" w14:textId="77777777" w:rsidR="00A15234" w:rsidRPr="00AE22BD" w:rsidRDefault="00A15234" w:rsidP="00A15234">
      <w:pPr>
        <w:jc w:val="center"/>
        <w:rPr>
          <w:rFonts w:ascii="Book Antiqua" w:hAnsi="Book Antiqua" w:cs="Arial"/>
          <w:b/>
        </w:rPr>
      </w:pPr>
    </w:p>
    <w:p w14:paraId="51C7C2C8" w14:textId="77777777" w:rsidR="00D5411B" w:rsidRDefault="00D5411B" w:rsidP="00A15234">
      <w:pPr>
        <w:jc w:val="center"/>
        <w:rPr>
          <w:rFonts w:ascii="Book Antiqua" w:hAnsi="Book Antiqua" w:cs="Arial"/>
          <w:b/>
          <w:color w:val="000000"/>
        </w:rPr>
      </w:pPr>
      <w:r>
        <w:rPr>
          <w:rFonts w:ascii="Book Antiqua" w:hAnsi="Book Antiqua" w:cs="Arial"/>
          <w:b/>
          <w:color w:val="000000"/>
        </w:rPr>
        <w:t>LORD BECKETT SIT</w:t>
      </w:r>
      <w:r w:rsidR="001163DF">
        <w:rPr>
          <w:rFonts w:ascii="Book Antiqua" w:hAnsi="Book Antiqua" w:cs="Arial"/>
          <w:b/>
          <w:color w:val="000000"/>
        </w:rPr>
        <w:t>TING AS AN UPPER TRIBUNAL JUDGE</w:t>
      </w:r>
    </w:p>
    <w:p w14:paraId="77885842" w14:textId="77777777" w:rsidR="00D20757" w:rsidRPr="00AE22BD" w:rsidRDefault="008B6348" w:rsidP="00A15234">
      <w:pPr>
        <w:jc w:val="center"/>
        <w:rPr>
          <w:rFonts w:ascii="Book Antiqua" w:hAnsi="Book Antiqua" w:cs="Arial"/>
          <w:b/>
          <w:color w:val="000000"/>
        </w:rPr>
      </w:pPr>
      <w:r>
        <w:rPr>
          <w:rFonts w:ascii="Book Antiqua" w:hAnsi="Book Antiqua" w:cs="Arial"/>
          <w:b/>
          <w:color w:val="000000"/>
        </w:rPr>
        <w:t>UPPER TRIBUNAL</w:t>
      </w:r>
      <w:r w:rsidR="001B2F75" w:rsidRPr="00AE22BD">
        <w:rPr>
          <w:rFonts w:ascii="Book Antiqua" w:hAnsi="Book Antiqua" w:cs="Arial"/>
          <w:b/>
          <w:color w:val="000000"/>
        </w:rPr>
        <w:t xml:space="preserve"> JUDGE </w:t>
      </w:r>
      <w:r w:rsidR="00AA7F44">
        <w:rPr>
          <w:rFonts w:ascii="Book Antiqua" w:hAnsi="Book Antiqua" w:cs="Arial"/>
          <w:b/>
          <w:color w:val="000000"/>
        </w:rPr>
        <w:t>PITT</w:t>
      </w:r>
    </w:p>
    <w:p w14:paraId="44AEC181" w14:textId="30D3BA3A" w:rsidR="00D20757" w:rsidRDefault="00D20757" w:rsidP="00A15234">
      <w:pPr>
        <w:jc w:val="center"/>
        <w:rPr>
          <w:rFonts w:ascii="Book Antiqua" w:hAnsi="Book Antiqua" w:cs="Arial"/>
          <w:b/>
        </w:rPr>
      </w:pPr>
    </w:p>
    <w:p w14:paraId="459BFFD6" w14:textId="77777777" w:rsidR="009E5F59" w:rsidRPr="00AE22BD" w:rsidRDefault="009E5F59" w:rsidP="00A15234">
      <w:pPr>
        <w:jc w:val="center"/>
        <w:rPr>
          <w:rFonts w:ascii="Book Antiqua" w:hAnsi="Book Antiqua" w:cs="Arial"/>
          <w:b/>
        </w:rPr>
      </w:pPr>
    </w:p>
    <w:p w14:paraId="7F42507F" w14:textId="77777777" w:rsidR="00A845DC" w:rsidRPr="00AE22BD" w:rsidRDefault="00A845DC" w:rsidP="00A15234">
      <w:pPr>
        <w:jc w:val="center"/>
        <w:rPr>
          <w:rFonts w:ascii="Book Antiqua" w:hAnsi="Book Antiqua" w:cs="Arial"/>
          <w:b/>
        </w:rPr>
      </w:pPr>
      <w:r w:rsidRPr="00AE22BD">
        <w:rPr>
          <w:rFonts w:ascii="Book Antiqua" w:hAnsi="Book Antiqua" w:cs="Arial"/>
          <w:b/>
        </w:rPr>
        <w:t>Between</w:t>
      </w:r>
    </w:p>
    <w:p w14:paraId="2E1701C9" w14:textId="77777777" w:rsidR="00A845DC" w:rsidRPr="00AE22BD" w:rsidRDefault="00A845DC" w:rsidP="00A15234">
      <w:pPr>
        <w:jc w:val="center"/>
        <w:rPr>
          <w:rFonts w:ascii="Book Antiqua" w:hAnsi="Book Antiqua" w:cs="Arial"/>
          <w:b/>
        </w:rPr>
      </w:pPr>
    </w:p>
    <w:p w14:paraId="43AC5A5B" w14:textId="77777777" w:rsidR="00D5411B" w:rsidRDefault="00D5411B" w:rsidP="00A15234">
      <w:pPr>
        <w:jc w:val="center"/>
        <w:rPr>
          <w:rFonts w:ascii="Book Antiqua" w:hAnsi="Book Antiqua" w:cs="Arial"/>
          <w:b/>
          <w:caps/>
        </w:rPr>
      </w:pPr>
      <w:r w:rsidRPr="00AE22BD">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AE22BD">
        <w:rPr>
          <w:rFonts w:ascii="Book Antiqua" w:hAnsi="Book Antiqua" w:cs="Arial"/>
          <w:b/>
        </w:rPr>
        <w:instrText xml:space="preserve"> FORMTEXT </w:instrText>
      </w:r>
      <w:r w:rsidRPr="00AE22BD">
        <w:rPr>
          <w:rFonts w:ascii="Book Antiqua" w:hAnsi="Book Antiqua" w:cs="Arial"/>
          <w:b/>
        </w:rPr>
      </w:r>
      <w:r w:rsidRPr="00AE22BD">
        <w:rPr>
          <w:rFonts w:ascii="Book Antiqua" w:hAnsi="Book Antiqua" w:cs="Arial"/>
          <w:b/>
        </w:rPr>
        <w:fldChar w:fldCharType="separate"/>
      </w:r>
      <w:r w:rsidRPr="00AE22BD">
        <w:rPr>
          <w:rFonts w:ascii="Book Antiqua" w:hAnsi="Book Antiqua" w:cs="Arial"/>
          <w:b/>
          <w:noProof/>
        </w:rPr>
        <w:t>THE SECRETARY OF STATE FOR THE HOME DEPARTMENT</w:t>
      </w:r>
      <w:r w:rsidRPr="00AE22BD">
        <w:rPr>
          <w:rFonts w:ascii="Book Antiqua" w:hAnsi="Book Antiqua" w:cs="Arial"/>
          <w:b/>
        </w:rPr>
        <w:fldChar w:fldCharType="end"/>
      </w:r>
    </w:p>
    <w:p w14:paraId="461322D6" w14:textId="77777777"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14:paraId="25D59511" w14:textId="77777777" w:rsidR="00704B61" w:rsidRPr="00AE22BD" w:rsidRDefault="00DD5071" w:rsidP="00704B61">
      <w:pPr>
        <w:jc w:val="center"/>
        <w:rPr>
          <w:rFonts w:ascii="Book Antiqua" w:hAnsi="Book Antiqua" w:cs="Arial"/>
          <w:b/>
        </w:rPr>
      </w:pPr>
      <w:r w:rsidRPr="00AE22BD">
        <w:rPr>
          <w:rFonts w:ascii="Book Antiqua" w:hAnsi="Book Antiqua" w:cs="Arial"/>
          <w:b/>
        </w:rPr>
        <w:t>and</w:t>
      </w:r>
    </w:p>
    <w:p w14:paraId="0DC46573" w14:textId="77777777" w:rsidR="00DD5071" w:rsidRPr="00AE22BD" w:rsidRDefault="00DD5071" w:rsidP="00704B61">
      <w:pPr>
        <w:jc w:val="center"/>
        <w:rPr>
          <w:rFonts w:ascii="Book Antiqua" w:hAnsi="Book Antiqua" w:cs="Arial"/>
          <w:b/>
        </w:rPr>
      </w:pPr>
    </w:p>
    <w:p w14:paraId="4274B010" w14:textId="77777777" w:rsidR="00D5411B" w:rsidRDefault="00D5411B" w:rsidP="00D5411B">
      <w:pPr>
        <w:jc w:val="center"/>
        <w:rPr>
          <w:rFonts w:ascii="Book Antiqua" w:hAnsi="Book Antiqua" w:cs="Arial"/>
          <w:b/>
          <w:caps/>
        </w:rPr>
      </w:pPr>
      <w:r w:rsidRPr="00D5411B">
        <w:rPr>
          <w:rFonts w:ascii="Book Antiqua" w:hAnsi="Book Antiqua" w:cs="Arial"/>
          <w:b/>
          <w:caps/>
        </w:rPr>
        <w:t>FY</w:t>
      </w:r>
      <w:r>
        <w:rPr>
          <w:rFonts w:ascii="Book Antiqua" w:hAnsi="Book Antiqua" w:cs="Arial"/>
          <w:b/>
          <w:caps/>
        </w:rPr>
        <w:t>S</w:t>
      </w:r>
    </w:p>
    <w:p w14:paraId="11933400" w14:textId="77777777" w:rsidR="00D5411B" w:rsidRPr="009E5F59" w:rsidRDefault="00D5411B" w:rsidP="00D5411B">
      <w:pPr>
        <w:jc w:val="center"/>
        <w:rPr>
          <w:rFonts w:ascii="Book Antiqua" w:hAnsi="Book Antiqua" w:cs="Arial"/>
          <w:b/>
          <w:sz w:val="22"/>
        </w:rPr>
      </w:pPr>
      <w:r w:rsidRPr="009E5F59">
        <w:rPr>
          <w:rFonts w:ascii="Book Antiqua" w:hAnsi="Book Antiqua" w:cs="Arial"/>
          <w:b/>
          <w:caps/>
          <w:sz w:val="22"/>
        </w:rPr>
        <w:t>(ANONYMITY DIRECTION made)</w:t>
      </w:r>
    </w:p>
    <w:p w14:paraId="573EA3D6" w14:textId="77777777"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14:paraId="19203FA8" w14:textId="77777777" w:rsidR="00DD5071" w:rsidRPr="00AE22BD" w:rsidRDefault="00DD5071" w:rsidP="00DD5071">
      <w:pPr>
        <w:rPr>
          <w:rFonts w:ascii="Book Antiqua" w:hAnsi="Book Antiqua" w:cs="Arial"/>
          <w:u w:val="single"/>
        </w:rPr>
      </w:pPr>
    </w:p>
    <w:p w14:paraId="0536CDA0" w14:textId="77777777" w:rsidR="00DD5071" w:rsidRPr="00AE22BD" w:rsidRDefault="00DD5071" w:rsidP="00DD5071">
      <w:pPr>
        <w:rPr>
          <w:rFonts w:ascii="Book Antiqua" w:hAnsi="Book Antiqua" w:cs="Arial"/>
          <w:u w:val="single"/>
        </w:rPr>
      </w:pPr>
    </w:p>
    <w:p w14:paraId="227B3271" w14:textId="77777777"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14:paraId="3260E884" w14:textId="77777777"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D5411B">
        <w:rPr>
          <w:rFonts w:ascii="Book Antiqua" w:hAnsi="Book Antiqua" w:cs="Arial"/>
        </w:rPr>
        <w:t>Mr C Avery, Senior</w:t>
      </w:r>
      <w:r w:rsidR="006754EF">
        <w:rPr>
          <w:rFonts w:ascii="Book Antiqua" w:hAnsi="Book Antiqua" w:cs="Arial"/>
        </w:rPr>
        <w:t xml:space="preserve"> Home Office Presenting Officer</w:t>
      </w:r>
    </w:p>
    <w:p w14:paraId="4AC4CCB8" w14:textId="77777777" w:rsidR="00DE7DB7" w:rsidRDefault="00DE7DB7" w:rsidP="00DE7DB7">
      <w:pPr>
        <w:tabs>
          <w:tab w:val="left" w:pos="2520"/>
        </w:tabs>
        <w:rPr>
          <w:rFonts w:ascii="Book Antiqua" w:hAnsi="Book Antiqua" w:cs="Arial"/>
        </w:rPr>
      </w:pPr>
      <w:bookmarkStart w:id="0" w:name="_GoBack"/>
      <w:r w:rsidRPr="00AE22BD">
        <w:rPr>
          <w:rFonts w:ascii="Book Antiqua" w:hAnsi="Book Antiqua" w:cs="Arial"/>
        </w:rPr>
        <w:t>For the Respondent:</w:t>
      </w:r>
      <w:r w:rsidRPr="00AE22BD">
        <w:rPr>
          <w:rFonts w:ascii="Book Antiqua" w:hAnsi="Book Antiqua" w:cs="Arial"/>
        </w:rPr>
        <w:tab/>
      </w:r>
      <w:r w:rsidR="00D5411B">
        <w:rPr>
          <w:rFonts w:ascii="Book Antiqua" w:hAnsi="Book Antiqua" w:cs="Arial"/>
        </w:rPr>
        <w:t>Ms C Robinson, Counsel, instructed by Wilson Solicitors LLP</w:t>
      </w:r>
    </w:p>
    <w:p w14:paraId="7AEE9498" w14:textId="78A5B778" w:rsidR="00D5411B" w:rsidRDefault="00D5411B" w:rsidP="00DE7DB7">
      <w:pPr>
        <w:tabs>
          <w:tab w:val="left" w:pos="2520"/>
        </w:tabs>
        <w:rPr>
          <w:rFonts w:ascii="Book Antiqua" w:hAnsi="Book Antiqua" w:cs="Arial"/>
        </w:rPr>
      </w:pPr>
    </w:p>
    <w:p w14:paraId="087C70A8" w14:textId="77777777" w:rsidR="009E5F59" w:rsidRDefault="009E5F59" w:rsidP="00DE7DB7">
      <w:pPr>
        <w:tabs>
          <w:tab w:val="left" w:pos="2520"/>
        </w:tabs>
        <w:rPr>
          <w:rFonts w:ascii="Book Antiqua" w:hAnsi="Book Antiqua" w:cs="Arial"/>
        </w:rPr>
      </w:pPr>
    </w:p>
    <w:bookmarkEnd w:id="0"/>
    <w:p w14:paraId="2DC77EAF" w14:textId="77777777" w:rsidR="00D5411B" w:rsidRPr="007C61CF" w:rsidRDefault="00D5411B" w:rsidP="00D5411B">
      <w:pPr>
        <w:jc w:val="both"/>
        <w:rPr>
          <w:rFonts w:ascii="Book Antiqua" w:hAnsi="Book Antiqua" w:cs="Arial"/>
        </w:rPr>
      </w:pPr>
      <w:r w:rsidRPr="007C61CF">
        <w:rPr>
          <w:rFonts w:ascii="Book Antiqua" w:hAnsi="Book Antiqua" w:cs="Arial"/>
          <w:b/>
          <w:u w:val="single"/>
        </w:rPr>
        <w:t>Direction Regarding Anonymity – Rule 14 of the Tribunal Procedure (Upper Tribunal) Rules 2008</w:t>
      </w:r>
    </w:p>
    <w:p w14:paraId="5953D5F7" w14:textId="77777777" w:rsidR="00D5411B" w:rsidRDefault="00D5411B" w:rsidP="00D5411B">
      <w:pPr>
        <w:spacing w:before="240"/>
        <w:jc w:val="both"/>
        <w:rPr>
          <w:rFonts w:ascii="Book Antiqua" w:hAnsi="Book Antiqua" w:cs="Arial"/>
        </w:rPr>
      </w:pPr>
      <w:r w:rsidRPr="007C61CF">
        <w:rPr>
          <w:rFonts w:ascii="Book Antiqua" w:hAnsi="Book Antiqua" w:cs="Arial"/>
        </w:rPr>
        <w:t xml:space="preserve">Unless and </w:t>
      </w:r>
      <w:r w:rsidRPr="007C61CF">
        <w:rPr>
          <w:rFonts w:ascii="Book Antiqua" w:hAnsi="Book Antiqua"/>
        </w:rPr>
        <w:t xml:space="preserve">until a Tribunal or court directs otherwise, </w:t>
      </w:r>
      <w:r w:rsidR="00D1235E">
        <w:rPr>
          <w:rFonts w:ascii="Book Antiqua" w:hAnsi="Book Antiqua"/>
        </w:rPr>
        <w:t xml:space="preserve">FYS </w:t>
      </w:r>
      <w:r w:rsidRPr="007C61CF">
        <w:rPr>
          <w:rFonts w:ascii="Book Antiqua" w:hAnsi="Book Antiqua"/>
        </w:rPr>
        <w:t xml:space="preserve">is granted anonymity.  No report of these proceedings shall directly or indirectly identify him or any member of their family.  This direction applies both to the </w:t>
      </w:r>
      <w:r>
        <w:rPr>
          <w:rFonts w:ascii="Book Antiqua" w:hAnsi="Book Antiqua"/>
        </w:rPr>
        <w:t>a</w:t>
      </w:r>
      <w:r w:rsidRPr="007C61CF">
        <w:rPr>
          <w:rFonts w:ascii="Book Antiqua" w:hAnsi="Book Antiqua"/>
        </w:rPr>
        <w:t xml:space="preserve">ppellant and to the </w:t>
      </w:r>
      <w:r>
        <w:rPr>
          <w:rFonts w:ascii="Book Antiqua" w:hAnsi="Book Antiqua"/>
        </w:rPr>
        <w:t>r</w:t>
      </w:r>
      <w:r w:rsidRPr="007C61CF">
        <w:rPr>
          <w:rFonts w:ascii="Book Antiqua" w:hAnsi="Book Antiqua"/>
        </w:rPr>
        <w:t>espondent.  Failure to comply with this direction could lead to contempt of court proceedings</w:t>
      </w:r>
      <w:r w:rsidR="006754EF">
        <w:rPr>
          <w:rFonts w:ascii="Book Antiqua" w:hAnsi="Book Antiqua"/>
        </w:rPr>
        <w:t xml:space="preserve">.  </w:t>
      </w:r>
    </w:p>
    <w:p w14:paraId="00444F22" w14:textId="4EB82AB0" w:rsidR="00D5411B" w:rsidRDefault="00D5411B" w:rsidP="00DE7DB7">
      <w:pPr>
        <w:tabs>
          <w:tab w:val="left" w:pos="2520"/>
        </w:tabs>
        <w:rPr>
          <w:rFonts w:ascii="Book Antiqua" w:hAnsi="Book Antiqua" w:cs="Arial"/>
        </w:rPr>
      </w:pPr>
    </w:p>
    <w:p w14:paraId="0A4A7C01" w14:textId="77777777" w:rsidR="009E5F59" w:rsidRPr="00AE22BD" w:rsidRDefault="009E5F59" w:rsidP="00DE7DB7">
      <w:pPr>
        <w:tabs>
          <w:tab w:val="left" w:pos="2520"/>
        </w:tabs>
        <w:rPr>
          <w:rFonts w:ascii="Book Antiqua" w:hAnsi="Book Antiqua" w:cs="Arial"/>
        </w:rPr>
      </w:pPr>
    </w:p>
    <w:p w14:paraId="579C7C21" w14:textId="77777777" w:rsidR="00DE7DB7" w:rsidRPr="00AE22BD" w:rsidRDefault="007C61C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 REASONS</w:t>
      </w:r>
    </w:p>
    <w:p w14:paraId="2952E159" w14:textId="77777777" w:rsidR="00402B9E" w:rsidRDefault="00402B9E" w:rsidP="00402B9E">
      <w:pPr>
        <w:tabs>
          <w:tab w:val="left" w:pos="2520"/>
        </w:tabs>
        <w:jc w:val="both"/>
        <w:rPr>
          <w:rFonts w:ascii="Book Antiqua" w:hAnsi="Book Antiqua" w:cs="Arial"/>
        </w:rPr>
      </w:pPr>
    </w:p>
    <w:p w14:paraId="6B9BCFA6" w14:textId="77777777" w:rsidR="00D5411B" w:rsidRDefault="00610EE6" w:rsidP="00AA7F44">
      <w:pPr>
        <w:numPr>
          <w:ilvl w:val="0"/>
          <w:numId w:val="1"/>
        </w:numPr>
        <w:tabs>
          <w:tab w:val="clear" w:pos="567"/>
        </w:tabs>
        <w:spacing w:before="240"/>
        <w:jc w:val="both"/>
        <w:rPr>
          <w:rFonts w:ascii="Book Antiqua" w:hAnsi="Book Antiqua" w:cs="Arial"/>
        </w:rPr>
      </w:pPr>
      <w:r>
        <w:rPr>
          <w:rFonts w:ascii="Book Antiqua" w:hAnsi="Book Antiqua" w:cs="Arial"/>
        </w:rPr>
        <w:t>This is an appeal against the decision issued on 22 February 2018 of First-tier Tribunal Judge Shamas</w:t>
      </w:r>
      <w:r w:rsidR="00181607">
        <w:rPr>
          <w:rFonts w:ascii="Book Antiqua" w:hAnsi="Book Antiqua" w:cs="Arial"/>
        </w:rPr>
        <w:t xml:space="preserve">h which allowed the </w:t>
      </w:r>
      <w:r>
        <w:rPr>
          <w:rFonts w:ascii="Book Antiqua" w:hAnsi="Book Antiqua" w:cs="Arial"/>
        </w:rPr>
        <w:t xml:space="preserve">appeal </w:t>
      </w:r>
      <w:r w:rsidR="00181607">
        <w:rPr>
          <w:rFonts w:ascii="Book Antiqua" w:hAnsi="Book Antiqua" w:cs="Arial"/>
        </w:rPr>
        <w:t xml:space="preserve">of FYS </w:t>
      </w:r>
      <w:r>
        <w:rPr>
          <w:rFonts w:ascii="Book Antiqua" w:hAnsi="Book Antiqua" w:cs="Arial"/>
        </w:rPr>
        <w:t xml:space="preserve">against deportation on Article 3 and Article 8 ECHR grounds.  </w:t>
      </w:r>
    </w:p>
    <w:p w14:paraId="5379F59C" w14:textId="77777777" w:rsidR="00610EE6" w:rsidRDefault="00610EE6"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For the purposes of this decision we refer to FYS as the appellant and to the Secretary of State for the Home Department as the respondent, reflecting their positions before the First-tier Tribunal.  </w:t>
      </w:r>
    </w:p>
    <w:p w14:paraId="08D04781" w14:textId="77777777" w:rsidR="00610EE6" w:rsidRDefault="00610EE6"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citizen of Somalia born in 1993.  He came to the UK in 2001 at the age of 8 together with an aunt and his younger brother.  It is undisputed that the appellant and his family are from the minority </w:t>
      </w:r>
      <w:proofErr w:type="spellStart"/>
      <w:r>
        <w:rPr>
          <w:rFonts w:ascii="Book Antiqua" w:hAnsi="Book Antiqua" w:cs="Arial"/>
        </w:rPr>
        <w:t>Shanshi</w:t>
      </w:r>
      <w:proofErr w:type="spellEnd"/>
      <w:r>
        <w:rPr>
          <w:rFonts w:ascii="Book Antiqua" w:hAnsi="Book Antiqua" w:cs="Arial"/>
        </w:rPr>
        <w:t xml:space="preserve"> clan, a sub-clan of the </w:t>
      </w:r>
      <w:proofErr w:type="spellStart"/>
      <w:r>
        <w:rPr>
          <w:rFonts w:ascii="Book Antiqua" w:hAnsi="Book Antiqua" w:cs="Arial"/>
        </w:rPr>
        <w:t>Benadiri</w:t>
      </w:r>
      <w:proofErr w:type="spellEnd"/>
      <w:r>
        <w:rPr>
          <w:rFonts w:ascii="Book Antiqua" w:hAnsi="Book Antiqua" w:cs="Arial"/>
        </w:rPr>
        <w:t xml:space="preserve"> clan.  </w:t>
      </w:r>
    </w:p>
    <w:p w14:paraId="3953CD92" w14:textId="77777777" w:rsidR="00610EE6" w:rsidRDefault="00610EE6" w:rsidP="00AA7F44">
      <w:pPr>
        <w:numPr>
          <w:ilvl w:val="0"/>
          <w:numId w:val="1"/>
        </w:numPr>
        <w:tabs>
          <w:tab w:val="clear" w:pos="567"/>
        </w:tabs>
        <w:spacing w:before="240"/>
        <w:jc w:val="both"/>
        <w:rPr>
          <w:rFonts w:ascii="Book Antiqua" w:hAnsi="Book Antiqua" w:cs="Arial"/>
        </w:rPr>
      </w:pPr>
      <w:r>
        <w:rPr>
          <w:rFonts w:ascii="Book Antiqua" w:hAnsi="Book Antiqua" w:cs="Arial"/>
        </w:rPr>
        <w:t>The appellant’s history in the UK is set out in detail in the decision of the First-tier Tribunal in paragraphs 8 to 9.  We do not repeat that detail here but concur with the comment of the First-tier Tribunal that his upbringing was “shocking”, his adult relatives failing to care for him to a significant degree such that he was taken into care after being f</w:t>
      </w:r>
      <w:r w:rsidR="00332953">
        <w:rPr>
          <w:rFonts w:ascii="Book Antiqua" w:hAnsi="Book Antiqua" w:cs="Arial"/>
        </w:rPr>
        <w:t xml:space="preserve">ound shoplifting in order to feed himself. </w:t>
      </w:r>
    </w:p>
    <w:p w14:paraId="5F022C3C" w14:textId="77777777" w:rsidR="00D1235E" w:rsidRDefault="00610EE6"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has a significant history of offending.  </w:t>
      </w:r>
      <w:r w:rsidR="00332953">
        <w:rPr>
          <w:rFonts w:ascii="Book Antiqua" w:hAnsi="Book Antiqua" w:cs="Arial"/>
        </w:rPr>
        <w:t xml:space="preserve">The </w:t>
      </w:r>
      <w:r>
        <w:rPr>
          <w:rFonts w:ascii="Book Antiqua" w:hAnsi="Book Antiqua" w:cs="Arial"/>
        </w:rPr>
        <w:t>details of his criminal history are set out in the decision of the First-tier Tribunal in paragraphs 10 to 12 and</w:t>
      </w:r>
      <w:r w:rsidR="00332953">
        <w:rPr>
          <w:rFonts w:ascii="Book Antiqua" w:hAnsi="Book Antiqua" w:cs="Arial"/>
        </w:rPr>
        <w:t>, again,</w:t>
      </w:r>
      <w:r>
        <w:rPr>
          <w:rFonts w:ascii="Book Antiqua" w:hAnsi="Book Antiqua" w:cs="Arial"/>
        </w:rPr>
        <w:t xml:space="preserve"> we do not repeat them in full here.  It is sufficient to note that, prior to the index offence, </w:t>
      </w:r>
      <w:r w:rsidR="00D1235E">
        <w:rPr>
          <w:rFonts w:ascii="Book Antiqua" w:hAnsi="Book Antiqua" w:cs="Arial"/>
        </w:rPr>
        <w:t>t</w:t>
      </w:r>
      <w:r>
        <w:rPr>
          <w:rFonts w:ascii="Book Antiqua" w:hAnsi="Book Antiqua" w:cs="Arial"/>
        </w:rPr>
        <w:t xml:space="preserve">he </w:t>
      </w:r>
      <w:r w:rsidR="00D1235E">
        <w:rPr>
          <w:rFonts w:ascii="Book Antiqua" w:hAnsi="Book Antiqua" w:cs="Arial"/>
        </w:rPr>
        <w:t xml:space="preserve">appellant amassed </w:t>
      </w:r>
      <w:r>
        <w:rPr>
          <w:rFonts w:ascii="Book Antiqua" w:hAnsi="Book Antiqua" w:cs="Arial"/>
        </w:rPr>
        <w:t xml:space="preserve">28 convictions </w:t>
      </w:r>
      <w:r w:rsidR="00332953">
        <w:rPr>
          <w:rFonts w:ascii="Book Antiqua" w:hAnsi="Book Antiqua" w:cs="Arial"/>
        </w:rPr>
        <w:t xml:space="preserve">for </w:t>
      </w:r>
      <w:r>
        <w:rPr>
          <w:rFonts w:ascii="Book Antiqua" w:hAnsi="Book Antiqua" w:cs="Arial"/>
        </w:rPr>
        <w:t xml:space="preserve">51 offences including criminal damage, assault, burglaries and possession of offensive weapons and robbery.  On 29 July 2014 he was sentenced to 40 months’ imprisonment for the index offence, two counts of robbery and one count of theft.  </w:t>
      </w:r>
    </w:p>
    <w:p w14:paraId="7167DD99" w14:textId="77777777" w:rsidR="00610EE6" w:rsidRDefault="00610EE6" w:rsidP="00AA7F44">
      <w:pPr>
        <w:numPr>
          <w:ilvl w:val="0"/>
          <w:numId w:val="1"/>
        </w:numPr>
        <w:tabs>
          <w:tab w:val="clear" w:pos="567"/>
        </w:tabs>
        <w:spacing w:before="240"/>
        <w:jc w:val="both"/>
        <w:rPr>
          <w:rFonts w:ascii="Book Antiqua" w:hAnsi="Book Antiqua" w:cs="Arial"/>
        </w:rPr>
      </w:pPr>
      <w:r>
        <w:rPr>
          <w:rFonts w:ascii="Book Antiqua" w:hAnsi="Book Antiqua" w:cs="Arial"/>
        </w:rPr>
        <w:t>The respondent made</w:t>
      </w:r>
      <w:r w:rsidR="00D1235E">
        <w:rPr>
          <w:rFonts w:ascii="Book Antiqua" w:hAnsi="Book Antiqua" w:cs="Arial"/>
        </w:rPr>
        <w:t xml:space="preserve"> a deportation order against the appellant</w:t>
      </w:r>
      <w:r>
        <w:rPr>
          <w:rFonts w:ascii="Book Antiqua" w:hAnsi="Book Antiqua" w:cs="Arial"/>
        </w:rPr>
        <w:t xml:space="preserve"> on 24 May 2016 finding him to be a foreign criminal as defined in Section 32 of the UK Borders Act 2007 and that his deportation was conducive to the public good following Section 32(4) of that Act.  </w:t>
      </w:r>
    </w:p>
    <w:p w14:paraId="38AD34B0" w14:textId="77777777" w:rsidR="00D1235E" w:rsidRDefault="00CC47BA" w:rsidP="00AA7F44">
      <w:pPr>
        <w:numPr>
          <w:ilvl w:val="0"/>
          <w:numId w:val="1"/>
        </w:numPr>
        <w:tabs>
          <w:tab w:val="clear" w:pos="567"/>
        </w:tabs>
        <w:spacing w:before="240"/>
        <w:jc w:val="both"/>
        <w:rPr>
          <w:rFonts w:ascii="Book Antiqua" w:hAnsi="Book Antiqua" w:cs="Arial"/>
        </w:rPr>
      </w:pPr>
      <w:r>
        <w:rPr>
          <w:rFonts w:ascii="Book Antiqua" w:hAnsi="Book Antiqua" w:cs="Arial"/>
        </w:rPr>
        <w:t>It is not in disput</w:t>
      </w:r>
      <w:r w:rsidR="00D1235E">
        <w:rPr>
          <w:rFonts w:ascii="Book Antiqua" w:hAnsi="Book Antiqua" w:cs="Arial"/>
        </w:rPr>
        <w:t xml:space="preserve">e that the appellant cannot benefit from the </w:t>
      </w:r>
      <w:r>
        <w:rPr>
          <w:rFonts w:ascii="Book Antiqua" w:hAnsi="Book Antiqua" w:cs="Arial"/>
        </w:rPr>
        <w:t xml:space="preserve">protection </w:t>
      </w:r>
      <w:r w:rsidR="00D1235E">
        <w:rPr>
          <w:rFonts w:ascii="Book Antiqua" w:hAnsi="Book Antiqua" w:cs="Arial"/>
        </w:rPr>
        <w:t xml:space="preserve">of the </w:t>
      </w:r>
      <w:r>
        <w:rPr>
          <w:rFonts w:ascii="Book Antiqua" w:hAnsi="Book Antiqua" w:cs="Arial"/>
        </w:rPr>
        <w:t xml:space="preserve">Refugee Convention or </w:t>
      </w:r>
      <w:r w:rsidR="00D1235E">
        <w:rPr>
          <w:rFonts w:ascii="Book Antiqua" w:hAnsi="Book Antiqua" w:cs="Arial"/>
        </w:rPr>
        <w:t>Humanitarian P</w:t>
      </w:r>
      <w:r>
        <w:rPr>
          <w:rFonts w:ascii="Book Antiqua" w:hAnsi="Book Antiqua" w:cs="Arial"/>
        </w:rPr>
        <w:t xml:space="preserve">rotection as the First-tier Tribunal upheld the respondent’s decision to certify those claims under Section 72 of the Nationality, Immigration and Asylum Act 2002.  </w:t>
      </w:r>
    </w:p>
    <w:p w14:paraId="67CB1263" w14:textId="77777777" w:rsidR="00CC47BA" w:rsidRDefault="00CC47BA"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However, the First-tier Tribunal found that the appellant would face inhuman or degrading treatment if returned to Somalia such that his appeal fell to be allowed under Article 3 of the ECHR.  The First-tier Tribunal also found that paragraph 399A of the Immigration Rules was met </w:t>
      </w:r>
      <w:r w:rsidR="00484E3D">
        <w:rPr>
          <w:rFonts w:ascii="Book Antiqua" w:hAnsi="Book Antiqua" w:cs="Arial"/>
        </w:rPr>
        <w:t xml:space="preserve">where the appellant had spent more than half of his life in the UK lawfully, was socially and culturally integrated into the UK and would face very significant obstacles to his return to Somalia.  </w:t>
      </w:r>
    </w:p>
    <w:p w14:paraId="748D409F" w14:textId="77777777" w:rsidR="00F5087C" w:rsidRDefault="00F5087C" w:rsidP="00AA7F44">
      <w:pPr>
        <w:numPr>
          <w:ilvl w:val="0"/>
          <w:numId w:val="1"/>
        </w:numPr>
        <w:tabs>
          <w:tab w:val="clear" w:pos="567"/>
        </w:tabs>
        <w:spacing w:before="240"/>
        <w:jc w:val="both"/>
        <w:rPr>
          <w:rFonts w:ascii="Book Antiqua" w:hAnsi="Book Antiqua" w:cs="Arial"/>
        </w:rPr>
      </w:pPr>
      <w:r>
        <w:rPr>
          <w:rFonts w:ascii="Book Antiqua" w:hAnsi="Book Antiqua" w:cs="Arial"/>
        </w:rPr>
        <w:t>The respondent’s first challenge was to the finding in paragraph</w:t>
      </w:r>
      <w:r w:rsidR="00D1235E">
        <w:rPr>
          <w:rFonts w:ascii="Book Antiqua" w:hAnsi="Book Antiqua" w:cs="Arial"/>
        </w:rPr>
        <w:t>s</w:t>
      </w:r>
      <w:r>
        <w:rPr>
          <w:rFonts w:ascii="Book Antiqua" w:hAnsi="Book Antiqua" w:cs="Arial"/>
        </w:rPr>
        <w:t xml:space="preserve"> 57</w:t>
      </w:r>
      <w:r w:rsidR="00D1235E">
        <w:rPr>
          <w:rFonts w:ascii="Book Antiqua" w:hAnsi="Book Antiqua" w:cs="Arial"/>
        </w:rPr>
        <w:t xml:space="preserve"> to 60 </w:t>
      </w:r>
      <w:r w:rsidR="00332953">
        <w:rPr>
          <w:rFonts w:ascii="Book Antiqua" w:hAnsi="Book Antiqua" w:cs="Arial"/>
        </w:rPr>
        <w:t xml:space="preserve">of the First-Tier Tribunal decision </w:t>
      </w:r>
      <w:r w:rsidR="00D1235E">
        <w:rPr>
          <w:rFonts w:ascii="Book Antiqua" w:hAnsi="Book Antiqua" w:cs="Arial"/>
        </w:rPr>
        <w:t xml:space="preserve">that the applicant would face inhuman and degrading treatment if returned to Somalia. </w:t>
      </w:r>
      <w:r>
        <w:rPr>
          <w:rFonts w:ascii="Book Antiqua" w:hAnsi="Book Antiqua" w:cs="Arial"/>
        </w:rPr>
        <w:t xml:space="preserve"> </w:t>
      </w:r>
      <w:r w:rsidR="00D1235E">
        <w:rPr>
          <w:rFonts w:ascii="Book Antiqua" w:hAnsi="Book Antiqua" w:cs="Arial"/>
        </w:rPr>
        <w:t xml:space="preserve">The respondent accepted that the First-Tier Tribunal </w:t>
      </w:r>
      <w:r w:rsidR="00D1235E">
        <w:rPr>
          <w:rFonts w:ascii="Book Antiqua" w:hAnsi="Book Antiqua" w:cs="Arial"/>
        </w:rPr>
        <w:lastRenderedPageBreak/>
        <w:t xml:space="preserve">had identified correctly that the appellant had to come within the ratio of the Country Guidance </w:t>
      </w:r>
      <w:r>
        <w:rPr>
          <w:rFonts w:ascii="Book Antiqua" w:hAnsi="Book Antiqua" w:cs="Arial"/>
        </w:rPr>
        <w:t xml:space="preserve">case of </w:t>
      </w:r>
      <w:r w:rsidRPr="00876BC9">
        <w:rPr>
          <w:rFonts w:ascii="Book Antiqua" w:hAnsi="Book Antiqua" w:cs="Arial"/>
          <w:b/>
          <w:u w:val="single"/>
        </w:rPr>
        <w:t>MOJ and Others</w:t>
      </w:r>
      <w:r w:rsidRPr="00876BC9">
        <w:rPr>
          <w:rFonts w:ascii="Book Antiqua" w:hAnsi="Book Antiqua" w:cs="Arial"/>
          <w:b/>
        </w:rPr>
        <w:t xml:space="preserve"> (Return to Mogadishu) Somalia CG [2014] UKUT 00442</w:t>
      </w:r>
      <w:r w:rsidR="00D1235E">
        <w:rPr>
          <w:rFonts w:ascii="Book Antiqua" w:hAnsi="Book Antiqua" w:cs="Arial"/>
        </w:rPr>
        <w:t xml:space="preserve"> but maintained that the assessment </w:t>
      </w:r>
      <w:r w:rsidR="00332953">
        <w:rPr>
          <w:rFonts w:ascii="Book Antiqua" w:hAnsi="Book Antiqua" w:cs="Arial"/>
        </w:rPr>
        <w:t>of whether he did so disclosed</w:t>
      </w:r>
      <w:r w:rsidR="00D1235E">
        <w:rPr>
          <w:rFonts w:ascii="Book Antiqua" w:hAnsi="Book Antiqua" w:cs="Arial"/>
        </w:rPr>
        <w:t xml:space="preserve"> error.</w:t>
      </w:r>
    </w:p>
    <w:p w14:paraId="69F4F9BD" w14:textId="77777777" w:rsidR="00F5087C" w:rsidRDefault="00F5087C" w:rsidP="00AA7F44">
      <w:pPr>
        <w:numPr>
          <w:ilvl w:val="0"/>
          <w:numId w:val="1"/>
        </w:numPr>
        <w:tabs>
          <w:tab w:val="clear" w:pos="567"/>
        </w:tabs>
        <w:spacing w:before="240"/>
        <w:jc w:val="both"/>
        <w:rPr>
          <w:rFonts w:ascii="Book Antiqua" w:hAnsi="Book Antiqua" w:cs="Arial"/>
        </w:rPr>
      </w:pPr>
      <w:r>
        <w:rPr>
          <w:rFonts w:ascii="Book Antiqua" w:hAnsi="Book Antiqua" w:cs="Arial"/>
        </w:rPr>
        <w:t>The First-tier Tribunal set out the relevant parts of th</w:t>
      </w:r>
      <w:r w:rsidR="00D1235E">
        <w:rPr>
          <w:rFonts w:ascii="Book Antiqua" w:hAnsi="Book Antiqua" w:cs="Arial"/>
        </w:rPr>
        <w:t xml:space="preserve">e headnote from </w:t>
      </w:r>
      <w:r w:rsidR="00D1235E" w:rsidRPr="00D1235E">
        <w:rPr>
          <w:rFonts w:ascii="Book Antiqua" w:hAnsi="Book Antiqua" w:cs="Arial"/>
          <w:b/>
          <w:u w:val="single"/>
        </w:rPr>
        <w:t>MOJ</w:t>
      </w:r>
      <w:r>
        <w:rPr>
          <w:rFonts w:ascii="Book Antiqua" w:hAnsi="Book Antiqua" w:cs="Arial"/>
        </w:rPr>
        <w:t xml:space="preserve"> in paragraph 56 of the decision.  </w:t>
      </w:r>
      <w:r w:rsidR="009253C7">
        <w:rPr>
          <w:rFonts w:ascii="Book Antiqua" w:hAnsi="Book Antiqua" w:cs="Arial"/>
        </w:rPr>
        <w:t>For ease of reference we set out subparagraphs (ix) to (xii) here:</w:t>
      </w:r>
    </w:p>
    <w:p w14:paraId="761DA9BD" w14:textId="77777777" w:rsidR="009253C7" w:rsidRDefault="009253C7" w:rsidP="009E5F59">
      <w:pPr>
        <w:spacing w:before="120"/>
        <w:ind w:left="1701" w:right="567" w:hanging="567"/>
        <w:jc w:val="both"/>
        <w:rPr>
          <w:rFonts w:ascii="Book Antiqua" w:hAnsi="Book Antiqua"/>
          <w:iCs/>
          <w:sz w:val="22"/>
          <w:szCs w:val="22"/>
        </w:rPr>
      </w:pPr>
      <w:r w:rsidRPr="009253C7">
        <w:rPr>
          <w:rFonts w:ascii="Book Antiqua" w:hAnsi="Book Antiqua" w:cs="Arial"/>
          <w:sz w:val="22"/>
          <w:szCs w:val="22"/>
        </w:rPr>
        <w:t>“</w:t>
      </w:r>
      <w:r w:rsidRPr="009253C7">
        <w:rPr>
          <w:rFonts w:ascii="Book Antiqua" w:hAnsi="Book Antiqua"/>
          <w:iCs/>
          <w:sz w:val="22"/>
          <w:szCs w:val="22"/>
        </w:rPr>
        <w:t>(ix)</w:t>
      </w:r>
      <w:r w:rsidRPr="009253C7">
        <w:rPr>
          <w:iCs/>
          <w:sz w:val="22"/>
          <w:szCs w:val="22"/>
        </w:rPr>
        <w:tab/>
      </w:r>
      <w:r w:rsidRPr="009253C7">
        <w:rPr>
          <w:rFonts w:ascii="Book Antiqua" w:hAnsi="Book Antiqua"/>
          <w:iCs/>
          <w:sz w:val="22"/>
          <w:szCs w:val="22"/>
        </w:rPr>
        <w:t xml:space="preserve">If it is accepted that a person facing a return to Mogadishu after a period of absence has no nuclear family or close relatives in the city to assist him in re-establishing himself on return, there will need to be a careful assessment of all of the circumstances. These considerations will include, but are not limited to: </w:t>
      </w:r>
    </w:p>
    <w:p w14:paraId="6B05AEF2" w14:textId="77777777" w:rsidR="009253C7" w:rsidRPr="009253C7" w:rsidRDefault="009253C7" w:rsidP="009E5F59">
      <w:pPr>
        <w:spacing w:before="120"/>
        <w:ind w:left="2268" w:right="567" w:hanging="567"/>
        <w:jc w:val="both"/>
        <w:rPr>
          <w:rFonts w:ascii="Book Antiqua" w:hAnsi="Book Antiqua"/>
          <w:iCs/>
          <w:sz w:val="22"/>
          <w:szCs w:val="22"/>
        </w:rPr>
      </w:pPr>
      <w:r w:rsidRPr="009253C7">
        <w:rPr>
          <w:rFonts w:ascii="Book Antiqua" w:hAnsi="Book Antiqua"/>
          <w:iCs/>
          <w:sz w:val="22"/>
          <w:szCs w:val="22"/>
        </w:rPr>
        <w:t>·</w:t>
      </w:r>
      <w:r>
        <w:rPr>
          <w:rFonts w:ascii="Book Antiqua" w:hAnsi="Book Antiqua"/>
          <w:iCs/>
          <w:sz w:val="22"/>
          <w:szCs w:val="22"/>
        </w:rPr>
        <w:t> </w:t>
      </w:r>
      <w:r>
        <w:rPr>
          <w:rFonts w:ascii="Book Antiqua" w:hAnsi="Book Antiqua"/>
          <w:iCs/>
          <w:sz w:val="22"/>
          <w:szCs w:val="22"/>
        </w:rPr>
        <w:tab/>
      </w:r>
      <w:r w:rsidRPr="009253C7">
        <w:rPr>
          <w:rFonts w:ascii="Book Antiqua" w:hAnsi="Book Antiqua"/>
          <w:iCs/>
          <w:sz w:val="22"/>
          <w:szCs w:val="22"/>
        </w:rPr>
        <w:t>circumstances in Mogadishu before departure;</w:t>
      </w:r>
    </w:p>
    <w:p w14:paraId="54155A59" w14:textId="77777777" w:rsidR="009253C7" w:rsidRPr="009253C7" w:rsidRDefault="009253C7" w:rsidP="009E5F59">
      <w:pPr>
        <w:spacing w:before="120"/>
        <w:ind w:left="2268" w:right="567" w:hanging="567"/>
        <w:jc w:val="both"/>
        <w:rPr>
          <w:rFonts w:ascii="Book Antiqua" w:hAnsi="Book Antiqua"/>
          <w:iCs/>
          <w:sz w:val="22"/>
          <w:szCs w:val="22"/>
        </w:rPr>
      </w:pPr>
      <w:r w:rsidRPr="009253C7">
        <w:rPr>
          <w:rFonts w:ascii="Book Antiqua" w:hAnsi="Book Antiqua"/>
          <w:iCs/>
          <w:sz w:val="22"/>
          <w:szCs w:val="22"/>
        </w:rPr>
        <w:t>·</w:t>
      </w:r>
      <w:r>
        <w:rPr>
          <w:rFonts w:ascii="Book Antiqua" w:hAnsi="Book Antiqua"/>
          <w:iCs/>
          <w:sz w:val="22"/>
          <w:szCs w:val="22"/>
        </w:rPr>
        <w:t> </w:t>
      </w:r>
      <w:r>
        <w:rPr>
          <w:rFonts w:ascii="Book Antiqua" w:hAnsi="Book Antiqua"/>
          <w:iCs/>
          <w:sz w:val="22"/>
          <w:szCs w:val="22"/>
        </w:rPr>
        <w:tab/>
      </w:r>
      <w:r w:rsidRPr="009253C7">
        <w:rPr>
          <w:rFonts w:ascii="Book Antiqua" w:hAnsi="Book Antiqua"/>
          <w:iCs/>
          <w:sz w:val="22"/>
          <w:szCs w:val="22"/>
        </w:rPr>
        <w:t>length of absence from Mogadishu;</w:t>
      </w:r>
    </w:p>
    <w:p w14:paraId="5237D97B" w14:textId="77777777" w:rsidR="009253C7" w:rsidRPr="009253C7" w:rsidRDefault="009253C7" w:rsidP="009E5F59">
      <w:pPr>
        <w:spacing w:before="120"/>
        <w:ind w:left="2268" w:right="567" w:hanging="567"/>
        <w:jc w:val="both"/>
        <w:rPr>
          <w:rFonts w:ascii="Book Antiqua" w:hAnsi="Book Antiqua"/>
          <w:iCs/>
          <w:sz w:val="22"/>
          <w:szCs w:val="22"/>
        </w:rPr>
      </w:pPr>
      <w:r w:rsidRPr="009253C7">
        <w:rPr>
          <w:rFonts w:ascii="Book Antiqua" w:hAnsi="Book Antiqua"/>
          <w:iCs/>
          <w:sz w:val="22"/>
          <w:szCs w:val="22"/>
        </w:rPr>
        <w:t>·</w:t>
      </w:r>
      <w:r>
        <w:rPr>
          <w:rFonts w:ascii="Book Antiqua" w:hAnsi="Book Antiqua"/>
          <w:iCs/>
          <w:sz w:val="22"/>
          <w:szCs w:val="22"/>
        </w:rPr>
        <w:t> </w:t>
      </w:r>
      <w:r>
        <w:rPr>
          <w:rFonts w:ascii="Book Antiqua" w:hAnsi="Book Antiqua"/>
          <w:iCs/>
          <w:sz w:val="22"/>
          <w:szCs w:val="22"/>
        </w:rPr>
        <w:tab/>
      </w:r>
      <w:r w:rsidRPr="009253C7">
        <w:rPr>
          <w:rFonts w:ascii="Book Antiqua" w:hAnsi="Book Antiqua"/>
          <w:iCs/>
          <w:sz w:val="22"/>
          <w:szCs w:val="22"/>
        </w:rPr>
        <w:t xml:space="preserve">family or clan associations to call upon in Mogadishu; </w:t>
      </w:r>
    </w:p>
    <w:p w14:paraId="439F12A8" w14:textId="77777777" w:rsidR="009253C7" w:rsidRPr="009253C7" w:rsidRDefault="009253C7" w:rsidP="009E5F59">
      <w:pPr>
        <w:spacing w:before="120"/>
        <w:ind w:left="2268" w:right="567" w:hanging="567"/>
        <w:jc w:val="both"/>
        <w:rPr>
          <w:rFonts w:ascii="Book Antiqua" w:hAnsi="Book Antiqua"/>
          <w:iCs/>
          <w:sz w:val="22"/>
          <w:szCs w:val="22"/>
        </w:rPr>
      </w:pPr>
      <w:r w:rsidRPr="009253C7">
        <w:rPr>
          <w:rFonts w:ascii="Book Antiqua" w:hAnsi="Book Antiqua"/>
          <w:iCs/>
          <w:sz w:val="22"/>
          <w:szCs w:val="22"/>
        </w:rPr>
        <w:t>·</w:t>
      </w:r>
      <w:r>
        <w:rPr>
          <w:rFonts w:ascii="Book Antiqua" w:hAnsi="Book Antiqua"/>
          <w:iCs/>
          <w:sz w:val="22"/>
          <w:szCs w:val="22"/>
        </w:rPr>
        <w:t> </w:t>
      </w:r>
      <w:r>
        <w:rPr>
          <w:rFonts w:ascii="Book Antiqua" w:hAnsi="Book Antiqua"/>
          <w:iCs/>
          <w:sz w:val="22"/>
          <w:szCs w:val="22"/>
        </w:rPr>
        <w:tab/>
      </w:r>
      <w:r w:rsidRPr="009253C7">
        <w:rPr>
          <w:rFonts w:ascii="Book Antiqua" w:hAnsi="Book Antiqua"/>
          <w:iCs/>
          <w:sz w:val="22"/>
          <w:szCs w:val="22"/>
        </w:rPr>
        <w:t>access to financial resources;</w:t>
      </w:r>
    </w:p>
    <w:p w14:paraId="489BA21B" w14:textId="77777777" w:rsidR="009253C7" w:rsidRPr="009253C7" w:rsidRDefault="009253C7" w:rsidP="009E5F59">
      <w:pPr>
        <w:spacing w:before="120"/>
        <w:ind w:left="2268" w:right="567" w:hanging="567"/>
        <w:jc w:val="both"/>
        <w:rPr>
          <w:rFonts w:ascii="Book Antiqua" w:hAnsi="Book Antiqua"/>
          <w:iCs/>
          <w:sz w:val="22"/>
          <w:szCs w:val="22"/>
        </w:rPr>
      </w:pPr>
      <w:r w:rsidRPr="009253C7">
        <w:rPr>
          <w:rFonts w:ascii="Book Antiqua" w:hAnsi="Book Antiqua"/>
          <w:iCs/>
          <w:sz w:val="22"/>
          <w:szCs w:val="22"/>
        </w:rPr>
        <w:t>·</w:t>
      </w:r>
      <w:r>
        <w:rPr>
          <w:rFonts w:ascii="Book Antiqua" w:hAnsi="Book Antiqua"/>
          <w:iCs/>
          <w:sz w:val="22"/>
          <w:szCs w:val="22"/>
        </w:rPr>
        <w:t> </w:t>
      </w:r>
      <w:r>
        <w:rPr>
          <w:rFonts w:ascii="Book Antiqua" w:hAnsi="Book Antiqua"/>
          <w:iCs/>
          <w:sz w:val="22"/>
          <w:szCs w:val="22"/>
        </w:rPr>
        <w:tab/>
      </w:r>
      <w:r w:rsidRPr="009253C7">
        <w:rPr>
          <w:rFonts w:ascii="Book Antiqua" w:hAnsi="Book Antiqua"/>
          <w:iCs/>
          <w:sz w:val="22"/>
          <w:szCs w:val="22"/>
        </w:rPr>
        <w:t xml:space="preserve">prospects of securing a livelihood, whether that be employment or </w:t>
      </w:r>
      <w:proofErr w:type="spellStart"/>
      <w:r w:rsidRPr="009253C7">
        <w:rPr>
          <w:rFonts w:ascii="Book Antiqua" w:hAnsi="Book Antiqua"/>
          <w:iCs/>
          <w:sz w:val="22"/>
          <w:szCs w:val="22"/>
        </w:rPr>
        <w:t>self employment</w:t>
      </w:r>
      <w:proofErr w:type="spellEnd"/>
      <w:r w:rsidRPr="009253C7">
        <w:rPr>
          <w:rFonts w:ascii="Book Antiqua" w:hAnsi="Book Antiqua"/>
          <w:iCs/>
          <w:sz w:val="22"/>
          <w:szCs w:val="22"/>
        </w:rPr>
        <w:t>;</w:t>
      </w:r>
    </w:p>
    <w:p w14:paraId="15A6AEF1" w14:textId="77777777" w:rsidR="009253C7" w:rsidRPr="009253C7" w:rsidRDefault="009253C7" w:rsidP="009E5F59">
      <w:pPr>
        <w:spacing w:before="120"/>
        <w:ind w:left="2268" w:right="567" w:hanging="567"/>
        <w:jc w:val="both"/>
        <w:rPr>
          <w:rFonts w:ascii="Book Antiqua" w:hAnsi="Book Antiqua"/>
          <w:iCs/>
          <w:sz w:val="22"/>
          <w:szCs w:val="22"/>
        </w:rPr>
      </w:pPr>
      <w:r w:rsidRPr="009253C7">
        <w:rPr>
          <w:rFonts w:ascii="Book Antiqua" w:hAnsi="Book Antiqua"/>
          <w:iCs/>
          <w:sz w:val="22"/>
          <w:szCs w:val="22"/>
        </w:rPr>
        <w:t>·</w:t>
      </w:r>
      <w:r>
        <w:rPr>
          <w:rFonts w:ascii="Book Antiqua" w:hAnsi="Book Antiqua"/>
          <w:iCs/>
          <w:sz w:val="22"/>
          <w:szCs w:val="22"/>
        </w:rPr>
        <w:t> </w:t>
      </w:r>
      <w:r>
        <w:rPr>
          <w:rFonts w:ascii="Book Antiqua" w:hAnsi="Book Antiqua"/>
          <w:iCs/>
          <w:sz w:val="22"/>
          <w:szCs w:val="22"/>
        </w:rPr>
        <w:tab/>
      </w:r>
      <w:r w:rsidRPr="009253C7">
        <w:rPr>
          <w:rFonts w:ascii="Book Antiqua" w:hAnsi="Book Antiqua"/>
          <w:iCs/>
          <w:sz w:val="22"/>
          <w:szCs w:val="22"/>
        </w:rPr>
        <w:t>availability of remittances from abroad;</w:t>
      </w:r>
    </w:p>
    <w:p w14:paraId="369211D1" w14:textId="77777777" w:rsidR="009253C7" w:rsidRPr="009253C7" w:rsidRDefault="009253C7" w:rsidP="009E5F59">
      <w:pPr>
        <w:spacing w:before="120"/>
        <w:ind w:left="2268" w:right="567" w:hanging="567"/>
        <w:jc w:val="both"/>
        <w:rPr>
          <w:rFonts w:ascii="Book Antiqua" w:hAnsi="Book Antiqua"/>
          <w:iCs/>
          <w:sz w:val="22"/>
          <w:szCs w:val="22"/>
        </w:rPr>
      </w:pPr>
      <w:r w:rsidRPr="009253C7">
        <w:rPr>
          <w:rFonts w:ascii="Book Antiqua" w:hAnsi="Book Antiqua"/>
          <w:iCs/>
          <w:sz w:val="22"/>
          <w:szCs w:val="22"/>
        </w:rPr>
        <w:t>·</w:t>
      </w:r>
      <w:r>
        <w:rPr>
          <w:rFonts w:ascii="Book Antiqua" w:hAnsi="Book Antiqua"/>
          <w:iCs/>
          <w:sz w:val="22"/>
          <w:szCs w:val="22"/>
        </w:rPr>
        <w:t> </w:t>
      </w:r>
      <w:r>
        <w:rPr>
          <w:rFonts w:ascii="Book Antiqua" w:hAnsi="Book Antiqua"/>
          <w:iCs/>
          <w:sz w:val="22"/>
          <w:szCs w:val="22"/>
        </w:rPr>
        <w:tab/>
      </w:r>
      <w:r w:rsidRPr="009253C7">
        <w:rPr>
          <w:rFonts w:ascii="Book Antiqua" w:hAnsi="Book Antiqua"/>
          <w:iCs/>
          <w:sz w:val="22"/>
          <w:szCs w:val="22"/>
        </w:rPr>
        <w:t>means of support during the time spent in the United Kingdom;</w:t>
      </w:r>
    </w:p>
    <w:p w14:paraId="1CC25698" w14:textId="77777777" w:rsidR="009253C7" w:rsidRPr="009253C7" w:rsidRDefault="009253C7" w:rsidP="009E5F59">
      <w:pPr>
        <w:spacing w:before="120"/>
        <w:ind w:left="2268" w:right="567" w:hanging="567"/>
        <w:jc w:val="both"/>
        <w:rPr>
          <w:rFonts w:ascii="Book Antiqua" w:hAnsi="Book Antiqua"/>
          <w:iCs/>
          <w:sz w:val="22"/>
          <w:szCs w:val="22"/>
        </w:rPr>
      </w:pPr>
      <w:r w:rsidRPr="009253C7">
        <w:rPr>
          <w:rFonts w:ascii="Book Antiqua" w:hAnsi="Book Antiqua"/>
          <w:iCs/>
          <w:sz w:val="22"/>
          <w:szCs w:val="22"/>
        </w:rPr>
        <w:t>·</w:t>
      </w:r>
      <w:r>
        <w:rPr>
          <w:rFonts w:ascii="Book Antiqua" w:hAnsi="Book Antiqua"/>
          <w:iCs/>
          <w:sz w:val="22"/>
          <w:szCs w:val="22"/>
        </w:rPr>
        <w:t> </w:t>
      </w:r>
      <w:r>
        <w:rPr>
          <w:rFonts w:ascii="Book Antiqua" w:hAnsi="Book Antiqua"/>
          <w:iCs/>
          <w:sz w:val="22"/>
          <w:szCs w:val="22"/>
        </w:rPr>
        <w:tab/>
      </w:r>
      <w:r w:rsidRPr="009253C7">
        <w:rPr>
          <w:rFonts w:ascii="Book Antiqua" w:hAnsi="Book Antiqua"/>
          <w:iCs/>
          <w:sz w:val="22"/>
          <w:szCs w:val="22"/>
        </w:rPr>
        <w:t>why his ability to fund the journey to the West no longer enables an appellant to secure financial support on return.</w:t>
      </w:r>
    </w:p>
    <w:p w14:paraId="6680CCA0" w14:textId="77777777" w:rsidR="009253C7" w:rsidRPr="009253C7" w:rsidRDefault="009253C7" w:rsidP="009E5F59">
      <w:pPr>
        <w:spacing w:before="120"/>
        <w:ind w:left="1701" w:right="567" w:hanging="567"/>
        <w:jc w:val="both"/>
        <w:rPr>
          <w:sz w:val="22"/>
          <w:szCs w:val="22"/>
        </w:rPr>
      </w:pPr>
      <w:r w:rsidRPr="009253C7">
        <w:rPr>
          <w:rFonts w:ascii="Book Antiqua" w:hAnsi="Book Antiqua"/>
          <w:iCs/>
          <w:sz w:val="22"/>
          <w:szCs w:val="22"/>
        </w:rPr>
        <w:t> (x)</w:t>
      </w:r>
      <w:r>
        <w:rPr>
          <w:iCs/>
          <w:sz w:val="22"/>
          <w:szCs w:val="22"/>
        </w:rPr>
        <w:tab/>
      </w:r>
      <w:r w:rsidRPr="009253C7">
        <w:rPr>
          <w:rFonts w:ascii="Book Antiqua" w:hAnsi="Book Antiqua"/>
          <w:iCs/>
          <w:sz w:val="22"/>
          <w:szCs w:val="22"/>
        </w:rPr>
        <w:t>Put another way, it will be for the person facing return to explain why he would not be able to access the economic opportunities that have been produced by the economic boom, especially as there is evidence to the effect that returnees are taking jobs at the expense of those who have never been away.</w:t>
      </w:r>
    </w:p>
    <w:p w14:paraId="7636F3EF" w14:textId="77777777" w:rsidR="009253C7" w:rsidRPr="009253C7" w:rsidRDefault="009253C7" w:rsidP="009E5F59">
      <w:pPr>
        <w:spacing w:before="120"/>
        <w:ind w:left="1701" w:right="567" w:hanging="567"/>
        <w:jc w:val="both"/>
        <w:rPr>
          <w:sz w:val="22"/>
          <w:szCs w:val="22"/>
        </w:rPr>
      </w:pPr>
      <w:r w:rsidRPr="009253C7">
        <w:rPr>
          <w:rFonts w:ascii="Book Antiqua" w:hAnsi="Book Antiqua"/>
          <w:iCs/>
          <w:sz w:val="22"/>
          <w:szCs w:val="22"/>
        </w:rPr>
        <w:t> (xi)</w:t>
      </w:r>
      <w:r>
        <w:rPr>
          <w:iCs/>
          <w:sz w:val="22"/>
          <w:szCs w:val="22"/>
        </w:rPr>
        <w:tab/>
      </w:r>
      <w:r w:rsidRPr="009253C7">
        <w:rPr>
          <w:rFonts w:ascii="Book Antiqua" w:hAnsi="Book Antiqua"/>
          <w:iCs/>
          <w:sz w:val="22"/>
          <w:szCs w:val="22"/>
        </w:rPr>
        <w:t>It will, therefore, only be those with no clan or family support who will not be in receipt of remittances from abroad and who have no real prospect of securing access to a livelihood on return who will face the prospect of living in circumstances falling below that which is acceptable in humanitarian protection terms.</w:t>
      </w:r>
    </w:p>
    <w:p w14:paraId="3539018D" w14:textId="77777777" w:rsidR="009253C7" w:rsidRPr="009253C7" w:rsidRDefault="009253C7" w:rsidP="009E5F59">
      <w:pPr>
        <w:spacing w:before="120"/>
        <w:ind w:left="1701" w:right="567" w:hanging="567"/>
        <w:jc w:val="both"/>
        <w:rPr>
          <w:sz w:val="22"/>
          <w:szCs w:val="22"/>
        </w:rPr>
      </w:pPr>
      <w:r w:rsidRPr="009253C7">
        <w:rPr>
          <w:rFonts w:ascii="Book Antiqua" w:hAnsi="Book Antiqua"/>
          <w:iCs/>
          <w:sz w:val="22"/>
          <w:szCs w:val="22"/>
        </w:rPr>
        <w:t> (xii)</w:t>
      </w:r>
      <w:r>
        <w:rPr>
          <w:iCs/>
          <w:sz w:val="22"/>
          <w:szCs w:val="22"/>
        </w:rPr>
        <w:tab/>
      </w:r>
      <w:r w:rsidRPr="009253C7">
        <w:rPr>
          <w:rFonts w:ascii="Book Antiqua" w:hAnsi="Book Antiqua"/>
          <w:iCs/>
          <w:sz w:val="22"/>
          <w:szCs w:val="22"/>
        </w:rPr>
        <w:t>The evidence indicates clearly that it is not simply those who originate from Mogadishu that may now generally return to live in the city without being subjected to an Article 15(c) risk or facing a real risk of destitution. On the other hand, relocation in Mogadishu for a person of a minority clan  with no former links to the city, no access to funds and no other form of clan, family or social support is unlikely to be realistic as, in the absence of means to establish a home and some form of ongoing financial support there will be a real risk of having no alternative but to live in makeshift accommodation within an IDP camp where there is a real possibility of having to live in conditions  that will fall below acceptable humanitarian standards.</w:t>
      </w:r>
      <w:r>
        <w:rPr>
          <w:rFonts w:ascii="Book Antiqua" w:hAnsi="Book Antiqua"/>
          <w:iCs/>
          <w:sz w:val="22"/>
          <w:szCs w:val="22"/>
        </w:rPr>
        <w:t>”</w:t>
      </w:r>
    </w:p>
    <w:p w14:paraId="66FD3D16" w14:textId="77777777" w:rsidR="009253C7" w:rsidRDefault="00286983" w:rsidP="00AA7F44">
      <w:pPr>
        <w:numPr>
          <w:ilvl w:val="0"/>
          <w:numId w:val="1"/>
        </w:numPr>
        <w:tabs>
          <w:tab w:val="clear" w:pos="567"/>
        </w:tabs>
        <w:spacing w:before="240"/>
        <w:jc w:val="both"/>
        <w:rPr>
          <w:rFonts w:ascii="Book Antiqua" w:hAnsi="Book Antiqua" w:cs="Arial"/>
        </w:rPr>
      </w:pPr>
      <w:r>
        <w:rPr>
          <w:rFonts w:ascii="Book Antiqua" w:hAnsi="Book Antiqua" w:cs="Arial"/>
        </w:rPr>
        <w:t>The First-tier Tribunal made the following assessment:</w:t>
      </w:r>
    </w:p>
    <w:p w14:paraId="1C1D5E0B" w14:textId="265A300B" w:rsidR="00286983" w:rsidRPr="00813F5F" w:rsidRDefault="00895907" w:rsidP="009E5F59">
      <w:pPr>
        <w:spacing w:before="120"/>
        <w:ind w:left="1701" w:right="567" w:hanging="567"/>
        <w:jc w:val="both"/>
        <w:rPr>
          <w:rFonts w:ascii="Book Antiqua" w:hAnsi="Book Antiqua" w:cs="Arial"/>
          <w:sz w:val="22"/>
          <w:szCs w:val="22"/>
        </w:rPr>
      </w:pPr>
      <w:r w:rsidRPr="00813F5F">
        <w:rPr>
          <w:rFonts w:ascii="Book Antiqua" w:hAnsi="Book Antiqua" w:cs="Arial"/>
          <w:sz w:val="22"/>
          <w:szCs w:val="22"/>
        </w:rPr>
        <w:t>“57.</w:t>
      </w:r>
      <w:r w:rsidRPr="00813F5F">
        <w:rPr>
          <w:rFonts w:ascii="Book Antiqua" w:hAnsi="Book Antiqua" w:cs="Arial"/>
          <w:sz w:val="22"/>
          <w:szCs w:val="22"/>
        </w:rPr>
        <w:tab/>
        <w:t xml:space="preserve">I accept the appellant’s evidence that he has no connections in Mogadishu, it is clear that his whole family are now living in the United Kingdom although </w:t>
      </w:r>
      <w:r w:rsidRPr="00813F5F">
        <w:rPr>
          <w:rFonts w:ascii="Book Antiqua" w:hAnsi="Book Antiqua" w:cs="Arial"/>
          <w:sz w:val="22"/>
          <w:szCs w:val="22"/>
        </w:rPr>
        <w:lastRenderedPageBreak/>
        <w:t xml:space="preserve">he remains estranged from his father.  There was no evidence before me to indicate that the appellant has any knowledge of his culture.  Social </w:t>
      </w:r>
      <w:r w:rsidR="00D1235E">
        <w:rPr>
          <w:rFonts w:ascii="Book Antiqua" w:hAnsi="Book Antiqua" w:cs="Arial"/>
          <w:sz w:val="22"/>
          <w:szCs w:val="22"/>
        </w:rPr>
        <w:t>S</w:t>
      </w:r>
      <w:r w:rsidRPr="00813F5F">
        <w:rPr>
          <w:rFonts w:ascii="Book Antiqua" w:hAnsi="Book Antiqua" w:cs="Arial"/>
          <w:sz w:val="22"/>
          <w:szCs w:val="22"/>
        </w:rPr>
        <w:t xml:space="preserve">ervice records support the appellant’s assertion that he has been in care with English families since the age of 13, having been left unsupervised by his aunt and having been badly treated by her.  I find that the disruption in the appellant’s childhood and adolescence means that he has lost his ties with Somali culture and tradition.  It was clear that his early experiences with his aunt have alienated him from his roots.  In his oral evidence, the appellant appeared to me to be completely integrated into British culture and life.  I accept that he speaks little or no Somali, cannot communicate with his own mother, cannot read or write in Somali and that he is completely unfamiliar with Somali culture.  I accept that he does not consider himself to be a Muslim and has no knowledge of the Koran.  In </w:t>
      </w:r>
      <w:proofErr w:type="gramStart"/>
      <w:r w:rsidRPr="00813F5F">
        <w:rPr>
          <w:rFonts w:ascii="Book Antiqua" w:hAnsi="Book Antiqua" w:cs="Arial"/>
          <w:sz w:val="22"/>
          <w:szCs w:val="22"/>
        </w:rPr>
        <w:t>addition</w:t>
      </w:r>
      <w:proofErr w:type="gramEnd"/>
      <w:r w:rsidRPr="00813F5F">
        <w:rPr>
          <w:rFonts w:ascii="Book Antiqua" w:hAnsi="Book Antiqua" w:cs="Arial"/>
          <w:sz w:val="22"/>
          <w:szCs w:val="22"/>
        </w:rPr>
        <w:t xml:space="preserve"> the trauma of his childhood and his adolescence, means that he has very little formal education and I accept his evidence that the only language that he speaks is English and that all of his cultural references are western.  The appellant has lived in English families since the age of 12 and he is currently living with an English family.  I have read the references from his former foster mother and from his friends.  In particular, the statement of his friend </w:t>
      </w:r>
      <w:r w:rsidR="009E5F59">
        <w:rPr>
          <w:rFonts w:ascii="Book Antiqua" w:hAnsi="Book Antiqua" w:cs="Arial"/>
          <w:sz w:val="22"/>
          <w:szCs w:val="22"/>
        </w:rPr>
        <w:t>[</w:t>
      </w:r>
      <w:r w:rsidRPr="00813F5F">
        <w:rPr>
          <w:rFonts w:ascii="Book Antiqua" w:hAnsi="Book Antiqua" w:cs="Arial"/>
          <w:sz w:val="22"/>
          <w:szCs w:val="22"/>
        </w:rPr>
        <w:t>CJ</w:t>
      </w:r>
      <w:r w:rsidR="009E5F59">
        <w:rPr>
          <w:rFonts w:ascii="Book Antiqua" w:hAnsi="Book Antiqua" w:cs="Arial"/>
          <w:sz w:val="22"/>
          <w:szCs w:val="22"/>
        </w:rPr>
        <w:t xml:space="preserve">] </w:t>
      </w:r>
      <w:r w:rsidRPr="00813F5F">
        <w:rPr>
          <w:rFonts w:ascii="Book Antiqua" w:hAnsi="Book Antiqua" w:cs="Arial"/>
          <w:sz w:val="22"/>
          <w:szCs w:val="22"/>
        </w:rPr>
        <w:t xml:space="preserve">whose mother the appellant is living (sic) and who attests to the fact that he and his friends have always seen the appellant as English.  I have also read the statement of </w:t>
      </w:r>
      <w:r w:rsidR="009E5F59">
        <w:rPr>
          <w:rFonts w:ascii="Book Antiqua" w:hAnsi="Book Antiqua" w:cs="Arial"/>
          <w:sz w:val="22"/>
          <w:szCs w:val="22"/>
        </w:rPr>
        <w:t>[</w:t>
      </w:r>
      <w:r w:rsidRPr="00813F5F">
        <w:rPr>
          <w:rFonts w:ascii="Book Antiqua" w:hAnsi="Book Antiqua" w:cs="Arial"/>
          <w:sz w:val="22"/>
          <w:szCs w:val="22"/>
        </w:rPr>
        <w:t>AB</w:t>
      </w:r>
      <w:r w:rsidR="009E5F59">
        <w:rPr>
          <w:rFonts w:ascii="Book Antiqua" w:hAnsi="Book Antiqua" w:cs="Arial"/>
          <w:sz w:val="22"/>
          <w:szCs w:val="22"/>
        </w:rPr>
        <w:t xml:space="preserve">] </w:t>
      </w:r>
      <w:r w:rsidRPr="00813F5F">
        <w:rPr>
          <w:rFonts w:ascii="Book Antiqua" w:hAnsi="Book Antiqua" w:cs="Arial"/>
          <w:sz w:val="22"/>
          <w:szCs w:val="22"/>
        </w:rPr>
        <w:t xml:space="preserve">who acted as the appellant’s foster carer (albeit it appears informally) over his teenage years.  She describes some of his difficulties </w:t>
      </w:r>
      <w:r w:rsidR="00D1235E">
        <w:rPr>
          <w:rFonts w:ascii="Book Antiqua" w:hAnsi="Book Antiqua" w:cs="Arial"/>
          <w:sz w:val="22"/>
          <w:szCs w:val="22"/>
        </w:rPr>
        <w:t xml:space="preserve">(sic) </w:t>
      </w:r>
      <w:r w:rsidRPr="00813F5F">
        <w:rPr>
          <w:rFonts w:ascii="Book Antiqua" w:hAnsi="Book Antiqua" w:cs="Arial"/>
          <w:sz w:val="22"/>
          <w:szCs w:val="22"/>
        </w:rPr>
        <w:t xml:space="preserve">the appellant encountered but also the fact that her family are close to the appellant.  In summary, I accept the appellant’s evidence that he knows nothing of life in Somalia, of the culture, of the language and nothing about his Muslim faith.  </w:t>
      </w:r>
    </w:p>
    <w:p w14:paraId="2DAD98CD" w14:textId="77777777" w:rsidR="00895907" w:rsidRPr="00813F5F" w:rsidRDefault="00895907" w:rsidP="009E5F59">
      <w:pPr>
        <w:spacing w:before="120"/>
        <w:ind w:left="1701" w:right="567" w:hanging="567"/>
        <w:jc w:val="both"/>
        <w:rPr>
          <w:rFonts w:ascii="Book Antiqua" w:hAnsi="Book Antiqua" w:cs="Arial"/>
          <w:sz w:val="22"/>
          <w:szCs w:val="22"/>
        </w:rPr>
      </w:pPr>
      <w:r w:rsidRPr="00813F5F">
        <w:rPr>
          <w:rFonts w:ascii="Book Antiqua" w:hAnsi="Book Antiqua" w:cs="Arial"/>
          <w:sz w:val="22"/>
          <w:szCs w:val="22"/>
        </w:rPr>
        <w:t>58.</w:t>
      </w:r>
      <w:r w:rsidRPr="00813F5F">
        <w:rPr>
          <w:rFonts w:ascii="Book Antiqua" w:hAnsi="Book Antiqua" w:cs="Arial"/>
          <w:sz w:val="22"/>
          <w:szCs w:val="22"/>
        </w:rPr>
        <w:tab/>
        <w:t xml:space="preserve">In </w:t>
      </w:r>
      <w:proofErr w:type="gramStart"/>
      <w:r w:rsidRPr="00813F5F">
        <w:rPr>
          <w:rFonts w:ascii="Book Antiqua" w:hAnsi="Book Antiqua" w:cs="Arial"/>
          <w:sz w:val="22"/>
          <w:szCs w:val="22"/>
        </w:rPr>
        <w:t>addition</w:t>
      </w:r>
      <w:proofErr w:type="gramEnd"/>
      <w:r w:rsidRPr="00813F5F">
        <w:rPr>
          <w:rFonts w:ascii="Book Antiqua" w:hAnsi="Book Antiqua" w:cs="Arial"/>
          <w:sz w:val="22"/>
          <w:szCs w:val="22"/>
        </w:rPr>
        <w:t xml:space="preserve"> the appellant has mental health issues which are set out in the report of Dr Boucher, and which will make him more vulnerable.  </w:t>
      </w:r>
    </w:p>
    <w:p w14:paraId="77CBAAEA" w14:textId="77777777" w:rsidR="00895907" w:rsidRPr="00813F5F" w:rsidRDefault="00895907" w:rsidP="009E5F59">
      <w:pPr>
        <w:spacing w:before="120"/>
        <w:ind w:left="1701" w:right="567" w:hanging="567"/>
        <w:jc w:val="both"/>
        <w:rPr>
          <w:rFonts w:ascii="Book Antiqua" w:hAnsi="Book Antiqua" w:cs="Arial"/>
          <w:sz w:val="22"/>
          <w:szCs w:val="22"/>
        </w:rPr>
      </w:pPr>
      <w:r w:rsidRPr="00813F5F">
        <w:rPr>
          <w:rFonts w:ascii="Book Antiqua" w:hAnsi="Book Antiqua" w:cs="Arial"/>
          <w:sz w:val="22"/>
          <w:szCs w:val="22"/>
        </w:rPr>
        <w:t>59.</w:t>
      </w:r>
      <w:r w:rsidRPr="00813F5F">
        <w:rPr>
          <w:rFonts w:ascii="Book Antiqua" w:hAnsi="Book Antiqua" w:cs="Arial"/>
          <w:sz w:val="22"/>
          <w:szCs w:val="22"/>
        </w:rPr>
        <w:tab/>
        <w:t xml:space="preserve">Having looked at the decision in </w:t>
      </w:r>
      <w:r w:rsidRPr="0005157E">
        <w:rPr>
          <w:rFonts w:ascii="Book Antiqua" w:hAnsi="Book Antiqua" w:cs="Arial"/>
          <w:b/>
          <w:sz w:val="22"/>
          <w:szCs w:val="22"/>
          <w:u w:val="single"/>
        </w:rPr>
        <w:t>MOJ</w:t>
      </w:r>
      <w:r w:rsidRPr="00813F5F">
        <w:rPr>
          <w:rFonts w:ascii="Book Antiqua" w:hAnsi="Book Antiqua" w:cs="Arial"/>
          <w:sz w:val="22"/>
          <w:szCs w:val="22"/>
        </w:rPr>
        <w:t xml:space="preserve"> and the more recent report of the Danish Demining Group prepared by Ken </w:t>
      </w:r>
      <w:proofErr w:type="spellStart"/>
      <w:r w:rsidRPr="00813F5F">
        <w:rPr>
          <w:rFonts w:ascii="Book Antiqua" w:hAnsi="Book Antiqua" w:cs="Arial"/>
          <w:sz w:val="22"/>
          <w:szCs w:val="22"/>
        </w:rPr>
        <w:t>Menkhaus</w:t>
      </w:r>
      <w:proofErr w:type="spellEnd"/>
      <w:r w:rsidRPr="00813F5F">
        <w:rPr>
          <w:rFonts w:ascii="Book Antiqua" w:hAnsi="Book Antiqua" w:cs="Arial"/>
          <w:sz w:val="22"/>
          <w:szCs w:val="22"/>
        </w:rPr>
        <w:t xml:space="preserve">, I am satisfied that the appellant falls into the most vulnerable category of possible returnees.  He is a young man with mental health vulnerabilities, little formal education and no family support.  I accept the evidence of Dr Hammond that he is unlikely to receive support from his clan, bearing in mind that the </w:t>
      </w:r>
      <w:proofErr w:type="spellStart"/>
      <w:r w:rsidRPr="00813F5F">
        <w:rPr>
          <w:rFonts w:ascii="Book Antiqua" w:hAnsi="Book Antiqua" w:cs="Arial"/>
          <w:sz w:val="22"/>
          <w:szCs w:val="22"/>
        </w:rPr>
        <w:t>Benadiri</w:t>
      </w:r>
      <w:proofErr w:type="spellEnd"/>
      <w:r w:rsidRPr="00813F5F">
        <w:rPr>
          <w:rFonts w:ascii="Book Antiqua" w:hAnsi="Book Antiqua" w:cs="Arial"/>
          <w:sz w:val="22"/>
          <w:szCs w:val="22"/>
        </w:rPr>
        <w:t xml:space="preserve"> clan are a minority clan, who have lost their power.  He falls squarely into the risk categories identified in </w:t>
      </w:r>
      <w:r w:rsidRPr="0005157E">
        <w:rPr>
          <w:rFonts w:ascii="Book Antiqua" w:hAnsi="Book Antiqua" w:cs="Arial"/>
          <w:b/>
          <w:sz w:val="22"/>
          <w:szCs w:val="22"/>
          <w:u w:val="single"/>
        </w:rPr>
        <w:t>MOJ</w:t>
      </w:r>
      <w:r w:rsidRPr="00813F5F">
        <w:rPr>
          <w:rFonts w:ascii="Book Antiqua" w:hAnsi="Book Antiqua" w:cs="Arial"/>
          <w:sz w:val="22"/>
          <w:szCs w:val="22"/>
        </w:rPr>
        <w:t xml:space="preserve">.  </w:t>
      </w:r>
      <w:r w:rsidR="000D698C" w:rsidRPr="00813F5F">
        <w:rPr>
          <w:rFonts w:ascii="Book Antiqua" w:hAnsi="Book Antiqua" w:cs="Arial"/>
          <w:sz w:val="22"/>
          <w:szCs w:val="22"/>
        </w:rPr>
        <w:t xml:space="preserve">The risks to him are potentially greater as a non-believer and a young male.  The increased violence from Al Shabab makes his Article 3 claim stronger.  </w:t>
      </w:r>
    </w:p>
    <w:p w14:paraId="5B68C6EC" w14:textId="77777777" w:rsidR="000D698C" w:rsidRPr="00813F5F" w:rsidRDefault="000D698C" w:rsidP="009E5F59">
      <w:pPr>
        <w:spacing w:before="120"/>
        <w:ind w:left="1701" w:right="567" w:hanging="567"/>
        <w:jc w:val="both"/>
        <w:rPr>
          <w:rFonts w:ascii="Book Antiqua" w:hAnsi="Book Antiqua" w:cs="Arial"/>
          <w:sz w:val="22"/>
          <w:szCs w:val="22"/>
        </w:rPr>
      </w:pPr>
      <w:r w:rsidRPr="00813F5F">
        <w:rPr>
          <w:rFonts w:ascii="Book Antiqua" w:hAnsi="Book Antiqua" w:cs="Arial"/>
          <w:sz w:val="22"/>
          <w:szCs w:val="22"/>
        </w:rPr>
        <w:t>60.</w:t>
      </w:r>
      <w:r w:rsidRPr="00813F5F">
        <w:rPr>
          <w:rFonts w:ascii="Book Antiqua" w:hAnsi="Book Antiqua" w:cs="Arial"/>
          <w:sz w:val="22"/>
          <w:szCs w:val="22"/>
        </w:rPr>
        <w:tab/>
        <w:t xml:space="preserve">The passage of time, the sheer volume of IDPs, the increase in violence and the recent drought have all impacted on conditions in camps.  The situation is more severe than in 2014.  The camps have become more and more corrupt and as the returnees increase in number, the conditions in the camps deteriorate as illustrated in Ken </w:t>
      </w:r>
      <w:proofErr w:type="spellStart"/>
      <w:r w:rsidRPr="00813F5F">
        <w:rPr>
          <w:rFonts w:ascii="Book Antiqua" w:hAnsi="Book Antiqua" w:cs="Arial"/>
          <w:sz w:val="22"/>
          <w:szCs w:val="22"/>
        </w:rPr>
        <w:t>Menkhaus</w:t>
      </w:r>
      <w:proofErr w:type="spellEnd"/>
      <w:r w:rsidR="0005157E">
        <w:rPr>
          <w:rFonts w:ascii="Book Antiqua" w:hAnsi="Book Antiqua" w:cs="Arial"/>
          <w:sz w:val="22"/>
          <w:szCs w:val="22"/>
        </w:rPr>
        <w:t>’</w:t>
      </w:r>
      <w:r w:rsidRPr="00813F5F">
        <w:rPr>
          <w:rFonts w:ascii="Book Antiqua" w:hAnsi="Book Antiqua" w:cs="Arial"/>
          <w:sz w:val="22"/>
          <w:szCs w:val="22"/>
        </w:rPr>
        <w:t xml:space="preserve"> report.  The drought has further exacerbated the situation.  This means that far from </w:t>
      </w:r>
      <w:r w:rsidR="0005157E">
        <w:rPr>
          <w:rFonts w:ascii="Book Antiqua" w:hAnsi="Book Antiqua" w:cs="Arial"/>
          <w:sz w:val="22"/>
          <w:szCs w:val="22"/>
        </w:rPr>
        <w:t>being able to benefit from the ‘economic boom’</w:t>
      </w:r>
      <w:r w:rsidRPr="00813F5F">
        <w:rPr>
          <w:rFonts w:ascii="Book Antiqua" w:hAnsi="Book Antiqua" w:cs="Arial"/>
          <w:sz w:val="22"/>
          <w:szCs w:val="22"/>
        </w:rPr>
        <w:t xml:space="preserve"> in Mogadishu, the appellant is likely to find himself in a camp with no chance of employment, no access to food and healthcare and vulnerable to gang violence as a westernised young male.  He has no family to return to and no support network.  As a result of the facts stated above, I find that the situation which the appellant would face were he returned to Mogadishu would fall below acceptable humanitarian standards and would </w:t>
      </w:r>
      <w:r w:rsidRPr="00813F5F">
        <w:rPr>
          <w:rFonts w:ascii="Book Antiqua" w:hAnsi="Book Antiqua" w:cs="Arial"/>
          <w:sz w:val="22"/>
          <w:szCs w:val="22"/>
        </w:rPr>
        <w:lastRenderedPageBreak/>
        <w:t xml:space="preserve">engage Article 3 of the ECHR.  Consequently, the appellant’s appeal is allowed on Article 3 grounds.” </w:t>
      </w:r>
    </w:p>
    <w:p w14:paraId="5DA42592" w14:textId="77777777" w:rsidR="00F36F98" w:rsidRPr="00F36F98" w:rsidRDefault="00813F5F" w:rsidP="00060A85">
      <w:pPr>
        <w:numPr>
          <w:ilvl w:val="0"/>
          <w:numId w:val="1"/>
        </w:numPr>
        <w:tabs>
          <w:tab w:val="clear" w:pos="567"/>
        </w:tabs>
        <w:spacing w:before="240"/>
        <w:jc w:val="both"/>
        <w:rPr>
          <w:rFonts w:ascii="Book Antiqua" w:hAnsi="Book Antiqua" w:cs="Arial"/>
        </w:rPr>
      </w:pPr>
      <w:r w:rsidRPr="00F36F98">
        <w:rPr>
          <w:rFonts w:ascii="Book Antiqua" w:hAnsi="Book Antiqua" w:cs="Arial"/>
        </w:rPr>
        <w:t xml:space="preserve">The respondent objects to these </w:t>
      </w:r>
      <w:r w:rsidR="00F36F98" w:rsidRPr="00F36F98">
        <w:rPr>
          <w:rFonts w:ascii="Book Antiqua" w:hAnsi="Book Antiqua" w:cs="Arial"/>
        </w:rPr>
        <w:t>findings, submitting that the judge did not provide “clear” reasons for finding that the appellant no longer spoke Somali given that he spent the first seven years’ o</w:t>
      </w:r>
      <w:r w:rsidR="00332953">
        <w:rPr>
          <w:rFonts w:ascii="Book Antiqua" w:hAnsi="Book Antiqua" w:cs="Arial"/>
        </w:rPr>
        <w:t>f his life in Somalia</w:t>
      </w:r>
      <w:r w:rsidR="00F36F98" w:rsidRPr="00F36F98">
        <w:rPr>
          <w:rFonts w:ascii="Book Antiqua" w:hAnsi="Book Antiqua" w:cs="Arial"/>
        </w:rPr>
        <w:t xml:space="preserve"> and could be expected to re-familiarise himself with the language. The grounds also maintained that the decision failed to assess whether the appellant could expect support from his family in the UK to adjust to life in Somalia. The decision did not indicate clearly what weight was placed on the appellant’s mental health, the psy</w:t>
      </w:r>
      <w:r w:rsidR="00AB6909">
        <w:rPr>
          <w:rFonts w:ascii="Book Antiqua" w:hAnsi="Book Antiqua" w:cs="Arial"/>
        </w:rPr>
        <w:t>chology</w:t>
      </w:r>
      <w:r w:rsidR="00F36F98" w:rsidRPr="00F36F98">
        <w:rPr>
          <w:rFonts w:ascii="Book Antiqua" w:hAnsi="Book Antiqua" w:cs="Arial"/>
        </w:rPr>
        <w:t xml:space="preserve"> report being unsupported by current GP records or details of any ongoing medication. The decision was also in error for failing to take into account the appellant had transferable skills, having taken a bricklaying course in detention and having been educated in the UK.  The grounds also maintain</w:t>
      </w:r>
      <w:r w:rsidR="00F36F98">
        <w:rPr>
          <w:rFonts w:ascii="Book Antiqua" w:hAnsi="Book Antiqua" w:cs="Arial"/>
        </w:rPr>
        <w:t>ed</w:t>
      </w:r>
      <w:r w:rsidR="00F36F98" w:rsidRPr="00F36F98">
        <w:rPr>
          <w:rFonts w:ascii="Book Antiqua" w:hAnsi="Book Antiqua" w:cs="Arial"/>
        </w:rPr>
        <w:t xml:space="preserve"> that the First-tier Tribunal failed to consider the assistance that would be available to the appellant from the Facilitated Returns Scheme which would provide the appellant up to £1,500.  </w:t>
      </w:r>
    </w:p>
    <w:p w14:paraId="7D424A12" w14:textId="77777777" w:rsidR="00813F5F" w:rsidRDefault="00004742" w:rsidP="00AA7F44">
      <w:pPr>
        <w:numPr>
          <w:ilvl w:val="0"/>
          <w:numId w:val="1"/>
        </w:numPr>
        <w:tabs>
          <w:tab w:val="clear" w:pos="567"/>
        </w:tabs>
        <w:spacing w:before="240"/>
        <w:jc w:val="both"/>
        <w:rPr>
          <w:rFonts w:ascii="Book Antiqua" w:hAnsi="Book Antiqua" w:cs="Arial"/>
        </w:rPr>
      </w:pPr>
      <w:r>
        <w:rPr>
          <w:rFonts w:ascii="Book Antiqua" w:hAnsi="Book Antiqua" w:cs="Arial"/>
        </w:rPr>
        <w:t>The grounds also object</w:t>
      </w:r>
      <w:r w:rsidR="00F36F98">
        <w:rPr>
          <w:rFonts w:ascii="Book Antiqua" w:hAnsi="Book Antiqua" w:cs="Arial"/>
        </w:rPr>
        <w:t>ed</w:t>
      </w:r>
      <w:r>
        <w:rPr>
          <w:rFonts w:ascii="Book Antiqua" w:hAnsi="Book Antiqua" w:cs="Arial"/>
        </w:rPr>
        <w:t xml:space="preserve"> to the finding in paragraph</w:t>
      </w:r>
      <w:r w:rsidR="00332953">
        <w:rPr>
          <w:rFonts w:ascii="Book Antiqua" w:hAnsi="Book Antiqua" w:cs="Arial"/>
        </w:rPr>
        <w:t>s</w:t>
      </w:r>
      <w:r>
        <w:rPr>
          <w:rFonts w:ascii="Book Antiqua" w:hAnsi="Book Antiqua" w:cs="Arial"/>
        </w:rPr>
        <w:t xml:space="preserve"> 59 </w:t>
      </w:r>
      <w:r w:rsidR="00332953">
        <w:rPr>
          <w:rFonts w:ascii="Book Antiqua" w:hAnsi="Book Antiqua" w:cs="Arial"/>
        </w:rPr>
        <w:t xml:space="preserve">and 60 </w:t>
      </w:r>
      <w:r w:rsidR="00976E52">
        <w:rPr>
          <w:rFonts w:ascii="Book Antiqua" w:hAnsi="Book Antiqua" w:cs="Arial"/>
        </w:rPr>
        <w:t xml:space="preserve">on two recent country reports on Somalia, maintaining that </w:t>
      </w:r>
      <w:r>
        <w:rPr>
          <w:rFonts w:ascii="Book Antiqua" w:hAnsi="Book Antiqua" w:cs="Arial"/>
        </w:rPr>
        <w:t xml:space="preserve">insufficient reasons </w:t>
      </w:r>
      <w:r w:rsidR="00976E52">
        <w:rPr>
          <w:rFonts w:ascii="Book Antiqua" w:hAnsi="Book Antiqua" w:cs="Arial"/>
        </w:rPr>
        <w:t xml:space="preserve">were </w:t>
      </w:r>
      <w:r w:rsidR="00F36F98">
        <w:rPr>
          <w:rFonts w:ascii="Book Antiqua" w:hAnsi="Book Antiqua" w:cs="Arial"/>
        </w:rPr>
        <w:t xml:space="preserve">provided </w:t>
      </w:r>
      <w:r>
        <w:rPr>
          <w:rFonts w:ascii="Book Antiqua" w:hAnsi="Book Antiqua" w:cs="Arial"/>
        </w:rPr>
        <w:t xml:space="preserve">as to </w:t>
      </w:r>
      <w:r w:rsidR="00F36F98">
        <w:rPr>
          <w:rFonts w:ascii="Book Antiqua" w:hAnsi="Book Antiqua" w:cs="Arial"/>
        </w:rPr>
        <w:t xml:space="preserve">how </w:t>
      </w:r>
      <w:proofErr w:type="gramStart"/>
      <w:r>
        <w:rPr>
          <w:rFonts w:ascii="Book Antiqua" w:hAnsi="Book Antiqua" w:cs="Arial"/>
        </w:rPr>
        <w:t xml:space="preserve">the </w:t>
      </w:r>
      <w:r w:rsidR="00976E52">
        <w:rPr>
          <w:rFonts w:ascii="Book Antiqua" w:hAnsi="Book Antiqua" w:cs="Arial"/>
        </w:rPr>
        <w:t>these</w:t>
      </w:r>
      <w:proofErr w:type="gramEnd"/>
      <w:r w:rsidR="00976E52">
        <w:rPr>
          <w:rFonts w:ascii="Book Antiqua" w:hAnsi="Book Antiqua" w:cs="Arial"/>
        </w:rPr>
        <w:t xml:space="preserve"> reports could be capable of </w:t>
      </w:r>
      <w:r>
        <w:rPr>
          <w:rFonts w:ascii="Book Antiqua" w:hAnsi="Book Antiqua" w:cs="Arial"/>
        </w:rPr>
        <w:t xml:space="preserve">distinguishing </w:t>
      </w:r>
      <w:r w:rsidRPr="00FA3F86">
        <w:rPr>
          <w:rFonts w:ascii="Book Antiqua" w:hAnsi="Book Antiqua" w:cs="Arial"/>
          <w:b/>
          <w:u w:val="single"/>
        </w:rPr>
        <w:t>MOJ</w:t>
      </w:r>
      <w:r>
        <w:rPr>
          <w:rFonts w:ascii="Book Antiqua" w:hAnsi="Book Antiqua" w:cs="Arial"/>
        </w:rPr>
        <w:t xml:space="preserve">.  </w:t>
      </w:r>
    </w:p>
    <w:p w14:paraId="7320944A" w14:textId="77777777" w:rsidR="00F36F98" w:rsidRDefault="00696E1D" w:rsidP="00AA7F44">
      <w:pPr>
        <w:numPr>
          <w:ilvl w:val="0"/>
          <w:numId w:val="1"/>
        </w:numPr>
        <w:tabs>
          <w:tab w:val="clear" w:pos="567"/>
        </w:tabs>
        <w:spacing w:before="240"/>
        <w:jc w:val="both"/>
        <w:rPr>
          <w:rFonts w:ascii="Book Antiqua" w:hAnsi="Book Antiqua" w:cs="Arial"/>
        </w:rPr>
      </w:pPr>
      <w:r>
        <w:rPr>
          <w:rFonts w:ascii="Book Antiqua" w:hAnsi="Book Antiqua" w:cs="Arial"/>
        </w:rPr>
        <w:t>It is our</w:t>
      </w:r>
      <w:r w:rsidR="00332953">
        <w:rPr>
          <w:rFonts w:ascii="Book Antiqua" w:hAnsi="Book Antiqua" w:cs="Arial"/>
        </w:rPr>
        <w:t xml:space="preserve"> conclusion</w:t>
      </w:r>
      <w:r>
        <w:rPr>
          <w:rFonts w:ascii="Book Antiqua" w:hAnsi="Book Antiqua" w:cs="Arial"/>
        </w:rPr>
        <w:t xml:space="preserve"> that the challenge to the Article 3 findings of the First-tier Tribunal are, taken at their highest, disagreement and not capable of showing error on a point of law.  </w:t>
      </w:r>
    </w:p>
    <w:p w14:paraId="43E5CF8C" w14:textId="77777777" w:rsidR="00AB6909" w:rsidRDefault="00696E1D" w:rsidP="00AA7F44">
      <w:pPr>
        <w:numPr>
          <w:ilvl w:val="0"/>
          <w:numId w:val="1"/>
        </w:numPr>
        <w:tabs>
          <w:tab w:val="clear" w:pos="567"/>
        </w:tabs>
        <w:spacing w:before="240"/>
        <w:jc w:val="both"/>
        <w:rPr>
          <w:rFonts w:ascii="Book Antiqua" w:hAnsi="Book Antiqua" w:cs="Arial"/>
        </w:rPr>
      </w:pPr>
      <w:r>
        <w:rPr>
          <w:rFonts w:ascii="Book Antiqua" w:hAnsi="Book Antiqua" w:cs="Arial"/>
        </w:rPr>
        <w:t>The undisputed evidence before the</w:t>
      </w:r>
      <w:r w:rsidR="00F36F98">
        <w:rPr>
          <w:rFonts w:ascii="Book Antiqua" w:hAnsi="Book Antiqua" w:cs="Arial"/>
        </w:rPr>
        <w:t xml:space="preserve"> First-Tier</w:t>
      </w:r>
      <w:r>
        <w:rPr>
          <w:rFonts w:ascii="Book Antiqua" w:hAnsi="Book Antiqua" w:cs="Arial"/>
        </w:rPr>
        <w:t xml:space="preserve"> Tribunal was that the appellant</w:t>
      </w:r>
      <w:r w:rsidR="00F36F98">
        <w:rPr>
          <w:rFonts w:ascii="Book Antiqua" w:hAnsi="Book Antiqua" w:cs="Arial"/>
        </w:rPr>
        <w:t xml:space="preserve"> had no relatives in Mogadishu, had</w:t>
      </w:r>
      <w:r>
        <w:rPr>
          <w:rFonts w:ascii="Book Antiqua" w:hAnsi="Book Antiqua" w:cs="Arial"/>
        </w:rPr>
        <w:t xml:space="preserve"> been absent </w:t>
      </w:r>
      <w:r w:rsidR="008000BF">
        <w:rPr>
          <w:rFonts w:ascii="Book Antiqua" w:hAnsi="Book Antiqua" w:cs="Arial"/>
        </w:rPr>
        <w:t xml:space="preserve">from Somalia </w:t>
      </w:r>
      <w:r w:rsidR="009C2E23">
        <w:rPr>
          <w:rFonts w:ascii="Book Antiqua" w:hAnsi="Book Antiqua" w:cs="Arial"/>
        </w:rPr>
        <w:t xml:space="preserve">since the age of 8, would not be able to call on his minority clan members to support him, </w:t>
      </w:r>
      <w:r w:rsidR="00F36F98">
        <w:rPr>
          <w:rFonts w:ascii="Book Antiqua" w:hAnsi="Book Antiqua" w:cs="Arial"/>
        </w:rPr>
        <w:t>had a highly disrupted upbringing in the UK, living in various care settings after significant neglect by family members</w:t>
      </w:r>
      <w:r w:rsidR="009C2E23">
        <w:rPr>
          <w:rFonts w:ascii="Book Antiqua" w:hAnsi="Book Antiqua" w:cs="Arial"/>
        </w:rPr>
        <w:t>, had limited education as a result</w:t>
      </w:r>
      <w:r w:rsidR="00F36F98">
        <w:rPr>
          <w:rFonts w:ascii="Book Antiqua" w:hAnsi="Book Antiqua" w:cs="Arial"/>
        </w:rPr>
        <w:t>, had not worked in the UK and had</w:t>
      </w:r>
      <w:r w:rsidR="009C2E23">
        <w:rPr>
          <w:rFonts w:ascii="Book Antiqua" w:hAnsi="Book Antiqua" w:cs="Arial"/>
        </w:rPr>
        <w:t xml:space="preserve"> limi</w:t>
      </w:r>
      <w:r w:rsidR="008000BF">
        <w:rPr>
          <w:rFonts w:ascii="Book Antiqua" w:hAnsi="Book Antiqua" w:cs="Arial"/>
        </w:rPr>
        <w:t>ted relationships with his</w:t>
      </w:r>
      <w:r w:rsidR="009C2E23">
        <w:rPr>
          <w:rFonts w:ascii="Book Antiqua" w:hAnsi="Book Antiqua" w:cs="Arial"/>
        </w:rPr>
        <w:t xml:space="preserve"> Somali relatives</w:t>
      </w:r>
      <w:r w:rsidR="008000BF">
        <w:rPr>
          <w:rFonts w:ascii="Book Antiqua" w:hAnsi="Book Antiqua" w:cs="Arial"/>
        </w:rPr>
        <w:t>, other than his younger brother</w:t>
      </w:r>
      <w:r w:rsidR="00AB6909">
        <w:rPr>
          <w:rFonts w:ascii="Book Antiqua" w:hAnsi="Book Antiqua" w:cs="Arial"/>
        </w:rPr>
        <w:t xml:space="preserve">. </w:t>
      </w:r>
    </w:p>
    <w:p w14:paraId="625800A7" w14:textId="7F8BDCB1" w:rsidR="00F269AF" w:rsidRDefault="00AB6909" w:rsidP="00AB6909">
      <w:pPr>
        <w:numPr>
          <w:ilvl w:val="0"/>
          <w:numId w:val="1"/>
        </w:numPr>
        <w:tabs>
          <w:tab w:val="clear" w:pos="567"/>
        </w:tabs>
        <w:spacing w:before="240"/>
        <w:jc w:val="both"/>
        <w:rPr>
          <w:rFonts w:ascii="Book Antiqua" w:hAnsi="Book Antiqua" w:cs="Arial"/>
        </w:rPr>
      </w:pPr>
      <w:r>
        <w:rPr>
          <w:rFonts w:ascii="Book Antiqua" w:hAnsi="Book Antiqua" w:cs="Arial"/>
        </w:rPr>
        <w:t>These factors appeared to us to make it eminently open to the First-Tier Tribunal to find that this appellant was likely to come within the risk category identified in paragraph</w:t>
      </w:r>
      <w:r w:rsidR="003F4E91">
        <w:rPr>
          <w:rFonts w:ascii="Book Antiqua" w:hAnsi="Book Antiqua" w:cs="Arial"/>
        </w:rPr>
        <w:t>s (xi) and</w:t>
      </w:r>
      <w:r>
        <w:rPr>
          <w:rFonts w:ascii="Book Antiqua" w:hAnsi="Book Antiqua" w:cs="Arial"/>
        </w:rPr>
        <w:t xml:space="preserve"> (xii) of </w:t>
      </w:r>
      <w:r w:rsidR="003F4E91">
        <w:rPr>
          <w:rFonts w:ascii="Book Antiqua" w:hAnsi="Book Antiqua" w:cs="Arial"/>
        </w:rPr>
        <w:t xml:space="preserve">the head note of </w:t>
      </w:r>
      <w:r w:rsidRPr="00AB6909">
        <w:rPr>
          <w:rFonts w:ascii="Book Antiqua" w:hAnsi="Book Antiqua" w:cs="Arial"/>
          <w:b/>
          <w:u w:val="single"/>
        </w:rPr>
        <w:t>MOJ</w:t>
      </w:r>
      <w:r>
        <w:rPr>
          <w:rFonts w:ascii="Book Antiqua" w:hAnsi="Book Antiqua" w:cs="Arial"/>
        </w:rPr>
        <w:t>. Given the evidence on the amount of time that he has been in the UK, the mistreatment he experienced from his Somali relatives and his having lived from the age of thirteen in an English environment, the conclusion that he no longer speaks</w:t>
      </w:r>
      <w:r w:rsidR="00332953">
        <w:rPr>
          <w:rFonts w:ascii="Book Antiqua" w:hAnsi="Book Antiqua" w:cs="Arial"/>
        </w:rPr>
        <w:t xml:space="preserve"> or understands</w:t>
      </w:r>
      <w:r>
        <w:rPr>
          <w:rFonts w:ascii="Book Antiqua" w:hAnsi="Book Antiqua" w:cs="Arial"/>
        </w:rPr>
        <w:t xml:space="preserve"> Somali or follows the Muslim faith and is estranged from his Somali culture was rational. This aspect of the appellant’s claim was supported by</w:t>
      </w:r>
      <w:r w:rsidR="000D3529">
        <w:rPr>
          <w:rFonts w:ascii="Book Antiqua" w:hAnsi="Book Antiqua" w:cs="Arial"/>
        </w:rPr>
        <w:t xml:space="preserve"> </w:t>
      </w:r>
      <w:r w:rsidR="00F269AF">
        <w:rPr>
          <w:rFonts w:ascii="Book Antiqua" w:hAnsi="Book Antiqua" w:cs="Arial"/>
        </w:rPr>
        <w:t xml:space="preserve">other </w:t>
      </w:r>
      <w:r w:rsidR="000D3529">
        <w:rPr>
          <w:rFonts w:ascii="Book Antiqua" w:hAnsi="Book Antiqua" w:cs="Arial"/>
        </w:rPr>
        <w:t>witness</w:t>
      </w:r>
      <w:r>
        <w:rPr>
          <w:rFonts w:ascii="Book Antiqua" w:hAnsi="Book Antiqua" w:cs="Arial"/>
        </w:rPr>
        <w:t xml:space="preserve">es, </w:t>
      </w:r>
      <w:r w:rsidR="00F269AF">
        <w:rPr>
          <w:rFonts w:ascii="Book Antiqua" w:hAnsi="Book Antiqua" w:cs="Arial"/>
        </w:rPr>
        <w:t xml:space="preserve">for example </w:t>
      </w:r>
      <w:r>
        <w:rPr>
          <w:rFonts w:ascii="Book Antiqua" w:hAnsi="Book Antiqua" w:cs="Arial"/>
        </w:rPr>
        <w:t xml:space="preserve">Mr </w:t>
      </w:r>
      <w:r w:rsidR="009E5F59">
        <w:rPr>
          <w:rFonts w:ascii="Book Antiqua" w:hAnsi="Book Antiqua" w:cs="Arial"/>
        </w:rPr>
        <w:t>[</w:t>
      </w:r>
      <w:r>
        <w:rPr>
          <w:rFonts w:ascii="Book Antiqua" w:hAnsi="Book Antiqua" w:cs="Arial"/>
        </w:rPr>
        <w:t>J</w:t>
      </w:r>
      <w:r w:rsidR="009E5F59">
        <w:rPr>
          <w:rFonts w:ascii="Book Antiqua" w:hAnsi="Book Antiqua" w:cs="Arial"/>
        </w:rPr>
        <w:t xml:space="preserve">] </w:t>
      </w:r>
      <w:r w:rsidR="00F269AF">
        <w:rPr>
          <w:rFonts w:ascii="Book Antiqua" w:hAnsi="Book Antiqua" w:cs="Arial"/>
        </w:rPr>
        <w:t xml:space="preserve">and former foster carers as well as Social Services records (see paragraph 57). </w:t>
      </w:r>
      <w:r w:rsidR="008000BF">
        <w:rPr>
          <w:rFonts w:ascii="Book Antiqua" w:hAnsi="Book Antiqua" w:cs="Arial"/>
        </w:rPr>
        <w:t xml:space="preserve">Nothing in the evidence before the First-Tier Tribunal suggested </w:t>
      </w:r>
      <w:r w:rsidR="003F4E91">
        <w:rPr>
          <w:rFonts w:ascii="Book Antiqua" w:hAnsi="Book Antiqua" w:cs="Arial"/>
        </w:rPr>
        <w:t xml:space="preserve">other than that he has limited relationships with his Somali relatives apart from his younger brother who was not in a position to provide much </w:t>
      </w:r>
      <w:r w:rsidR="00332953">
        <w:rPr>
          <w:rFonts w:ascii="Book Antiqua" w:hAnsi="Book Antiqua" w:cs="Arial"/>
        </w:rPr>
        <w:t xml:space="preserve">financial </w:t>
      </w:r>
      <w:r w:rsidR="003F4E91">
        <w:rPr>
          <w:rFonts w:ascii="Book Antiqua" w:hAnsi="Book Antiqua" w:cs="Arial"/>
        </w:rPr>
        <w:t>support from his pizza delivery work. It did not appear to us that the family circumstances here made it at all realistic that relatives would return to Somalia with the appellant in order to assist him to re-establish himself there</w:t>
      </w:r>
      <w:r w:rsidR="00332953">
        <w:rPr>
          <w:rFonts w:ascii="Book Antiqua" w:hAnsi="Book Antiqua" w:cs="Arial"/>
        </w:rPr>
        <w:t>, as suggested in the grounds</w:t>
      </w:r>
      <w:r w:rsidR="003F4E91">
        <w:rPr>
          <w:rFonts w:ascii="Book Antiqua" w:hAnsi="Book Antiqua" w:cs="Arial"/>
        </w:rPr>
        <w:t xml:space="preserve">. </w:t>
      </w:r>
      <w:r w:rsidR="00AB5738">
        <w:rPr>
          <w:rFonts w:ascii="Book Antiqua" w:hAnsi="Book Antiqua" w:cs="Arial"/>
        </w:rPr>
        <w:t>We did not find the fact of the appellant having taken a brick-laying course whilst in detention was something that could be material in assisting him to support himself in Somalia in the context of his lack of clan or family support</w:t>
      </w:r>
      <w:r w:rsidR="00332953">
        <w:rPr>
          <w:rFonts w:ascii="Book Antiqua" w:hAnsi="Book Antiqua" w:cs="Arial"/>
        </w:rPr>
        <w:t xml:space="preserve"> and any </w:t>
      </w:r>
      <w:r w:rsidR="00332953">
        <w:rPr>
          <w:rFonts w:ascii="Book Antiqua" w:hAnsi="Book Antiqua" w:cs="Arial"/>
        </w:rPr>
        <w:lastRenderedPageBreak/>
        <w:t>work experience</w:t>
      </w:r>
      <w:r w:rsidR="00AB5738">
        <w:rPr>
          <w:rFonts w:ascii="Book Antiqua" w:hAnsi="Book Antiqua" w:cs="Arial"/>
        </w:rPr>
        <w:t xml:space="preserve">. The </w:t>
      </w:r>
      <w:r w:rsidR="00AB5738" w:rsidRPr="00F36F98">
        <w:rPr>
          <w:rFonts w:ascii="Book Antiqua" w:hAnsi="Book Antiqua" w:cs="Arial"/>
        </w:rPr>
        <w:t>Facilitated Returns Scheme</w:t>
      </w:r>
      <w:r w:rsidR="00AB5738">
        <w:rPr>
          <w:rFonts w:ascii="Book Antiqua" w:hAnsi="Book Antiqua" w:cs="Arial"/>
        </w:rPr>
        <w:t xml:space="preserve"> could not provide the “ongoing financial support” identified as necessary in </w:t>
      </w:r>
      <w:r w:rsidR="00AB5738" w:rsidRPr="00AB5738">
        <w:rPr>
          <w:rFonts w:ascii="Book Antiqua" w:hAnsi="Book Antiqua" w:cs="Arial"/>
          <w:b/>
          <w:u w:val="single"/>
        </w:rPr>
        <w:t>MOJ</w:t>
      </w:r>
      <w:r w:rsidR="00AB5738">
        <w:rPr>
          <w:rFonts w:ascii="Book Antiqua" w:hAnsi="Book Antiqua" w:cs="Arial"/>
        </w:rPr>
        <w:t xml:space="preserve"> for someone as isolated as this appellant.</w:t>
      </w:r>
    </w:p>
    <w:p w14:paraId="651DFBDB" w14:textId="77777777" w:rsidR="00AB5738" w:rsidRDefault="00555353" w:rsidP="00555353">
      <w:pPr>
        <w:numPr>
          <w:ilvl w:val="0"/>
          <w:numId w:val="1"/>
        </w:numPr>
        <w:tabs>
          <w:tab w:val="clear" w:pos="567"/>
        </w:tabs>
        <w:spacing w:before="240"/>
        <w:jc w:val="both"/>
        <w:rPr>
          <w:rFonts w:ascii="Book Antiqua" w:hAnsi="Book Antiqua" w:cs="Arial"/>
        </w:rPr>
      </w:pPr>
      <w:r>
        <w:rPr>
          <w:rFonts w:ascii="Book Antiqua" w:hAnsi="Book Antiqua" w:cs="Arial"/>
        </w:rPr>
        <w:t xml:space="preserve">The grounds do not </w:t>
      </w:r>
      <w:r w:rsidR="006C12E8">
        <w:rPr>
          <w:rFonts w:ascii="Book Antiqua" w:hAnsi="Book Antiqua" w:cs="Arial"/>
        </w:rPr>
        <w:t xml:space="preserve">make a specific challenge to the contents of the psychology report of Dr Boucher as being inaccurate or unreliable or </w:t>
      </w:r>
      <w:r>
        <w:rPr>
          <w:rFonts w:ascii="Book Antiqua" w:hAnsi="Book Antiqua" w:cs="Arial"/>
        </w:rPr>
        <w:t xml:space="preserve">suggest that the summary </w:t>
      </w:r>
      <w:r w:rsidR="00332953">
        <w:rPr>
          <w:rFonts w:ascii="Book Antiqua" w:hAnsi="Book Antiqua" w:cs="Arial"/>
        </w:rPr>
        <w:t xml:space="preserve">of the report </w:t>
      </w:r>
      <w:r w:rsidR="00AB5738">
        <w:rPr>
          <w:rFonts w:ascii="Book Antiqua" w:hAnsi="Book Antiqua" w:cs="Arial"/>
        </w:rPr>
        <w:t xml:space="preserve">in paragraphs 26 to 30 of the </w:t>
      </w:r>
      <w:r w:rsidR="006C12E8">
        <w:rPr>
          <w:rFonts w:ascii="Book Antiqua" w:hAnsi="Book Antiqua" w:cs="Arial"/>
        </w:rPr>
        <w:t xml:space="preserve">First-Tier Tribunal’s </w:t>
      </w:r>
      <w:r w:rsidR="00AB5738">
        <w:rPr>
          <w:rFonts w:ascii="Book Antiqua" w:hAnsi="Book Antiqua" w:cs="Arial"/>
        </w:rPr>
        <w:t xml:space="preserve">decision </w:t>
      </w:r>
      <w:r w:rsidR="006C12E8">
        <w:rPr>
          <w:rFonts w:ascii="Book Antiqua" w:hAnsi="Book Antiqua" w:cs="Arial"/>
        </w:rPr>
        <w:t>was inaccurate</w:t>
      </w:r>
      <w:r>
        <w:rPr>
          <w:rFonts w:ascii="Book Antiqua" w:hAnsi="Book Antiqua" w:cs="Arial"/>
        </w:rPr>
        <w:t xml:space="preserve">. The report was relatively recent, prepared </w:t>
      </w:r>
      <w:r w:rsidR="0071053A">
        <w:rPr>
          <w:rFonts w:ascii="Book Antiqua" w:hAnsi="Book Antiqua" w:cs="Arial"/>
        </w:rPr>
        <w:t>in 2017</w:t>
      </w:r>
      <w:r w:rsidR="002A72D5">
        <w:rPr>
          <w:rFonts w:ascii="Book Antiqua" w:hAnsi="Book Antiqua" w:cs="Arial"/>
        </w:rPr>
        <w:t>,</w:t>
      </w:r>
      <w:r w:rsidR="0071053A">
        <w:rPr>
          <w:rFonts w:ascii="Book Antiqua" w:hAnsi="Book Antiqua" w:cs="Arial"/>
        </w:rPr>
        <w:t xml:space="preserve"> </w:t>
      </w:r>
      <w:r>
        <w:rPr>
          <w:rFonts w:ascii="Book Antiqua" w:hAnsi="Book Antiqua" w:cs="Arial"/>
        </w:rPr>
        <w:t xml:space="preserve">and there was no requirement for it to be supported by GP records in order to be afforded weight. </w:t>
      </w:r>
      <w:r w:rsidR="0071053A">
        <w:rPr>
          <w:rFonts w:ascii="Book Antiqua" w:hAnsi="Book Antiqua" w:cs="Arial"/>
        </w:rPr>
        <w:t>The First-tier Tribunal does not suggest that the appellant’s mental health in its</w:t>
      </w:r>
      <w:r w:rsidR="00AB5738">
        <w:rPr>
          <w:rFonts w:ascii="Book Antiqua" w:hAnsi="Book Antiqua" w:cs="Arial"/>
        </w:rPr>
        <w:t>elf showed an Article 3 risk but</w:t>
      </w:r>
      <w:r w:rsidR="0071053A">
        <w:rPr>
          <w:rFonts w:ascii="Book Antiqua" w:hAnsi="Book Antiqua" w:cs="Arial"/>
        </w:rPr>
        <w:t xml:space="preserve"> </w:t>
      </w:r>
      <w:r w:rsidR="00AB5738">
        <w:rPr>
          <w:rFonts w:ascii="Book Antiqua" w:hAnsi="Book Antiqua" w:cs="Arial"/>
        </w:rPr>
        <w:t>only</w:t>
      </w:r>
      <w:r w:rsidR="0071053A">
        <w:rPr>
          <w:rFonts w:ascii="Book Antiqua" w:hAnsi="Book Antiqua" w:cs="Arial"/>
        </w:rPr>
        <w:t xml:space="preserve"> identifies it </w:t>
      </w:r>
      <w:r w:rsidR="00AB5738">
        <w:rPr>
          <w:rFonts w:ascii="Book Antiqua" w:hAnsi="Book Antiqua" w:cs="Arial"/>
        </w:rPr>
        <w:t xml:space="preserve">in paragraph 58 </w:t>
      </w:r>
      <w:r w:rsidR="00332953">
        <w:rPr>
          <w:rFonts w:ascii="Book Antiqua" w:hAnsi="Book Antiqua" w:cs="Arial"/>
        </w:rPr>
        <w:t>as something which would</w:t>
      </w:r>
      <w:r w:rsidR="0071053A">
        <w:rPr>
          <w:rFonts w:ascii="Book Antiqua" w:hAnsi="Book Antiqua" w:cs="Arial"/>
        </w:rPr>
        <w:t xml:space="preserve"> make the appellant “more vulnerable”</w:t>
      </w:r>
      <w:r w:rsidR="002A72D5">
        <w:rPr>
          <w:rFonts w:ascii="Book Antiqua" w:hAnsi="Book Antiqua" w:cs="Arial"/>
        </w:rPr>
        <w:t>. That is</w:t>
      </w:r>
      <w:r w:rsidR="0071053A">
        <w:rPr>
          <w:rFonts w:ascii="Book Antiqua" w:hAnsi="Book Antiqua" w:cs="Arial"/>
        </w:rPr>
        <w:t xml:space="preserve"> a </w:t>
      </w:r>
      <w:r w:rsidR="002A72D5">
        <w:rPr>
          <w:rFonts w:ascii="Book Antiqua" w:hAnsi="Book Antiqua" w:cs="Arial"/>
        </w:rPr>
        <w:t xml:space="preserve">finding </w:t>
      </w:r>
      <w:r w:rsidR="0071053A">
        <w:rPr>
          <w:rFonts w:ascii="Book Antiqua" w:hAnsi="Book Antiqua" w:cs="Arial"/>
        </w:rPr>
        <w:t xml:space="preserve">which was </w:t>
      </w:r>
      <w:r w:rsidR="002A72D5">
        <w:rPr>
          <w:rFonts w:ascii="Book Antiqua" w:hAnsi="Book Antiqua" w:cs="Arial"/>
        </w:rPr>
        <w:t xml:space="preserve">open to the judge </w:t>
      </w:r>
      <w:r w:rsidR="0071053A">
        <w:rPr>
          <w:rFonts w:ascii="Book Antiqua" w:hAnsi="Book Antiqua" w:cs="Arial"/>
        </w:rPr>
        <w:t xml:space="preserve">on the material before her.  </w:t>
      </w:r>
      <w:r w:rsidR="00AB5738">
        <w:rPr>
          <w:rFonts w:ascii="Book Antiqua" w:hAnsi="Book Antiqua" w:cs="Arial"/>
        </w:rPr>
        <w:t xml:space="preserve">It was also our view that even without mental health being a factor, the other aspects of the appellant’s profile identified by the First-Tier Tribunal still brought him within the risk categories set out in </w:t>
      </w:r>
      <w:r w:rsidR="00AB5738" w:rsidRPr="00AB5738">
        <w:rPr>
          <w:rFonts w:ascii="Book Antiqua" w:hAnsi="Book Antiqua" w:cs="Arial"/>
          <w:b/>
          <w:u w:val="single"/>
        </w:rPr>
        <w:t>MOJ</w:t>
      </w:r>
      <w:r w:rsidR="00AB5738">
        <w:rPr>
          <w:rFonts w:ascii="Book Antiqua" w:hAnsi="Book Antiqua" w:cs="Arial"/>
        </w:rPr>
        <w:t>.</w:t>
      </w:r>
    </w:p>
    <w:p w14:paraId="4A53DDB2" w14:textId="77777777" w:rsidR="00704B49" w:rsidRDefault="00494BDA" w:rsidP="00555353">
      <w:pPr>
        <w:numPr>
          <w:ilvl w:val="0"/>
          <w:numId w:val="1"/>
        </w:numPr>
        <w:tabs>
          <w:tab w:val="clear" w:pos="567"/>
        </w:tabs>
        <w:spacing w:before="240"/>
        <w:jc w:val="both"/>
        <w:rPr>
          <w:rFonts w:ascii="Book Antiqua" w:hAnsi="Book Antiqua" w:cs="Arial"/>
        </w:rPr>
      </w:pPr>
      <w:r>
        <w:rPr>
          <w:rFonts w:ascii="Book Antiqua" w:hAnsi="Book Antiqua" w:cs="Arial"/>
        </w:rPr>
        <w:t xml:space="preserve">In paragraph </w:t>
      </w:r>
      <w:r w:rsidR="00832EEA">
        <w:rPr>
          <w:rFonts w:ascii="Book Antiqua" w:hAnsi="Book Antiqua" w:cs="Arial"/>
        </w:rPr>
        <w:t>59 of the decision</w:t>
      </w:r>
      <w:r w:rsidR="00332953">
        <w:rPr>
          <w:rFonts w:ascii="Book Antiqua" w:hAnsi="Book Antiqua" w:cs="Arial"/>
        </w:rPr>
        <w:t>,</w:t>
      </w:r>
      <w:r w:rsidR="00832EEA">
        <w:rPr>
          <w:rFonts w:ascii="Book Antiqua" w:hAnsi="Book Antiqua" w:cs="Arial"/>
        </w:rPr>
        <w:t xml:space="preserve"> the </w:t>
      </w:r>
      <w:r w:rsidR="00704B49">
        <w:rPr>
          <w:rFonts w:ascii="Book Antiqua" w:hAnsi="Book Antiqua" w:cs="Arial"/>
        </w:rPr>
        <w:t xml:space="preserve">First-tier Tribunal </w:t>
      </w:r>
      <w:r w:rsidR="00832EEA">
        <w:rPr>
          <w:rFonts w:ascii="Book Antiqua" w:hAnsi="Book Antiqua" w:cs="Arial"/>
        </w:rPr>
        <w:t xml:space="preserve">set out a clear finding that the </w:t>
      </w:r>
      <w:r w:rsidR="00704B49">
        <w:rPr>
          <w:rFonts w:ascii="Book Antiqua" w:hAnsi="Book Antiqua" w:cs="Arial"/>
        </w:rPr>
        <w:t>appellant c</w:t>
      </w:r>
      <w:r w:rsidR="00832EEA">
        <w:rPr>
          <w:rFonts w:ascii="Book Antiqua" w:hAnsi="Book Antiqua" w:cs="Arial"/>
        </w:rPr>
        <w:t>ame</w:t>
      </w:r>
      <w:r w:rsidR="00704B49">
        <w:rPr>
          <w:rFonts w:ascii="Book Antiqua" w:hAnsi="Book Antiqua" w:cs="Arial"/>
        </w:rPr>
        <w:t xml:space="preserve"> within the ratio of </w:t>
      </w:r>
      <w:r w:rsidR="00704B49" w:rsidRPr="00C74BC6">
        <w:rPr>
          <w:rFonts w:ascii="Book Antiqua" w:hAnsi="Book Antiqua" w:cs="Arial"/>
          <w:b/>
          <w:u w:val="single"/>
        </w:rPr>
        <w:t>MOJ</w:t>
      </w:r>
      <w:r w:rsidR="00832EEA" w:rsidRPr="00832EEA">
        <w:rPr>
          <w:rFonts w:ascii="Book Antiqua" w:hAnsi="Book Antiqua" w:cs="Arial"/>
        </w:rPr>
        <w:t xml:space="preserve">. </w:t>
      </w:r>
      <w:r w:rsidR="00704B49">
        <w:rPr>
          <w:rFonts w:ascii="Book Antiqua" w:hAnsi="Book Antiqua" w:cs="Arial"/>
        </w:rPr>
        <w:t xml:space="preserve"> </w:t>
      </w:r>
      <w:r w:rsidR="00832EEA">
        <w:rPr>
          <w:rFonts w:ascii="Book Antiqua" w:hAnsi="Book Antiqua" w:cs="Arial"/>
        </w:rPr>
        <w:t xml:space="preserve">For the reasons set out above, we found that to be a sustainable finding. </w:t>
      </w:r>
      <w:r w:rsidR="00C82619">
        <w:rPr>
          <w:rFonts w:ascii="Book Antiqua" w:hAnsi="Book Antiqua" w:cs="Arial"/>
        </w:rPr>
        <w:t>It is not</w:t>
      </w:r>
      <w:r w:rsidR="00832EEA">
        <w:rPr>
          <w:rFonts w:ascii="Book Antiqua" w:hAnsi="Book Antiqua" w:cs="Arial"/>
        </w:rPr>
        <w:t xml:space="preserve"> material, therefore, that the decision goes on to comment on </w:t>
      </w:r>
      <w:r w:rsidR="00704B49">
        <w:rPr>
          <w:rFonts w:ascii="Book Antiqua" w:hAnsi="Book Antiqua" w:cs="Arial"/>
        </w:rPr>
        <w:t xml:space="preserve">the more recent evidence of Mr </w:t>
      </w:r>
      <w:proofErr w:type="spellStart"/>
      <w:r w:rsidR="00704B49">
        <w:rPr>
          <w:rFonts w:ascii="Book Antiqua" w:hAnsi="Book Antiqua" w:cs="Arial"/>
        </w:rPr>
        <w:t>Menkhaus</w:t>
      </w:r>
      <w:proofErr w:type="spellEnd"/>
      <w:r w:rsidR="00704B49">
        <w:rPr>
          <w:rFonts w:ascii="Book Antiqua" w:hAnsi="Book Antiqua" w:cs="Arial"/>
        </w:rPr>
        <w:t xml:space="preserve"> and Dr Hammond</w:t>
      </w:r>
      <w:r w:rsidR="00C82619">
        <w:rPr>
          <w:rFonts w:ascii="Book Antiqua" w:hAnsi="Book Antiqua" w:cs="Arial"/>
        </w:rPr>
        <w:t xml:space="preserve"> on</w:t>
      </w:r>
      <w:r w:rsidR="00832EEA">
        <w:rPr>
          <w:rFonts w:ascii="Book Antiqua" w:hAnsi="Book Antiqua" w:cs="Arial"/>
        </w:rPr>
        <w:t xml:space="preserve"> deteriorating conditions in Mogadishu</w:t>
      </w:r>
      <w:r w:rsidR="00C82619">
        <w:rPr>
          <w:rFonts w:ascii="Book Antiqua" w:hAnsi="Book Antiqua" w:cs="Arial"/>
        </w:rPr>
        <w:t xml:space="preserve">, showing a heightened risk of Article 3 mistreatment </w:t>
      </w:r>
      <w:r w:rsidR="00832EEA">
        <w:rPr>
          <w:rFonts w:ascii="Book Antiqua" w:hAnsi="Book Antiqua" w:cs="Arial"/>
        </w:rPr>
        <w:t>beyond th</w:t>
      </w:r>
      <w:r w:rsidR="00C82619">
        <w:rPr>
          <w:rFonts w:ascii="Book Antiqua" w:hAnsi="Book Antiqua" w:cs="Arial"/>
        </w:rPr>
        <w:t>at</w:t>
      </w:r>
      <w:r w:rsidR="00832EEA">
        <w:rPr>
          <w:rFonts w:ascii="Book Antiqua" w:hAnsi="Book Antiqua" w:cs="Arial"/>
        </w:rPr>
        <w:t xml:space="preserve"> identified in </w:t>
      </w:r>
      <w:r w:rsidR="00832EEA" w:rsidRPr="00832EEA">
        <w:rPr>
          <w:rFonts w:ascii="Book Antiqua" w:hAnsi="Book Antiqua" w:cs="Arial"/>
          <w:b/>
          <w:u w:val="single"/>
        </w:rPr>
        <w:t>MOJ</w:t>
      </w:r>
      <w:r w:rsidR="00704B49">
        <w:rPr>
          <w:rFonts w:ascii="Book Antiqua" w:hAnsi="Book Antiqua" w:cs="Arial"/>
        </w:rPr>
        <w:t xml:space="preserve">.  </w:t>
      </w:r>
    </w:p>
    <w:p w14:paraId="0E6CC70A" w14:textId="77777777" w:rsidR="001163DF" w:rsidRDefault="001163DF" w:rsidP="00AA7F44">
      <w:pPr>
        <w:numPr>
          <w:ilvl w:val="0"/>
          <w:numId w:val="1"/>
        </w:numPr>
        <w:tabs>
          <w:tab w:val="clear" w:pos="567"/>
        </w:tabs>
        <w:spacing w:before="240"/>
        <w:jc w:val="both"/>
        <w:rPr>
          <w:rFonts w:ascii="Book Antiqua" w:hAnsi="Book Antiqua" w:cs="Arial"/>
        </w:rPr>
      </w:pPr>
      <w:r>
        <w:rPr>
          <w:rFonts w:ascii="Book Antiqua" w:hAnsi="Book Antiqua" w:cs="Arial"/>
        </w:rPr>
        <w:t>For these reasons we find that the decision of the First-tier Tribunal that the appellant’s appeal succeeded under Article 3 ECHR do</w:t>
      </w:r>
      <w:r w:rsidR="00396E05">
        <w:rPr>
          <w:rFonts w:ascii="Book Antiqua" w:hAnsi="Book Antiqua" w:cs="Arial"/>
        </w:rPr>
        <w:t>es</w:t>
      </w:r>
      <w:r>
        <w:rPr>
          <w:rFonts w:ascii="Book Antiqua" w:hAnsi="Book Antiqua" w:cs="Arial"/>
        </w:rPr>
        <w:t xml:space="preserve"> not dis</w:t>
      </w:r>
      <w:r w:rsidR="00396E05">
        <w:rPr>
          <w:rFonts w:ascii="Book Antiqua" w:hAnsi="Book Antiqua" w:cs="Arial"/>
        </w:rPr>
        <w:t xml:space="preserve">close legal error. </w:t>
      </w:r>
    </w:p>
    <w:p w14:paraId="7E1C8825" w14:textId="77777777" w:rsidR="001163DF" w:rsidRDefault="00832EEA"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Whilst we </w:t>
      </w:r>
      <w:r w:rsidR="001163DF">
        <w:rPr>
          <w:rFonts w:ascii="Book Antiqua" w:hAnsi="Book Antiqua" w:cs="Arial"/>
        </w:rPr>
        <w:t>see some force in the respondent’s argument</w:t>
      </w:r>
      <w:r>
        <w:rPr>
          <w:rFonts w:ascii="Book Antiqua" w:hAnsi="Book Antiqua" w:cs="Arial"/>
        </w:rPr>
        <w:t xml:space="preserve"> that the First-tier Tribunal did not assess whether the appellant’s extensive criminal behaviour was capable of preventing him from having </w:t>
      </w:r>
      <w:r w:rsidR="001163DF">
        <w:rPr>
          <w:rFonts w:ascii="Book Antiqua" w:hAnsi="Book Antiqua" w:cs="Arial"/>
        </w:rPr>
        <w:t xml:space="preserve">socially and culturally </w:t>
      </w:r>
      <w:r>
        <w:rPr>
          <w:rFonts w:ascii="Book Antiqua" w:hAnsi="Book Antiqua" w:cs="Arial"/>
        </w:rPr>
        <w:t>integrated i</w:t>
      </w:r>
      <w:r w:rsidR="001163DF">
        <w:rPr>
          <w:rFonts w:ascii="Book Antiqua" w:hAnsi="Book Antiqua" w:cs="Arial"/>
        </w:rPr>
        <w:t xml:space="preserve">nto the </w:t>
      </w:r>
      <w:proofErr w:type="gramStart"/>
      <w:r w:rsidR="001163DF">
        <w:rPr>
          <w:rFonts w:ascii="Book Antiqua" w:hAnsi="Book Antiqua" w:cs="Arial"/>
        </w:rPr>
        <w:t>UK</w:t>
      </w:r>
      <w:r>
        <w:rPr>
          <w:rFonts w:ascii="Book Antiqua" w:hAnsi="Book Antiqua" w:cs="Arial"/>
        </w:rPr>
        <w:t xml:space="preserve">, </w:t>
      </w:r>
      <w:r w:rsidR="001163DF">
        <w:rPr>
          <w:rFonts w:ascii="Book Antiqua" w:hAnsi="Book Antiqua" w:cs="Arial"/>
        </w:rPr>
        <w:t xml:space="preserve"> </w:t>
      </w:r>
      <w:r>
        <w:rPr>
          <w:rFonts w:ascii="Book Antiqua" w:hAnsi="Book Antiqua" w:cs="Arial"/>
        </w:rPr>
        <w:t>as</w:t>
      </w:r>
      <w:proofErr w:type="gramEnd"/>
      <w:r>
        <w:rPr>
          <w:rFonts w:ascii="Book Antiqua" w:hAnsi="Book Antiqua" w:cs="Arial"/>
        </w:rPr>
        <w:t xml:space="preserve"> </w:t>
      </w:r>
      <w:r w:rsidR="001163DF">
        <w:rPr>
          <w:rFonts w:ascii="Book Antiqua" w:hAnsi="Book Antiqua" w:cs="Arial"/>
        </w:rPr>
        <w:t xml:space="preserve">we have found that the Article 3 ECHR claim must succeed, any error in the Article 8 ECHR </w:t>
      </w:r>
      <w:r>
        <w:rPr>
          <w:rFonts w:ascii="Book Antiqua" w:hAnsi="Book Antiqua" w:cs="Arial"/>
        </w:rPr>
        <w:t xml:space="preserve">decision cannot </w:t>
      </w:r>
      <w:r w:rsidR="001163DF">
        <w:rPr>
          <w:rFonts w:ascii="Book Antiqua" w:hAnsi="Book Antiqua" w:cs="Arial"/>
        </w:rPr>
        <w:t xml:space="preserve">lead to a materially different outcome of the appeal and </w:t>
      </w:r>
      <w:r>
        <w:rPr>
          <w:rFonts w:ascii="Book Antiqua" w:hAnsi="Book Antiqua" w:cs="Arial"/>
        </w:rPr>
        <w:t>we therefore take this ground</w:t>
      </w:r>
      <w:r w:rsidR="001163DF">
        <w:rPr>
          <w:rFonts w:ascii="Book Antiqua" w:hAnsi="Book Antiqua" w:cs="Arial"/>
        </w:rPr>
        <w:t xml:space="preserve"> no further.  </w:t>
      </w:r>
    </w:p>
    <w:p w14:paraId="279FF884" w14:textId="77777777" w:rsidR="007C61CF" w:rsidRDefault="007C61CF" w:rsidP="007C61CF">
      <w:pPr>
        <w:jc w:val="both"/>
        <w:rPr>
          <w:rFonts w:ascii="Book Antiqua" w:hAnsi="Book Antiqua" w:cs="Arial"/>
          <w:b/>
          <w:highlight w:val="yellow"/>
          <w:u w:val="single"/>
        </w:rPr>
      </w:pPr>
    </w:p>
    <w:p w14:paraId="3F0DAA35" w14:textId="77777777" w:rsidR="007C61CF" w:rsidRPr="007C61CF" w:rsidRDefault="007C61CF" w:rsidP="007C61CF">
      <w:pPr>
        <w:jc w:val="both"/>
        <w:rPr>
          <w:rFonts w:ascii="Book Antiqua" w:hAnsi="Book Antiqua" w:cs="Arial"/>
          <w:b/>
          <w:u w:val="single"/>
        </w:rPr>
      </w:pPr>
      <w:r w:rsidRPr="007C61CF">
        <w:rPr>
          <w:rFonts w:ascii="Book Antiqua" w:hAnsi="Book Antiqua" w:cs="Arial"/>
          <w:b/>
          <w:u w:val="single"/>
        </w:rPr>
        <w:t>Notice of Decision</w:t>
      </w:r>
    </w:p>
    <w:p w14:paraId="0A478D52" w14:textId="77777777" w:rsidR="007C61CF" w:rsidRPr="007C61CF" w:rsidRDefault="007C61CF" w:rsidP="007C61CF">
      <w:pPr>
        <w:jc w:val="both"/>
        <w:rPr>
          <w:rFonts w:ascii="Book Antiqua" w:hAnsi="Book Antiqua" w:cs="Arial"/>
        </w:rPr>
      </w:pPr>
    </w:p>
    <w:p w14:paraId="76054300" w14:textId="77777777" w:rsidR="007C61CF" w:rsidRPr="007C61CF" w:rsidRDefault="001163DF" w:rsidP="007C61CF">
      <w:pPr>
        <w:jc w:val="both"/>
        <w:rPr>
          <w:rFonts w:ascii="Book Antiqua" w:hAnsi="Book Antiqua" w:cs="Arial"/>
        </w:rPr>
      </w:pPr>
      <w:r>
        <w:rPr>
          <w:rFonts w:ascii="Book Antiqua" w:hAnsi="Book Antiqua" w:cs="Arial"/>
        </w:rPr>
        <w:t xml:space="preserve">The decision of the First-tier Tribunal does not disclose a material error on a point of law and shall stand.  </w:t>
      </w:r>
    </w:p>
    <w:p w14:paraId="42E84A64" w14:textId="5E0BF40E" w:rsidR="007C61CF" w:rsidRDefault="007C61CF" w:rsidP="007C61CF">
      <w:pPr>
        <w:jc w:val="both"/>
        <w:rPr>
          <w:rFonts w:ascii="Book Antiqua" w:hAnsi="Book Antiqua" w:cs="Arial"/>
        </w:rPr>
      </w:pPr>
    </w:p>
    <w:p w14:paraId="0B9EB5B9" w14:textId="77777777" w:rsidR="009E5F59" w:rsidRPr="007C61CF" w:rsidRDefault="009E5F59" w:rsidP="007C61CF">
      <w:pPr>
        <w:jc w:val="both"/>
        <w:rPr>
          <w:rFonts w:ascii="Book Antiqua" w:hAnsi="Book Antiqua" w:cs="Arial"/>
        </w:rPr>
      </w:pPr>
    </w:p>
    <w:p w14:paraId="647AADAD" w14:textId="77777777" w:rsidR="00181607" w:rsidRDefault="00780F86" w:rsidP="00181607">
      <w:pPr>
        <w:ind w:left="540" w:hanging="540"/>
        <w:jc w:val="both"/>
        <w:rPr>
          <w:rFonts w:ascii="Book Antiqua" w:hAnsi="Book Antiqua" w:cs="Arial"/>
        </w:rPr>
      </w:pPr>
      <w:r w:rsidRPr="00AE22BD">
        <w:rPr>
          <w:rFonts w:ascii="Book Antiqua" w:hAnsi="Book Antiqua" w:cs="Arial"/>
        </w:rPr>
        <w:t>Signed</w:t>
      </w:r>
      <w:r w:rsidR="00F90250">
        <w:rPr>
          <w:rFonts w:ascii="Book Antiqua" w:hAnsi="Book Antiqua" w:cs="Arial"/>
        </w:rPr>
        <w:t xml:space="preserve">: </w:t>
      </w:r>
      <w:r w:rsidR="00F90250" w:rsidRPr="00F90250">
        <w:rPr>
          <w:rFonts w:ascii="Book Antiqua" w:hAnsi="Book Antiqua" w:cs="Arial"/>
          <w:noProof/>
          <w:sz w:val="16"/>
          <w:szCs w:val="16"/>
        </w:rPr>
        <w:drawing>
          <wp:inline distT="0" distB="0" distL="0" distR="0" wp14:anchorId="0B882F26" wp14:editId="028571EA">
            <wp:extent cx="4762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00F90250" w:rsidRPr="00F90250">
        <w:rPr>
          <w:rFonts w:ascii="Book Antiqua" w:hAnsi="Book Antiqua" w:cs="Arial"/>
          <w:sz w:val="16"/>
          <w:szCs w:val="16"/>
        </w:rPr>
        <w:t xml:space="preserve"> </w:t>
      </w:r>
      <w:r w:rsidR="00F90250" w:rsidRPr="00F90250">
        <w:rPr>
          <w:rFonts w:ascii="Book Antiqua" w:hAnsi="Book Antiqua" w:cs="Arial"/>
          <w:sz w:val="16"/>
          <w:szCs w:val="16"/>
        </w:rPr>
        <w:tab/>
      </w:r>
      <w:r w:rsidR="00F90250">
        <w:rPr>
          <w:rFonts w:ascii="Book Antiqua" w:hAnsi="Book Antiqua" w:cs="Arial"/>
        </w:rPr>
        <w:t xml:space="preserve"> </w:t>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001F2716" w:rsidRPr="00AE22BD">
        <w:rPr>
          <w:rFonts w:ascii="Book Antiqua" w:hAnsi="Book Antiqua" w:cs="Arial"/>
        </w:rPr>
        <w:t>Date</w:t>
      </w:r>
      <w:r w:rsidR="00F90250">
        <w:rPr>
          <w:rFonts w:ascii="Book Antiqua" w:hAnsi="Book Antiqua" w:cs="Arial"/>
        </w:rPr>
        <w:t>: 22 August 2018</w:t>
      </w:r>
    </w:p>
    <w:p w14:paraId="0E42D46C" w14:textId="77777777" w:rsidR="009E5F59" w:rsidRDefault="009E5F59" w:rsidP="00181607">
      <w:pPr>
        <w:ind w:left="540" w:hanging="540"/>
        <w:jc w:val="both"/>
        <w:rPr>
          <w:rFonts w:ascii="Book Antiqua" w:hAnsi="Book Antiqua" w:cs="Arial"/>
          <w:color w:val="000000"/>
        </w:rPr>
      </w:pPr>
    </w:p>
    <w:p w14:paraId="5165AD66" w14:textId="221156FC" w:rsidR="001F2716" w:rsidRDefault="008B6348" w:rsidP="00181607">
      <w:pPr>
        <w:ind w:left="540" w:hanging="540"/>
        <w:jc w:val="both"/>
        <w:rPr>
          <w:rFonts w:ascii="Book Antiqua" w:hAnsi="Book Antiqua" w:cs="Arial"/>
          <w:color w:val="000000"/>
        </w:rPr>
      </w:pPr>
      <w:r>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AA7F44">
        <w:rPr>
          <w:rFonts w:ascii="Book Antiqua" w:hAnsi="Book Antiqua" w:cs="Arial"/>
          <w:color w:val="000000"/>
        </w:rPr>
        <w:t>Pitt</w:t>
      </w:r>
      <w:r w:rsidR="00BF4365" w:rsidRPr="00AE22BD">
        <w:rPr>
          <w:rFonts w:ascii="Book Antiqua" w:hAnsi="Book Antiqua" w:cs="Arial"/>
          <w:color w:val="000000"/>
        </w:rPr>
        <w:t xml:space="preserve"> </w:t>
      </w:r>
    </w:p>
    <w:sectPr w:rsidR="001F2716" w:rsidSect="00473D56">
      <w:headerReference w:type="default" r:id="rId9"/>
      <w:footerReference w:type="default" r:id="rId10"/>
      <w:headerReference w:type="first" r:id="rId11"/>
      <w:footerReference w:type="first" r:id="rId12"/>
      <w:pgSz w:w="11906" w:h="16838"/>
      <w:pgMar w:top="1247" w:right="1134"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0BF1F" w14:textId="77777777" w:rsidR="009B1067" w:rsidRDefault="009B1067">
      <w:r>
        <w:separator/>
      </w:r>
    </w:p>
  </w:endnote>
  <w:endnote w:type="continuationSeparator" w:id="0">
    <w:p w14:paraId="7EDCBE7E" w14:textId="77777777" w:rsidR="009B1067" w:rsidRDefault="009B1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72C09" w14:textId="18B77BFB" w:rsidR="00813F5F" w:rsidRPr="00AE22BD" w:rsidRDefault="00813F5F" w:rsidP="00593795">
    <w:pPr>
      <w:pStyle w:val="Footer"/>
      <w:jc w:val="center"/>
      <w:rPr>
        <w:rFonts w:ascii="Book Antiqua" w:hAnsi="Book Antiqua" w:cs="Arial"/>
        <w:sz w:val="16"/>
        <w:szCs w:val="16"/>
      </w:rPr>
    </w:pPr>
    <w:r w:rsidRPr="00AE22BD">
      <w:rPr>
        <w:rStyle w:val="PageNumber"/>
        <w:rFonts w:ascii="Book Antiqua" w:hAnsi="Book Antiqua" w:cs="Arial"/>
        <w:sz w:val="16"/>
        <w:szCs w:val="16"/>
      </w:rPr>
      <w:fldChar w:fldCharType="begin"/>
    </w:r>
    <w:r w:rsidRPr="00AE22BD">
      <w:rPr>
        <w:rStyle w:val="PageNumber"/>
        <w:rFonts w:ascii="Book Antiqua" w:hAnsi="Book Antiqua" w:cs="Arial"/>
        <w:sz w:val="16"/>
        <w:szCs w:val="16"/>
      </w:rPr>
      <w:instrText xml:space="preserve"> PAGE </w:instrText>
    </w:r>
    <w:r w:rsidRPr="00AE22BD">
      <w:rPr>
        <w:rStyle w:val="PageNumber"/>
        <w:rFonts w:ascii="Book Antiqua" w:hAnsi="Book Antiqua" w:cs="Arial"/>
        <w:sz w:val="16"/>
        <w:szCs w:val="16"/>
      </w:rPr>
      <w:fldChar w:fldCharType="separate"/>
    </w:r>
    <w:r w:rsidR="00B63CDE">
      <w:rPr>
        <w:rStyle w:val="PageNumber"/>
        <w:rFonts w:ascii="Book Antiqua" w:hAnsi="Book Antiqua" w:cs="Arial"/>
        <w:noProof/>
        <w:sz w:val="16"/>
        <w:szCs w:val="16"/>
      </w:rPr>
      <w:t>6</w:t>
    </w:r>
    <w:r w:rsidRPr="00AE22B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41F85" w14:textId="77777777" w:rsidR="00813F5F" w:rsidRPr="00AE22BD" w:rsidRDefault="00813F5F" w:rsidP="00DE5E10">
    <w:pPr>
      <w:jc w:val="center"/>
      <w:rPr>
        <w:rFonts w:ascii="Book Antiqua" w:hAnsi="Book Antiqua" w:cs="Arial"/>
        <w:b/>
      </w:rPr>
    </w:pPr>
    <w:r w:rsidRPr="00AE22BD">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AC4E2" w14:textId="77777777" w:rsidR="009B1067" w:rsidRDefault="009B1067">
      <w:r>
        <w:separator/>
      </w:r>
    </w:p>
  </w:footnote>
  <w:footnote w:type="continuationSeparator" w:id="0">
    <w:p w14:paraId="04420CE0" w14:textId="77777777" w:rsidR="009B1067" w:rsidRDefault="009B1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34B5E" w14:textId="77777777" w:rsidR="00813F5F" w:rsidRPr="00AE22BD" w:rsidRDefault="00813F5F" w:rsidP="00593795">
    <w:pPr>
      <w:pStyle w:val="Header"/>
      <w:jc w:val="right"/>
      <w:rPr>
        <w:rFonts w:ascii="Book Antiqua" w:hAnsi="Book Antiqua" w:cs="Arial"/>
        <w:sz w:val="16"/>
        <w:szCs w:val="16"/>
      </w:rPr>
    </w:pPr>
    <w:r w:rsidRPr="00AE22BD">
      <w:rPr>
        <w:rFonts w:ascii="Book Antiqua" w:hAnsi="Book Antiqua" w:cs="Arial"/>
        <w:sz w:val="16"/>
        <w:szCs w:val="16"/>
      </w:rPr>
      <w:t xml:space="preserve">Appeal Number: </w:t>
    </w:r>
    <w:r w:rsidRPr="00D5411B">
      <w:rPr>
        <w:rFonts w:ascii="Book Antiqua" w:hAnsi="Book Antiqua" w:cs="Arial"/>
        <w:sz w:val="16"/>
        <w:szCs w:val="16"/>
      </w:rPr>
      <w:t>RP/00067/2016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832E5" w14:textId="77777777" w:rsidR="00813F5F" w:rsidRPr="00AE22BD" w:rsidRDefault="00813F5F">
    <w:pPr>
      <w:pStyle w:val="Header"/>
      <w:rPr>
        <w:rFonts w:ascii="Book Antiqua" w:hAnsi="Book Antiqua"/>
      </w:rPr>
    </w:pPr>
    <w:r w:rsidRPr="00AE22BD">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C0697"/>
    <w:multiLevelType w:val="hybridMultilevel"/>
    <w:tmpl w:val="0ADA987E"/>
    <w:lvl w:ilvl="0" w:tplc="FFA4E57E">
      <w:numFmt w:val="bullet"/>
      <w:lvlText w:val=""/>
      <w:lvlJc w:val="left"/>
      <w:pPr>
        <w:ind w:left="2496" w:hanging="375"/>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F512135"/>
    <w:multiLevelType w:val="multilevel"/>
    <w:tmpl w:val="D6D2CF5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B0467AF"/>
    <w:multiLevelType w:val="hybridMultilevel"/>
    <w:tmpl w:val="B42A34A2"/>
    <w:lvl w:ilvl="0" w:tplc="FFA4E57E">
      <w:numFmt w:val="bullet"/>
      <w:lvlText w:val=""/>
      <w:lvlJc w:val="left"/>
      <w:pPr>
        <w:ind w:left="2136" w:hanging="375"/>
      </w:pPr>
      <w:rPr>
        <w:rFonts w:ascii="Symbol" w:eastAsia="Times New Roman" w:hAnsi="Symbol" w:cs="Times New Roman" w:hint="default"/>
      </w:rPr>
    </w:lvl>
    <w:lvl w:ilvl="1" w:tplc="08090003" w:tentative="1">
      <w:start w:val="1"/>
      <w:numFmt w:val="bullet"/>
      <w:lvlText w:val="o"/>
      <w:lvlJc w:val="left"/>
      <w:pPr>
        <w:ind w:left="2841" w:hanging="360"/>
      </w:pPr>
      <w:rPr>
        <w:rFonts w:ascii="Courier New" w:hAnsi="Courier New" w:cs="Courier New" w:hint="default"/>
      </w:rPr>
    </w:lvl>
    <w:lvl w:ilvl="2" w:tplc="08090005" w:tentative="1">
      <w:start w:val="1"/>
      <w:numFmt w:val="bullet"/>
      <w:lvlText w:val=""/>
      <w:lvlJc w:val="left"/>
      <w:pPr>
        <w:ind w:left="3561" w:hanging="360"/>
      </w:pPr>
      <w:rPr>
        <w:rFonts w:ascii="Wingdings" w:hAnsi="Wingdings" w:hint="default"/>
      </w:rPr>
    </w:lvl>
    <w:lvl w:ilvl="3" w:tplc="08090001" w:tentative="1">
      <w:start w:val="1"/>
      <w:numFmt w:val="bullet"/>
      <w:lvlText w:val=""/>
      <w:lvlJc w:val="left"/>
      <w:pPr>
        <w:ind w:left="4281" w:hanging="360"/>
      </w:pPr>
      <w:rPr>
        <w:rFonts w:ascii="Symbol" w:hAnsi="Symbol" w:hint="default"/>
      </w:rPr>
    </w:lvl>
    <w:lvl w:ilvl="4" w:tplc="08090003" w:tentative="1">
      <w:start w:val="1"/>
      <w:numFmt w:val="bullet"/>
      <w:lvlText w:val="o"/>
      <w:lvlJc w:val="left"/>
      <w:pPr>
        <w:ind w:left="5001" w:hanging="360"/>
      </w:pPr>
      <w:rPr>
        <w:rFonts w:ascii="Courier New" w:hAnsi="Courier New" w:cs="Courier New" w:hint="default"/>
      </w:rPr>
    </w:lvl>
    <w:lvl w:ilvl="5" w:tplc="08090005" w:tentative="1">
      <w:start w:val="1"/>
      <w:numFmt w:val="bullet"/>
      <w:lvlText w:val=""/>
      <w:lvlJc w:val="left"/>
      <w:pPr>
        <w:ind w:left="5721" w:hanging="360"/>
      </w:pPr>
      <w:rPr>
        <w:rFonts w:ascii="Wingdings" w:hAnsi="Wingdings" w:hint="default"/>
      </w:rPr>
    </w:lvl>
    <w:lvl w:ilvl="6" w:tplc="08090001" w:tentative="1">
      <w:start w:val="1"/>
      <w:numFmt w:val="bullet"/>
      <w:lvlText w:val=""/>
      <w:lvlJc w:val="left"/>
      <w:pPr>
        <w:ind w:left="6441" w:hanging="360"/>
      </w:pPr>
      <w:rPr>
        <w:rFonts w:ascii="Symbol" w:hAnsi="Symbol" w:hint="default"/>
      </w:rPr>
    </w:lvl>
    <w:lvl w:ilvl="7" w:tplc="08090003" w:tentative="1">
      <w:start w:val="1"/>
      <w:numFmt w:val="bullet"/>
      <w:lvlText w:val="o"/>
      <w:lvlJc w:val="left"/>
      <w:pPr>
        <w:ind w:left="7161" w:hanging="360"/>
      </w:pPr>
      <w:rPr>
        <w:rFonts w:ascii="Courier New" w:hAnsi="Courier New" w:cs="Courier New" w:hint="default"/>
      </w:rPr>
    </w:lvl>
    <w:lvl w:ilvl="8" w:tplc="08090005" w:tentative="1">
      <w:start w:val="1"/>
      <w:numFmt w:val="bullet"/>
      <w:lvlText w:val=""/>
      <w:lvlJc w:val="left"/>
      <w:pPr>
        <w:ind w:left="7881" w:hanging="360"/>
      </w:pPr>
      <w:rPr>
        <w:rFonts w:ascii="Wingdings" w:hAnsi="Wingdings" w:hint="default"/>
      </w:rPr>
    </w:lvl>
  </w:abstractNum>
  <w:abstractNum w:abstractNumId="3" w15:restartNumberingAfterBreak="0">
    <w:nsid w:val="5D4572F4"/>
    <w:multiLevelType w:val="multilevel"/>
    <w:tmpl w:val="4B2679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1CE3470"/>
    <w:multiLevelType w:val="hybridMultilevel"/>
    <w:tmpl w:val="D7F09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F03DF9"/>
    <w:multiLevelType w:val="hybridMultilevel"/>
    <w:tmpl w:val="67081D3C"/>
    <w:lvl w:ilvl="0" w:tplc="E23239E8">
      <w:numFmt w:val="bullet"/>
      <w:lvlText w:val="–"/>
      <w:lvlJc w:val="left"/>
      <w:pPr>
        <w:ind w:left="2496" w:hanging="375"/>
      </w:pPr>
      <w:rPr>
        <w:rFonts w:ascii="Book Antiqua" w:eastAsia="Times New Roman" w:hAnsi="Book Antiqu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1B"/>
    <w:rsid w:val="00000621"/>
    <w:rsid w:val="000036C2"/>
    <w:rsid w:val="00004742"/>
    <w:rsid w:val="00033D3D"/>
    <w:rsid w:val="0005157E"/>
    <w:rsid w:val="00053931"/>
    <w:rsid w:val="00057905"/>
    <w:rsid w:val="000607F9"/>
    <w:rsid w:val="00062F02"/>
    <w:rsid w:val="00071A7E"/>
    <w:rsid w:val="000746C0"/>
    <w:rsid w:val="00074D1D"/>
    <w:rsid w:val="0008764A"/>
    <w:rsid w:val="00092580"/>
    <w:rsid w:val="00093D4D"/>
    <w:rsid w:val="000D3529"/>
    <w:rsid w:val="000D5D94"/>
    <w:rsid w:val="000D698C"/>
    <w:rsid w:val="000F1A0E"/>
    <w:rsid w:val="00115CED"/>
    <w:rsid w:val="001163DF"/>
    <w:rsid w:val="001165A7"/>
    <w:rsid w:val="00134470"/>
    <w:rsid w:val="00167D3A"/>
    <w:rsid w:val="00181607"/>
    <w:rsid w:val="001A3082"/>
    <w:rsid w:val="001B186A"/>
    <w:rsid w:val="001B2F75"/>
    <w:rsid w:val="001B4A64"/>
    <w:rsid w:val="001E3277"/>
    <w:rsid w:val="001F2716"/>
    <w:rsid w:val="002000E1"/>
    <w:rsid w:val="00207617"/>
    <w:rsid w:val="00216CE5"/>
    <w:rsid w:val="0022009B"/>
    <w:rsid w:val="0023134B"/>
    <w:rsid w:val="00283659"/>
    <w:rsid w:val="00284191"/>
    <w:rsid w:val="00286983"/>
    <w:rsid w:val="002A72D5"/>
    <w:rsid w:val="002B22C7"/>
    <w:rsid w:val="002C6BD4"/>
    <w:rsid w:val="002D68BF"/>
    <w:rsid w:val="002F6B98"/>
    <w:rsid w:val="002F7129"/>
    <w:rsid w:val="00332953"/>
    <w:rsid w:val="00336CBF"/>
    <w:rsid w:val="00343FE3"/>
    <w:rsid w:val="003546C8"/>
    <w:rsid w:val="00396E05"/>
    <w:rsid w:val="003A7CF2"/>
    <w:rsid w:val="003C5CE5"/>
    <w:rsid w:val="003D2146"/>
    <w:rsid w:val="003E267B"/>
    <w:rsid w:val="003E7CD1"/>
    <w:rsid w:val="003F4E91"/>
    <w:rsid w:val="003F7719"/>
    <w:rsid w:val="00402B9E"/>
    <w:rsid w:val="004249CB"/>
    <w:rsid w:val="0044127D"/>
    <w:rsid w:val="004448DB"/>
    <w:rsid w:val="00446C9A"/>
    <w:rsid w:val="004503ED"/>
    <w:rsid w:val="00452F2B"/>
    <w:rsid w:val="004620CE"/>
    <w:rsid w:val="00473D56"/>
    <w:rsid w:val="00477193"/>
    <w:rsid w:val="00484E3D"/>
    <w:rsid w:val="00494BDA"/>
    <w:rsid w:val="00495762"/>
    <w:rsid w:val="004A1848"/>
    <w:rsid w:val="004A1E0E"/>
    <w:rsid w:val="004A6F4A"/>
    <w:rsid w:val="004D3910"/>
    <w:rsid w:val="004E0F3D"/>
    <w:rsid w:val="004E4717"/>
    <w:rsid w:val="005053FB"/>
    <w:rsid w:val="00507FEC"/>
    <w:rsid w:val="00510F0E"/>
    <w:rsid w:val="005479E1"/>
    <w:rsid w:val="005509A7"/>
    <w:rsid w:val="00553E0A"/>
    <w:rsid w:val="00555353"/>
    <w:rsid w:val="005570FD"/>
    <w:rsid w:val="005575EA"/>
    <w:rsid w:val="0057790C"/>
    <w:rsid w:val="00593795"/>
    <w:rsid w:val="005A75FF"/>
    <w:rsid w:val="005C066C"/>
    <w:rsid w:val="005C47F0"/>
    <w:rsid w:val="005D10AB"/>
    <w:rsid w:val="005D7E44"/>
    <w:rsid w:val="005E408D"/>
    <w:rsid w:val="00601D8F"/>
    <w:rsid w:val="00610EE6"/>
    <w:rsid w:val="00631F5E"/>
    <w:rsid w:val="00653E97"/>
    <w:rsid w:val="006701F7"/>
    <w:rsid w:val="006754EF"/>
    <w:rsid w:val="00683A0C"/>
    <w:rsid w:val="00684A74"/>
    <w:rsid w:val="00690B8A"/>
    <w:rsid w:val="00696E1D"/>
    <w:rsid w:val="006C12E8"/>
    <w:rsid w:val="006F2CF1"/>
    <w:rsid w:val="00702D35"/>
    <w:rsid w:val="007038ED"/>
    <w:rsid w:val="00703BC3"/>
    <w:rsid w:val="00704B49"/>
    <w:rsid w:val="00704B61"/>
    <w:rsid w:val="007101DF"/>
    <w:rsid w:val="0071053A"/>
    <w:rsid w:val="007248AE"/>
    <w:rsid w:val="0073555C"/>
    <w:rsid w:val="007552A9"/>
    <w:rsid w:val="00761858"/>
    <w:rsid w:val="00767D59"/>
    <w:rsid w:val="00776E97"/>
    <w:rsid w:val="00780F86"/>
    <w:rsid w:val="007912AD"/>
    <w:rsid w:val="007A6617"/>
    <w:rsid w:val="007B0824"/>
    <w:rsid w:val="007B5D3C"/>
    <w:rsid w:val="007C61CF"/>
    <w:rsid w:val="007F2A46"/>
    <w:rsid w:val="007F6390"/>
    <w:rsid w:val="008000BF"/>
    <w:rsid w:val="00806249"/>
    <w:rsid w:val="00813F5F"/>
    <w:rsid w:val="00821B72"/>
    <w:rsid w:val="00823EF2"/>
    <w:rsid w:val="008303B8"/>
    <w:rsid w:val="00832EEA"/>
    <w:rsid w:val="00833DCE"/>
    <w:rsid w:val="00871D34"/>
    <w:rsid w:val="00876BC9"/>
    <w:rsid w:val="00895907"/>
    <w:rsid w:val="008A1FAF"/>
    <w:rsid w:val="008B270C"/>
    <w:rsid w:val="008B5078"/>
    <w:rsid w:val="008B6348"/>
    <w:rsid w:val="008C3D3D"/>
    <w:rsid w:val="008D4131"/>
    <w:rsid w:val="008F1932"/>
    <w:rsid w:val="00903ED1"/>
    <w:rsid w:val="009125EB"/>
    <w:rsid w:val="00915EAE"/>
    <w:rsid w:val="00921062"/>
    <w:rsid w:val="009253C7"/>
    <w:rsid w:val="0093149F"/>
    <w:rsid w:val="00945EDC"/>
    <w:rsid w:val="00952D7E"/>
    <w:rsid w:val="00955E1F"/>
    <w:rsid w:val="009722BC"/>
    <w:rsid w:val="009727A3"/>
    <w:rsid w:val="00976E52"/>
    <w:rsid w:val="009801AF"/>
    <w:rsid w:val="00987774"/>
    <w:rsid w:val="009A11E8"/>
    <w:rsid w:val="009B1067"/>
    <w:rsid w:val="009C2E23"/>
    <w:rsid w:val="009E5F59"/>
    <w:rsid w:val="009E6D98"/>
    <w:rsid w:val="009F5220"/>
    <w:rsid w:val="00A008C5"/>
    <w:rsid w:val="00A15234"/>
    <w:rsid w:val="00A201AB"/>
    <w:rsid w:val="00A31C8B"/>
    <w:rsid w:val="00A32360"/>
    <w:rsid w:val="00A509FA"/>
    <w:rsid w:val="00A71C11"/>
    <w:rsid w:val="00A8165D"/>
    <w:rsid w:val="00A845DC"/>
    <w:rsid w:val="00AA7F44"/>
    <w:rsid w:val="00AB5738"/>
    <w:rsid w:val="00AB6909"/>
    <w:rsid w:val="00AE22BD"/>
    <w:rsid w:val="00B26AA2"/>
    <w:rsid w:val="00B3524D"/>
    <w:rsid w:val="00B40F69"/>
    <w:rsid w:val="00B46616"/>
    <w:rsid w:val="00B5046D"/>
    <w:rsid w:val="00B517EB"/>
    <w:rsid w:val="00B63CDE"/>
    <w:rsid w:val="00B7040A"/>
    <w:rsid w:val="00B72565"/>
    <w:rsid w:val="00B83391"/>
    <w:rsid w:val="00B95326"/>
    <w:rsid w:val="00BC7ED7"/>
    <w:rsid w:val="00BD4196"/>
    <w:rsid w:val="00BF1EEA"/>
    <w:rsid w:val="00BF22CA"/>
    <w:rsid w:val="00BF23BB"/>
    <w:rsid w:val="00BF2CA7"/>
    <w:rsid w:val="00BF4365"/>
    <w:rsid w:val="00C01516"/>
    <w:rsid w:val="00C03D53"/>
    <w:rsid w:val="00C26032"/>
    <w:rsid w:val="00C3246F"/>
    <w:rsid w:val="00C345E1"/>
    <w:rsid w:val="00C437AA"/>
    <w:rsid w:val="00C43BFD"/>
    <w:rsid w:val="00C57565"/>
    <w:rsid w:val="00C74BC6"/>
    <w:rsid w:val="00C82619"/>
    <w:rsid w:val="00CA18EC"/>
    <w:rsid w:val="00CB6E35"/>
    <w:rsid w:val="00CC47BA"/>
    <w:rsid w:val="00CE1A46"/>
    <w:rsid w:val="00CE1BFB"/>
    <w:rsid w:val="00CE2778"/>
    <w:rsid w:val="00D1235E"/>
    <w:rsid w:val="00D20757"/>
    <w:rsid w:val="00D22636"/>
    <w:rsid w:val="00D40FD9"/>
    <w:rsid w:val="00D53769"/>
    <w:rsid w:val="00D5411B"/>
    <w:rsid w:val="00D65340"/>
    <w:rsid w:val="00D82E4A"/>
    <w:rsid w:val="00D85C13"/>
    <w:rsid w:val="00D9111A"/>
    <w:rsid w:val="00D91BE3"/>
    <w:rsid w:val="00D94AFC"/>
    <w:rsid w:val="00DB70AE"/>
    <w:rsid w:val="00DD2269"/>
    <w:rsid w:val="00DD3F5F"/>
    <w:rsid w:val="00DD5071"/>
    <w:rsid w:val="00DD5C39"/>
    <w:rsid w:val="00DE5E10"/>
    <w:rsid w:val="00DE7DB7"/>
    <w:rsid w:val="00E00A0A"/>
    <w:rsid w:val="00E0423C"/>
    <w:rsid w:val="00E066DE"/>
    <w:rsid w:val="00E07F57"/>
    <w:rsid w:val="00E30683"/>
    <w:rsid w:val="00E33BE5"/>
    <w:rsid w:val="00E42790"/>
    <w:rsid w:val="00E453D8"/>
    <w:rsid w:val="00E50BCE"/>
    <w:rsid w:val="00E574BF"/>
    <w:rsid w:val="00E61292"/>
    <w:rsid w:val="00E67D3C"/>
    <w:rsid w:val="00E72ECA"/>
    <w:rsid w:val="00E77C4D"/>
    <w:rsid w:val="00E81D01"/>
    <w:rsid w:val="00EB0EE9"/>
    <w:rsid w:val="00EC5F25"/>
    <w:rsid w:val="00ED2AE8"/>
    <w:rsid w:val="00EE45D8"/>
    <w:rsid w:val="00F17FAF"/>
    <w:rsid w:val="00F22EDA"/>
    <w:rsid w:val="00F269AF"/>
    <w:rsid w:val="00F36F98"/>
    <w:rsid w:val="00F414AC"/>
    <w:rsid w:val="00F5087C"/>
    <w:rsid w:val="00F8354D"/>
    <w:rsid w:val="00F90250"/>
    <w:rsid w:val="00F91539"/>
    <w:rsid w:val="00F978BD"/>
    <w:rsid w:val="00FA0CED"/>
    <w:rsid w:val="00FA3F86"/>
    <w:rsid w:val="00FE7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FF0A1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925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370941">
      <w:bodyDiv w:val="1"/>
      <w:marLeft w:val="0"/>
      <w:marRight w:val="0"/>
      <w:marTop w:val="0"/>
      <w:marBottom w:val="0"/>
      <w:divBdr>
        <w:top w:val="none" w:sz="0" w:space="0" w:color="auto"/>
        <w:left w:val="none" w:sz="0" w:space="0" w:color="auto"/>
        <w:bottom w:val="none" w:sz="0" w:space="0" w:color="auto"/>
        <w:right w:val="none" w:sz="0" w:space="0" w:color="auto"/>
      </w:divBdr>
    </w:div>
    <w:div w:id="108403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2783</Words>
  <Characters>13676</Characters>
  <Application>Microsoft Office Word</Application>
  <DocSecurity>0</DocSecurity>
  <Lines>113</Lines>
  <Paragraphs>32</Paragraphs>
  <ScaleCrop>false</ScaleCrop>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2018-09-18T12:11:00Z</dcterms:created>
  <dcterms:modified xsi:type="dcterms:W3CDTF">2018-09-18T12:11:00Z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