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880A2A" w:rsidP="00933B65">
      <w:pPr>
        <w:jc w:val="center"/>
        <w:rPr>
          <w:rFonts w:ascii="Book Antiqua" w:hAnsi="Book Antiqua" w:cs="Arial"/>
          <w:color w:val="000000"/>
        </w:rPr>
      </w:pPr>
      <w:r>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3D6C82">
        <w:rPr>
          <w:rFonts w:ascii="Book Antiqua" w:hAnsi="Book Antiqua" w:cs="Arial"/>
          <w:color w:val="000000"/>
        </w:rPr>
        <w:t>RP/00128/2016</w:t>
      </w:r>
      <w:bookmarkEnd w:id="0"/>
    </w:p>
    <w:p w:rsidR="00933B65" w:rsidRPr="00F97703" w:rsidRDefault="00933B65" w:rsidP="00933B65">
      <w:pPr>
        <w:jc w:val="center"/>
        <w:rPr>
          <w:rFonts w:ascii="Book Antiqua" w:hAnsi="Book Antiqua" w:cs="Arial"/>
          <w:color w:val="000000"/>
        </w:rPr>
      </w:pPr>
    </w:p>
    <w:p w:rsidR="0076197C" w:rsidRDefault="0076197C" w:rsidP="00746F45">
      <w:pPr>
        <w:jc w:val="center"/>
        <w:outlineLvl w:val="0"/>
        <w:rPr>
          <w:rFonts w:ascii="Book Antiqua" w:hAnsi="Book Antiqua" w:cs="Arial"/>
          <w:b/>
          <w:color w:val="000000"/>
          <w:u w:val="single"/>
        </w:rPr>
      </w:pPr>
    </w:p>
    <w:p w:rsidR="00933B65"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76197C" w:rsidRPr="00F97703" w:rsidRDefault="0076197C" w:rsidP="00746F45">
      <w:pPr>
        <w:jc w:val="center"/>
        <w:outlineLvl w:val="0"/>
        <w:rPr>
          <w:rFonts w:ascii="Book Antiqua" w:hAnsi="Book Antiqua" w:cs="Arial"/>
          <w:b/>
          <w:color w:val="000000"/>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824"/>
        <w:gridCol w:w="1102"/>
        <w:gridCol w:w="3712"/>
      </w:tblGrid>
      <w:tr w:rsidR="00933B65" w:rsidRPr="00E073AD" w:rsidTr="00880A2A">
        <w:tc>
          <w:tcPr>
            <w:tcW w:w="4928"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Heard </w:t>
            </w:r>
            <w:r w:rsidR="00871A5A">
              <w:rPr>
                <w:rFonts w:ascii="Book Antiqua" w:hAnsi="Book Antiqua" w:cs="Arial"/>
                <w:b/>
              </w:rPr>
              <w:t xml:space="preserve">at </w:t>
            </w:r>
            <w:r w:rsidR="003344FF">
              <w:rPr>
                <w:rFonts w:ascii="Book Antiqua" w:hAnsi="Book Antiqua" w:cs="Arial"/>
                <w:b/>
              </w:rPr>
              <w:t>Field House</w:t>
            </w:r>
          </w:p>
        </w:tc>
        <w:tc>
          <w:tcPr>
            <w:tcW w:w="4900" w:type="dxa"/>
            <w:gridSpan w:val="2"/>
            <w:shd w:val="clear" w:color="auto" w:fill="auto"/>
          </w:tcPr>
          <w:p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w:t>
            </w:r>
            <w:r w:rsidR="00880A2A">
              <w:rPr>
                <w:rFonts w:ascii="Book Antiqua" w:hAnsi="Book Antiqua" w:cs="Arial"/>
                <w:b/>
                <w:color w:val="000000"/>
              </w:rPr>
              <w:t xml:space="preserve">cision and Reasons </w:t>
            </w:r>
            <w:r w:rsidR="00880A2A" w:rsidRPr="00E073AD">
              <w:rPr>
                <w:rFonts w:ascii="Book Antiqua" w:hAnsi="Book Antiqua" w:cs="Arial"/>
                <w:b/>
                <w:color w:val="000000"/>
              </w:rPr>
              <w:t>Promulgated</w:t>
            </w:r>
          </w:p>
        </w:tc>
      </w:tr>
      <w:tr w:rsidR="00933B65" w:rsidRPr="00E073AD" w:rsidTr="00880A2A">
        <w:tc>
          <w:tcPr>
            <w:tcW w:w="4928" w:type="dxa"/>
            <w:shd w:val="clear" w:color="auto" w:fill="auto"/>
          </w:tcPr>
          <w:p w:rsidR="00933B65" w:rsidRPr="00E073AD" w:rsidRDefault="00933B65" w:rsidP="00B43524">
            <w:pPr>
              <w:jc w:val="both"/>
              <w:rPr>
                <w:rFonts w:ascii="Book Antiqua" w:hAnsi="Book Antiqua" w:cs="Arial"/>
                <w:b/>
              </w:rPr>
            </w:pPr>
            <w:r w:rsidRPr="00E073AD">
              <w:rPr>
                <w:rFonts w:ascii="Book Antiqua" w:hAnsi="Book Antiqua" w:cs="Arial"/>
                <w:b/>
              </w:rPr>
              <w:t xml:space="preserve">On </w:t>
            </w:r>
            <w:r w:rsidR="003D6C82">
              <w:rPr>
                <w:rFonts w:ascii="Book Antiqua" w:hAnsi="Book Antiqua" w:cs="Arial"/>
                <w:b/>
              </w:rPr>
              <w:t>Friday 31 August</w:t>
            </w:r>
            <w:r w:rsidR="00931AB7">
              <w:rPr>
                <w:rFonts w:ascii="Book Antiqua" w:hAnsi="Book Antiqua" w:cs="Arial"/>
                <w:b/>
              </w:rPr>
              <w:t xml:space="preserve"> 2018</w:t>
            </w:r>
          </w:p>
        </w:tc>
        <w:tc>
          <w:tcPr>
            <w:tcW w:w="4900" w:type="dxa"/>
            <w:gridSpan w:val="2"/>
            <w:shd w:val="clear" w:color="auto" w:fill="auto"/>
          </w:tcPr>
          <w:p w:rsidR="00933B65" w:rsidRPr="00E073AD" w:rsidRDefault="00880A2A" w:rsidP="00E073AD">
            <w:pPr>
              <w:jc w:val="both"/>
              <w:rPr>
                <w:rFonts w:ascii="Book Antiqua" w:hAnsi="Book Antiqua" w:cs="Arial"/>
                <w:b/>
              </w:rPr>
            </w:pPr>
            <w:r>
              <w:rPr>
                <w:rFonts w:ascii="Book Antiqua" w:hAnsi="Book Antiqua" w:cs="Arial"/>
                <w:b/>
              </w:rPr>
              <w:t xml:space="preserve">On Tuesday 11 September 2018 </w:t>
            </w:r>
          </w:p>
        </w:tc>
      </w:tr>
      <w:tr w:rsidR="00933B65" w:rsidRPr="00E073AD" w:rsidTr="00880A2A">
        <w:tc>
          <w:tcPr>
            <w:tcW w:w="6048" w:type="dxa"/>
            <w:gridSpan w:val="2"/>
            <w:shd w:val="clear" w:color="auto" w:fill="auto"/>
          </w:tcPr>
          <w:p w:rsidR="00933B65" w:rsidRPr="00E073AD" w:rsidRDefault="00933B65" w:rsidP="00E073AD">
            <w:pPr>
              <w:jc w:val="both"/>
              <w:rPr>
                <w:rFonts w:ascii="Book Antiqua" w:hAnsi="Book Antiqua" w:cs="Arial"/>
                <w:b/>
              </w:rPr>
            </w:pPr>
          </w:p>
        </w:tc>
        <w:tc>
          <w:tcPr>
            <w:tcW w:w="3780"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76197C" w:rsidRPr="00F97703" w:rsidRDefault="0076197C"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933B65" w:rsidRDefault="00933B65" w:rsidP="00933B65">
      <w:pPr>
        <w:jc w:val="center"/>
        <w:rPr>
          <w:rFonts w:ascii="Book Antiqua" w:hAnsi="Book Antiqua" w:cs="Arial"/>
          <w:b/>
        </w:rPr>
      </w:pPr>
    </w:p>
    <w:p w:rsidR="00E468D9" w:rsidRPr="00F97703" w:rsidRDefault="00E468D9"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871A5A" w:rsidRDefault="00871A5A" w:rsidP="00871A5A">
      <w:pPr>
        <w:jc w:val="center"/>
        <w:outlineLvl w:val="0"/>
        <w:rPr>
          <w:rFonts w:ascii="Book Antiqua" w:hAnsi="Book Antiqua" w:cs="Arial"/>
          <w:b/>
        </w:rPr>
      </w:pPr>
    </w:p>
    <w:p w:rsidR="006654F2" w:rsidRDefault="003D6C82" w:rsidP="006654F2">
      <w:pPr>
        <w:jc w:val="center"/>
        <w:outlineLvl w:val="0"/>
        <w:rPr>
          <w:rFonts w:ascii="Book Antiqua" w:hAnsi="Book Antiqua" w:cs="Arial"/>
          <w:b/>
        </w:rPr>
      </w:pPr>
      <w:r>
        <w:rPr>
          <w:rFonts w:ascii="Book Antiqua" w:hAnsi="Book Antiqua" w:cs="Arial"/>
          <w:b/>
        </w:rPr>
        <w:t>M A M</w:t>
      </w:r>
    </w:p>
    <w:p w:rsidR="003344FF" w:rsidRPr="0076197C" w:rsidRDefault="003344FF" w:rsidP="006654F2">
      <w:pPr>
        <w:jc w:val="center"/>
        <w:outlineLvl w:val="0"/>
        <w:rPr>
          <w:rFonts w:ascii="Book Antiqua" w:hAnsi="Book Antiqua" w:cs="Arial"/>
          <w:b/>
          <w:sz w:val="22"/>
        </w:rPr>
      </w:pPr>
      <w:r w:rsidRPr="0076197C">
        <w:rPr>
          <w:rFonts w:ascii="Book Antiqua" w:hAnsi="Book Antiqua" w:cs="Arial"/>
          <w:b/>
          <w:sz w:val="22"/>
        </w:rPr>
        <w:t>[</w:t>
      </w:r>
      <w:r w:rsidR="003D6C82" w:rsidRPr="0076197C">
        <w:rPr>
          <w:rFonts w:ascii="Book Antiqua" w:hAnsi="Book Antiqua" w:cs="Arial"/>
          <w:b/>
          <w:sz w:val="22"/>
        </w:rPr>
        <w:t>ANONYMITY DIRECTION MADE</w:t>
      </w:r>
      <w:r w:rsidRPr="0076197C">
        <w:rPr>
          <w:rFonts w:ascii="Book Antiqua" w:hAnsi="Book Antiqua" w:cs="Arial"/>
          <w:b/>
          <w:sz w:val="22"/>
        </w:rPr>
        <w: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Default="006654F2"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rsidR="006654F2" w:rsidRDefault="006654F2" w:rsidP="00933B65">
      <w:pPr>
        <w:jc w:val="center"/>
        <w:rPr>
          <w:rFonts w:ascii="Book Antiqua" w:hAnsi="Book Antiqua" w:cs="Arial"/>
          <w:b/>
        </w:rPr>
      </w:pPr>
    </w:p>
    <w:p w:rsidR="006654F2" w:rsidRPr="00F97703" w:rsidRDefault="006654F2" w:rsidP="00933B65">
      <w:pPr>
        <w:jc w:val="center"/>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76197C" w:rsidRPr="00F97703" w:rsidRDefault="0076197C" w:rsidP="00933B65">
      <w:pPr>
        <w:rPr>
          <w:rFonts w:ascii="Book Antiqua" w:hAnsi="Book Antiqua" w:cs="Arial"/>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5C7542">
      <w:pPr>
        <w:tabs>
          <w:tab w:val="left" w:pos="2552"/>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3D6C82">
        <w:rPr>
          <w:rFonts w:ascii="Book Antiqua" w:hAnsi="Book Antiqua" w:cs="Arial"/>
        </w:rPr>
        <w:t>Mr H Cheng, legal representative, Duncan Lewis &amp; Co</w:t>
      </w:r>
    </w:p>
    <w:p w:rsidR="00933B65" w:rsidRDefault="00933B65" w:rsidP="005C7542">
      <w:pPr>
        <w:tabs>
          <w:tab w:val="left" w:pos="2552"/>
        </w:tabs>
        <w:rPr>
          <w:rFonts w:ascii="Book Antiqua" w:hAnsi="Book Antiqua" w:cs="Arial"/>
        </w:rPr>
      </w:pPr>
      <w:r w:rsidRPr="00F97703">
        <w:rPr>
          <w:rFonts w:ascii="Book Antiqua" w:hAnsi="Book Antiqua" w:cs="Arial"/>
        </w:rPr>
        <w:t>For the Respondent:</w:t>
      </w:r>
      <w:r w:rsidR="0058200A">
        <w:rPr>
          <w:rFonts w:ascii="Book Antiqua" w:hAnsi="Book Antiqua" w:cs="Arial"/>
        </w:rPr>
        <w:tab/>
      </w:r>
      <w:r w:rsidR="0028311E">
        <w:rPr>
          <w:rFonts w:ascii="Book Antiqua" w:hAnsi="Book Antiqua" w:cs="Arial"/>
        </w:rPr>
        <w:t>M</w:t>
      </w:r>
      <w:r w:rsidR="00931AB7">
        <w:rPr>
          <w:rFonts w:ascii="Book Antiqua" w:hAnsi="Book Antiqua" w:cs="Arial"/>
        </w:rPr>
        <w:t xml:space="preserve">r </w:t>
      </w:r>
      <w:r w:rsidR="003D6C82">
        <w:rPr>
          <w:rFonts w:ascii="Book Antiqua" w:hAnsi="Book Antiqua" w:cs="Arial"/>
        </w:rPr>
        <w:t>S Walker</w:t>
      </w:r>
      <w:r w:rsidR="006654F2">
        <w:rPr>
          <w:rFonts w:ascii="Book Antiqua" w:hAnsi="Book Antiqua" w:cs="Arial"/>
        </w:rPr>
        <w:t xml:space="preserve">, Senior Home Office Presenting Officer </w:t>
      </w:r>
    </w:p>
    <w:p w:rsidR="00933B65" w:rsidRDefault="00933B65" w:rsidP="00933B65">
      <w:pPr>
        <w:tabs>
          <w:tab w:val="left" w:pos="2520"/>
        </w:tabs>
        <w:jc w:val="center"/>
        <w:rPr>
          <w:rFonts w:ascii="Book Antiqua" w:hAnsi="Book Antiqua" w:cs="Arial"/>
        </w:rPr>
      </w:pPr>
    </w:p>
    <w:p w:rsidR="0076197C" w:rsidRDefault="0076197C" w:rsidP="00933B65">
      <w:pPr>
        <w:tabs>
          <w:tab w:val="left" w:pos="2520"/>
        </w:tabs>
        <w:jc w:val="center"/>
        <w:rPr>
          <w:rFonts w:ascii="Book Antiqua" w:hAnsi="Book Antiqua" w:cs="Arial"/>
        </w:rPr>
      </w:pPr>
    </w:p>
    <w:p w:rsidR="00CE0FC8" w:rsidRPr="00BB40C3" w:rsidRDefault="00CE0FC8" w:rsidP="00CE0FC8">
      <w:pPr>
        <w:tabs>
          <w:tab w:val="left" w:pos="2520"/>
        </w:tabs>
        <w:outlineLvl w:val="0"/>
        <w:rPr>
          <w:rFonts w:ascii="Book Antiqua" w:hAnsi="Book Antiqua" w:cs="Arial"/>
          <w:b/>
          <w:u w:val="single"/>
        </w:rPr>
      </w:pPr>
      <w:r>
        <w:rPr>
          <w:rFonts w:ascii="Book Antiqua" w:hAnsi="Book Antiqua" w:cs="Arial"/>
          <w:b/>
          <w:u w:val="single"/>
        </w:rPr>
        <w:t>Anonymity</w:t>
      </w:r>
    </w:p>
    <w:p w:rsidR="00CE0FC8" w:rsidRPr="00C174A0" w:rsidRDefault="00CE0FC8" w:rsidP="00CE0FC8">
      <w:pPr>
        <w:tabs>
          <w:tab w:val="left" w:pos="2520"/>
        </w:tabs>
        <w:outlineLvl w:val="0"/>
        <w:rPr>
          <w:rFonts w:ascii="Book Antiqua" w:hAnsi="Book Antiqua" w:cs="Arial"/>
          <w:i/>
          <w:sz w:val="20"/>
          <w:szCs w:val="20"/>
        </w:rPr>
      </w:pPr>
      <w:r w:rsidRPr="00C174A0">
        <w:rPr>
          <w:rFonts w:ascii="Book Antiqua" w:hAnsi="Book Antiqua" w:cs="Arial"/>
          <w:i/>
          <w:sz w:val="20"/>
          <w:szCs w:val="20"/>
        </w:rPr>
        <w:t>Rule 14: The Tribunal Procedure (</w:t>
      </w:r>
      <w:smartTag w:uri="urn:schemas-microsoft-com:office:smarttags" w:element="PersonName">
        <w:r w:rsidRPr="00C174A0">
          <w:rPr>
            <w:rFonts w:ascii="Book Antiqua" w:hAnsi="Book Antiqua" w:cs="Arial"/>
            <w:i/>
            <w:sz w:val="20"/>
            <w:szCs w:val="20"/>
          </w:rPr>
          <w:t>Upper Tribunal</w:t>
        </w:r>
      </w:smartTag>
      <w:r w:rsidRPr="00C174A0">
        <w:rPr>
          <w:rFonts w:ascii="Book Antiqua" w:hAnsi="Book Antiqua" w:cs="Arial"/>
          <w:i/>
          <w:sz w:val="20"/>
          <w:szCs w:val="20"/>
        </w:rPr>
        <w:t>) Rules 2008</w:t>
      </w:r>
    </w:p>
    <w:p w:rsidR="00CE0FC8" w:rsidRPr="00D07F8E" w:rsidRDefault="00CE0FC8" w:rsidP="00CE0FC8">
      <w:pPr>
        <w:jc w:val="both"/>
        <w:rPr>
          <w:rFonts w:ascii="Book Antiqua" w:hAnsi="Book Antiqua" w:cs="Arial"/>
        </w:rPr>
      </w:pPr>
      <w:r>
        <w:rPr>
          <w:rFonts w:ascii="Book Antiqua" w:hAnsi="Book Antiqua" w:cs="Arial"/>
        </w:rPr>
        <w:t xml:space="preserve">An anonymity order was made by the First-tier Tribunal. </w:t>
      </w:r>
      <w:r w:rsidR="00AD0B4D">
        <w:rPr>
          <w:rFonts w:ascii="Book Antiqua" w:hAnsi="Book Antiqua" w:cs="Arial"/>
        </w:rPr>
        <w:t>A</w:t>
      </w:r>
      <w:r>
        <w:rPr>
          <w:rFonts w:ascii="Book Antiqua" w:hAnsi="Book Antiqua" w:cs="Arial"/>
        </w:rPr>
        <w:t xml:space="preserve">s this is an appeal </w:t>
      </w:r>
      <w:r w:rsidR="00AD0B4D">
        <w:rPr>
          <w:rFonts w:ascii="Book Antiqua" w:hAnsi="Book Antiqua" w:cs="Arial"/>
        </w:rPr>
        <w:t>which includes</w:t>
      </w:r>
      <w:r>
        <w:rPr>
          <w:rFonts w:ascii="Book Antiqua" w:hAnsi="Book Antiqua" w:cs="Arial"/>
        </w:rPr>
        <w:t xml:space="preserve"> protection grounds, it is appropriate to </w:t>
      </w:r>
      <w:r w:rsidR="00AD0B4D">
        <w:rPr>
          <w:rFonts w:ascii="Book Antiqua" w:hAnsi="Book Antiqua" w:cs="Arial"/>
        </w:rPr>
        <w:t>continue</w:t>
      </w:r>
      <w:r>
        <w:rPr>
          <w:rFonts w:ascii="Book Antiqua" w:hAnsi="Book Antiqua" w:cs="Arial"/>
        </w:rPr>
        <w:t xml:space="preserve"> that order.  Unless and until a tribunal or court directs otherwise, the Appellant is granted anonymity. No report of these proceedings shall directly or indirectly identify him or any member of his family. This direction applies, amongst others, to both parties. Failure to comply with this direction could lead to contempt of court proceedings.</w:t>
      </w:r>
    </w:p>
    <w:p w:rsidR="00CE0FC8" w:rsidRPr="00117E93" w:rsidRDefault="00CE0FC8" w:rsidP="00CE0FC8">
      <w:pPr>
        <w:tabs>
          <w:tab w:val="left" w:pos="2520"/>
        </w:tabs>
        <w:rPr>
          <w:rFonts w:ascii="Book Antiqua" w:hAnsi="Book Antiqua" w:cs="Arial"/>
        </w:rPr>
      </w:pPr>
    </w:p>
    <w:p w:rsidR="00883C61" w:rsidRDefault="00883C61"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02486" w:rsidRPr="008A3B24" w:rsidRDefault="00002486" w:rsidP="0076197C">
      <w:pPr>
        <w:tabs>
          <w:tab w:val="left" w:pos="567"/>
        </w:tabs>
        <w:spacing w:before="240"/>
        <w:ind w:left="567"/>
        <w:jc w:val="both"/>
        <w:outlineLvl w:val="0"/>
        <w:rPr>
          <w:rFonts w:ascii="Book Antiqua" w:hAnsi="Book Antiqua" w:cs="Arial"/>
          <w:b/>
          <w:u w:val="single"/>
        </w:rPr>
      </w:pPr>
      <w:r w:rsidRPr="008A3B24">
        <w:rPr>
          <w:rFonts w:ascii="Book Antiqua" w:hAnsi="Book Antiqua" w:cs="Arial"/>
          <w:b/>
          <w:u w:val="single"/>
        </w:rPr>
        <w:t>Background</w:t>
      </w:r>
    </w:p>
    <w:p w:rsidR="00AD0B4D" w:rsidRDefault="00387BD7" w:rsidP="0076197C">
      <w:pPr>
        <w:numPr>
          <w:ilvl w:val="0"/>
          <w:numId w:val="5"/>
        </w:numPr>
        <w:tabs>
          <w:tab w:val="clear" w:pos="927"/>
          <w:tab w:val="num" w:pos="1134"/>
        </w:tabs>
        <w:spacing w:before="240"/>
        <w:ind w:left="1134" w:hanging="567"/>
        <w:jc w:val="both"/>
        <w:rPr>
          <w:rFonts w:ascii="Book Antiqua" w:hAnsi="Book Antiqua" w:cs="Arial"/>
        </w:rPr>
      </w:pPr>
      <w:r w:rsidRPr="009A1FDF">
        <w:rPr>
          <w:rFonts w:ascii="Book Antiqua" w:hAnsi="Book Antiqua" w:cs="Arial"/>
        </w:rPr>
        <w:t xml:space="preserve">The </w:t>
      </w:r>
      <w:r w:rsidR="00FD64BD" w:rsidRPr="009A1FDF">
        <w:rPr>
          <w:rFonts w:ascii="Book Antiqua" w:hAnsi="Book Antiqua" w:cs="Arial"/>
        </w:rPr>
        <w:t>Appellant</w:t>
      </w:r>
      <w:r w:rsidRPr="009A1FDF">
        <w:rPr>
          <w:rFonts w:ascii="Book Antiqua" w:hAnsi="Book Antiqua" w:cs="Arial"/>
        </w:rPr>
        <w:t xml:space="preserve"> appeals against a decision of First-Tier Tribunal Judge </w:t>
      </w:r>
      <w:r w:rsidR="00AD0B4D">
        <w:rPr>
          <w:rFonts w:ascii="Book Antiqua" w:hAnsi="Book Antiqua" w:cs="Arial"/>
        </w:rPr>
        <w:t>Moore</w:t>
      </w:r>
      <w:r w:rsidRPr="009A1FDF">
        <w:rPr>
          <w:rFonts w:ascii="Book Antiqua" w:hAnsi="Book Antiqua" w:cs="Arial"/>
        </w:rPr>
        <w:t xml:space="preserve"> promulgated on </w:t>
      </w:r>
      <w:r w:rsidR="002102E9">
        <w:rPr>
          <w:rFonts w:ascii="Book Antiqua" w:hAnsi="Book Antiqua" w:cs="Arial"/>
        </w:rPr>
        <w:t>1</w:t>
      </w:r>
      <w:r w:rsidR="009A1FDF" w:rsidRPr="009A1FDF">
        <w:rPr>
          <w:rFonts w:ascii="Book Antiqua" w:hAnsi="Book Antiqua" w:cs="Arial"/>
        </w:rPr>
        <w:t>2 J</w:t>
      </w:r>
      <w:r w:rsidR="00AD0B4D">
        <w:rPr>
          <w:rFonts w:ascii="Book Antiqua" w:hAnsi="Book Antiqua" w:cs="Arial"/>
        </w:rPr>
        <w:t>une 2017</w:t>
      </w:r>
      <w:r w:rsidRPr="009A1FDF">
        <w:rPr>
          <w:rFonts w:ascii="Book Antiqua" w:hAnsi="Book Antiqua" w:cs="Arial"/>
        </w:rPr>
        <w:t xml:space="preserve"> (“the Decision”) </w:t>
      </w:r>
      <w:r w:rsidR="00FD64BD" w:rsidRPr="009A1FDF">
        <w:rPr>
          <w:rFonts w:ascii="Book Antiqua" w:hAnsi="Book Antiqua" w:cs="Arial"/>
        </w:rPr>
        <w:t>dismiss</w:t>
      </w:r>
      <w:r w:rsidRPr="009A1FDF">
        <w:rPr>
          <w:rFonts w:ascii="Book Antiqua" w:hAnsi="Book Antiqua" w:cs="Arial"/>
        </w:rPr>
        <w:t xml:space="preserve">ing the Appellant’s appeal against the Secretary of State’s decision dated </w:t>
      </w:r>
      <w:r w:rsidR="00AD0B4D">
        <w:rPr>
          <w:rFonts w:ascii="Book Antiqua" w:hAnsi="Book Antiqua" w:cs="Arial"/>
        </w:rPr>
        <w:t xml:space="preserve">14 September 2016 revoking the Appellant’s protection status and refusing his humanitarian protection and human rights claims.   </w:t>
      </w:r>
    </w:p>
    <w:p w:rsidR="00AD0B4D" w:rsidRDefault="00AD0B4D" w:rsidP="0076197C">
      <w:pPr>
        <w:numPr>
          <w:ilvl w:val="0"/>
          <w:numId w:val="5"/>
        </w:numPr>
        <w:tabs>
          <w:tab w:val="clear" w:pos="927"/>
          <w:tab w:val="num" w:pos="1134"/>
        </w:tabs>
        <w:spacing w:before="240"/>
        <w:ind w:left="1134" w:hanging="567"/>
        <w:jc w:val="both"/>
        <w:rPr>
          <w:rFonts w:ascii="Book Antiqua" w:hAnsi="Book Antiqua" w:cs="Arial"/>
        </w:rPr>
      </w:pPr>
      <w:r w:rsidRPr="00AD0B4D">
        <w:rPr>
          <w:rFonts w:ascii="Book Antiqua" w:hAnsi="Book Antiqua" w:cs="Arial"/>
        </w:rPr>
        <w:t>The Respondent’s decision is made in the context of a deportation order to remove the Appellant to Somalia.  The Appellant was convicted of rape of a male aged over sixteen years, sentenced to seven years’ imprisonment and placed on the sex offender’s register indefinitely.  The Respondent certified the Appellant’s protection claim</w:t>
      </w:r>
      <w:r w:rsidR="0035606D" w:rsidRPr="00AD0B4D">
        <w:rPr>
          <w:rFonts w:ascii="Book Antiqua" w:hAnsi="Book Antiqua" w:cs="Arial"/>
        </w:rPr>
        <w:t xml:space="preserve"> </w:t>
      </w:r>
      <w:r>
        <w:rPr>
          <w:rFonts w:ascii="Book Antiqua" w:hAnsi="Book Antiqua" w:cs="Arial"/>
        </w:rPr>
        <w:t xml:space="preserve">under section 72 Nationality, Immigration and Asylum Act 2002 on the basis of his offending.  The Judge upheld the certificate.  In consequence and in accordance with what is said in the Tribunal’s decision in </w:t>
      </w:r>
      <w:r>
        <w:rPr>
          <w:rFonts w:ascii="Book Antiqua" w:hAnsi="Book Antiqua" w:cs="Arial"/>
          <w:u w:val="single"/>
        </w:rPr>
        <w:t>Essa (Revocation of protection status appeals)</w:t>
      </w:r>
      <w:r>
        <w:rPr>
          <w:rFonts w:ascii="Book Antiqua" w:hAnsi="Book Antiqua" w:cs="Arial"/>
        </w:rPr>
        <w:t xml:space="preserve"> [2018] UKUT 00244 (IAC), the appeal in relation to the revocation of protection decision must be dismissed (as it was).  Mr Cheng also accepted that there could be no challenge to the Appellant’s exclusion from humanitarian protection. </w:t>
      </w:r>
    </w:p>
    <w:p w:rsidR="00AD0B4D" w:rsidRDefault="00AD0B4D"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The only issue which remains therefore is whether deportation will breach the Appellant’s human rights, specifically those under Article 3 ECHR, arising from the situation in Mogadishu.</w:t>
      </w:r>
      <w:r w:rsidR="00BD3974">
        <w:rPr>
          <w:rFonts w:ascii="Book Antiqua" w:hAnsi="Book Antiqua" w:cs="Arial"/>
        </w:rPr>
        <w:t xml:space="preserve">  The Judge rejected that claim and therefore dismissed the appeal on all grounds.</w:t>
      </w:r>
    </w:p>
    <w:p w:rsidR="00BD3974" w:rsidRDefault="00BD3974"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The sole focus of the Appellant’s grounds is [35] of the Decision</w:t>
      </w:r>
      <w:r w:rsidR="00C320FD">
        <w:rPr>
          <w:rFonts w:ascii="Book Antiqua" w:hAnsi="Book Antiqua" w:cs="Arial"/>
        </w:rPr>
        <w:t>, the relevant part of</w:t>
      </w:r>
      <w:r>
        <w:rPr>
          <w:rFonts w:ascii="Book Antiqua" w:hAnsi="Book Antiqua" w:cs="Arial"/>
        </w:rPr>
        <w:t xml:space="preserve"> which I set out below.  The Appellant accepts that the guidance relevant to the Decision is that contained in </w:t>
      </w:r>
      <w:r>
        <w:rPr>
          <w:rFonts w:ascii="Book Antiqua" w:hAnsi="Book Antiqua" w:cs="Arial"/>
          <w:u w:val="single"/>
        </w:rPr>
        <w:t xml:space="preserve">MOJ &amp; </w:t>
      </w:r>
      <w:proofErr w:type="spellStart"/>
      <w:r>
        <w:rPr>
          <w:rFonts w:ascii="Book Antiqua" w:hAnsi="Book Antiqua" w:cs="Arial"/>
          <w:u w:val="single"/>
        </w:rPr>
        <w:t>Ors</w:t>
      </w:r>
      <w:proofErr w:type="spellEnd"/>
      <w:r>
        <w:rPr>
          <w:rFonts w:ascii="Book Antiqua" w:hAnsi="Book Antiqua" w:cs="Arial"/>
          <w:u w:val="single"/>
        </w:rPr>
        <w:t xml:space="preserve"> (Return to Mogadishu) Somalia CG</w:t>
      </w:r>
      <w:r>
        <w:rPr>
          <w:rFonts w:ascii="Book Antiqua" w:hAnsi="Book Antiqua" w:cs="Arial"/>
        </w:rPr>
        <w:t xml:space="preserve"> [2014] UKUT 00442 (IAC) (“</w:t>
      </w:r>
      <w:r>
        <w:rPr>
          <w:rFonts w:ascii="Book Antiqua" w:hAnsi="Book Antiqua" w:cs="Arial"/>
          <w:u w:val="single"/>
        </w:rPr>
        <w:t xml:space="preserve">MOJ &amp; </w:t>
      </w:r>
      <w:proofErr w:type="spellStart"/>
      <w:r>
        <w:rPr>
          <w:rFonts w:ascii="Book Antiqua" w:hAnsi="Book Antiqua" w:cs="Arial"/>
          <w:u w:val="single"/>
        </w:rPr>
        <w:t>Ors</w:t>
      </w:r>
      <w:proofErr w:type="spellEnd"/>
      <w:r>
        <w:rPr>
          <w:rFonts w:ascii="Book Antiqua" w:hAnsi="Book Antiqua" w:cs="Arial"/>
        </w:rPr>
        <w:t xml:space="preserve">”) but says that the Judge has failed to consider how the Appellant can be expected to survive in Mogadishu in the period before he is able to obtain employment.  It is said that, based on the Judge’s findings, there is a real risk that the Appellant would be obliged to seek accommodation in an IDP camp and it is accepted in </w:t>
      </w:r>
      <w:r>
        <w:rPr>
          <w:rFonts w:ascii="Book Antiqua" w:hAnsi="Book Antiqua" w:cs="Arial"/>
          <w:u w:val="single"/>
        </w:rPr>
        <w:t xml:space="preserve">MOJ &amp; </w:t>
      </w:r>
      <w:proofErr w:type="spellStart"/>
      <w:r>
        <w:rPr>
          <w:rFonts w:ascii="Book Antiqua" w:hAnsi="Book Antiqua" w:cs="Arial"/>
          <w:u w:val="single"/>
        </w:rPr>
        <w:t>Ors</w:t>
      </w:r>
      <w:proofErr w:type="spellEnd"/>
      <w:r>
        <w:rPr>
          <w:rFonts w:ascii="Book Antiqua" w:hAnsi="Book Antiqua" w:cs="Arial"/>
        </w:rPr>
        <w:t xml:space="preserve"> that the</w:t>
      </w:r>
      <w:r w:rsidR="00C320FD">
        <w:rPr>
          <w:rFonts w:ascii="Book Antiqua" w:hAnsi="Book Antiqua" w:cs="Arial"/>
        </w:rPr>
        <w:t>re is a real possibility that</w:t>
      </w:r>
      <w:r>
        <w:rPr>
          <w:rFonts w:ascii="Book Antiqua" w:hAnsi="Book Antiqua" w:cs="Arial"/>
        </w:rPr>
        <w:t xml:space="preserve"> conditions in those camps breaches Article 3 ECHR.  It is therefore said that the Appellant is entitled to succeed on his Article 3 ground.</w:t>
      </w:r>
    </w:p>
    <w:p w:rsidR="00BD3974" w:rsidRDefault="00BD3974"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Permission to appeal was refused by First-tier Tribunal Judge Lambert on 4 April 2018.  However, permission to appeal was granted by Upper Tribunal Judge Lindsley on 17 July 2018 in the following terms:</w:t>
      </w:r>
    </w:p>
    <w:p w:rsidR="00BD3974" w:rsidRDefault="00BD3974" w:rsidP="0076197C">
      <w:pPr>
        <w:tabs>
          <w:tab w:val="left" w:pos="2268"/>
        </w:tabs>
        <w:spacing w:before="120" w:after="120"/>
        <w:ind w:left="1701" w:right="567"/>
        <w:jc w:val="both"/>
        <w:rPr>
          <w:rFonts w:ascii="Book Antiqua" w:hAnsi="Book Antiqua" w:cs="Arial"/>
          <w:sz w:val="22"/>
          <w:szCs w:val="22"/>
        </w:rPr>
      </w:pPr>
      <w:r>
        <w:rPr>
          <w:rFonts w:ascii="Book Antiqua" w:hAnsi="Book Antiqua" w:cs="Arial"/>
          <w:sz w:val="22"/>
          <w:szCs w:val="22"/>
        </w:rPr>
        <w:t>“1.</w:t>
      </w:r>
      <w:r>
        <w:rPr>
          <w:rFonts w:ascii="Book Antiqua" w:hAnsi="Book Antiqua" w:cs="Arial"/>
          <w:sz w:val="22"/>
          <w:szCs w:val="22"/>
        </w:rPr>
        <w:tab/>
        <w:t>The appellant is a citizen of Somalia who is resisting deportation from the UK.</w:t>
      </w:r>
    </w:p>
    <w:p w:rsidR="00BD3974" w:rsidRDefault="00BD3974" w:rsidP="0076197C">
      <w:pPr>
        <w:tabs>
          <w:tab w:val="left" w:pos="2268"/>
        </w:tabs>
        <w:spacing w:before="120" w:after="120"/>
        <w:ind w:left="1701" w:right="567"/>
        <w:jc w:val="both"/>
        <w:rPr>
          <w:rFonts w:ascii="Book Antiqua" w:hAnsi="Book Antiqua" w:cs="Arial"/>
          <w:sz w:val="22"/>
          <w:szCs w:val="22"/>
        </w:rPr>
      </w:pPr>
      <w:r>
        <w:rPr>
          <w:rFonts w:ascii="Book Antiqua" w:hAnsi="Book Antiqua" w:cs="Arial"/>
          <w:sz w:val="22"/>
          <w:szCs w:val="22"/>
        </w:rPr>
        <w:t>2.</w:t>
      </w:r>
      <w:r>
        <w:rPr>
          <w:rFonts w:ascii="Book Antiqua" w:hAnsi="Book Antiqua" w:cs="Arial"/>
          <w:sz w:val="22"/>
          <w:szCs w:val="22"/>
        </w:rPr>
        <w:tab/>
        <w:t>This is a renewed application for permission to appeal against the decision of the First-tier Tribunal made at Hendon dismissing the appeal on all grounds.</w:t>
      </w:r>
    </w:p>
    <w:p w:rsidR="00BD3974" w:rsidRDefault="00BD3974" w:rsidP="0076197C">
      <w:pPr>
        <w:tabs>
          <w:tab w:val="left" w:pos="2268"/>
        </w:tabs>
        <w:spacing w:before="120" w:after="120"/>
        <w:ind w:left="1701" w:right="567"/>
        <w:jc w:val="both"/>
        <w:rPr>
          <w:rFonts w:ascii="Book Antiqua" w:hAnsi="Book Antiqua" w:cs="Arial"/>
          <w:sz w:val="22"/>
          <w:szCs w:val="22"/>
        </w:rPr>
      </w:pPr>
      <w:r>
        <w:rPr>
          <w:rFonts w:ascii="Book Antiqua" w:hAnsi="Book Antiqua" w:cs="Arial"/>
          <w:sz w:val="22"/>
          <w:szCs w:val="22"/>
        </w:rPr>
        <w:lastRenderedPageBreak/>
        <w:t>3.</w:t>
      </w:r>
      <w:r>
        <w:rPr>
          <w:rFonts w:ascii="Book Antiqua" w:hAnsi="Book Antiqua" w:cs="Arial"/>
          <w:sz w:val="22"/>
          <w:szCs w:val="22"/>
        </w:rPr>
        <w:tab/>
        <w:t xml:space="preserve">The grounds of appeal contend, in summary, that firstly time should be extended due to delays in the appellant himself obtaining the decision from his previous representatives which led to delays in lodging the application with the First-tier Tribunal.  It is argued that the First-tier Tribunal erred in law at paragraph 35 of the decision by arguably finding that the appellant might take some time to find employment and then dismissing the appeal.  This is arguably unlawful in light of what is said in the guidance decision of </w:t>
      </w:r>
      <w:r>
        <w:rPr>
          <w:rFonts w:ascii="Book Antiqua" w:hAnsi="Book Antiqua" w:cs="Arial"/>
          <w:sz w:val="22"/>
          <w:szCs w:val="22"/>
          <w:u w:val="single"/>
        </w:rPr>
        <w:t>MOJ</w:t>
      </w:r>
      <w:r>
        <w:rPr>
          <w:rFonts w:ascii="Book Antiqua" w:hAnsi="Book Antiqua" w:cs="Arial"/>
          <w:sz w:val="22"/>
          <w:szCs w:val="22"/>
        </w:rPr>
        <w:t xml:space="preserve"> where it was found having to resettle to an IDP camp would put an appellant at real risk of Article 3 ECHR breaches.</w:t>
      </w:r>
    </w:p>
    <w:p w:rsidR="00BD3974" w:rsidRPr="00BD3974" w:rsidRDefault="00BD3974" w:rsidP="0076197C">
      <w:pPr>
        <w:tabs>
          <w:tab w:val="left" w:pos="2268"/>
        </w:tabs>
        <w:spacing w:before="120" w:after="120"/>
        <w:ind w:left="1701" w:right="567"/>
        <w:jc w:val="both"/>
        <w:rPr>
          <w:rFonts w:ascii="Book Antiqua" w:hAnsi="Book Antiqua" w:cs="Arial"/>
          <w:sz w:val="22"/>
          <w:szCs w:val="22"/>
        </w:rPr>
      </w:pPr>
      <w:r>
        <w:rPr>
          <w:rFonts w:ascii="Book Antiqua" w:hAnsi="Book Antiqua" w:cs="Arial"/>
          <w:sz w:val="22"/>
          <w:szCs w:val="22"/>
        </w:rPr>
        <w:t>4.</w:t>
      </w:r>
      <w:r>
        <w:rPr>
          <w:rFonts w:ascii="Book Antiqua" w:hAnsi="Book Antiqua" w:cs="Arial"/>
          <w:sz w:val="22"/>
          <w:szCs w:val="22"/>
        </w:rPr>
        <w:tab/>
        <w:t>I extend time and find that the grounds are arguable.”</w:t>
      </w:r>
    </w:p>
    <w:p w:rsidR="00E32687" w:rsidRDefault="00E32687" w:rsidP="0076197C">
      <w:pPr>
        <w:numPr>
          <w:ilvl w:val="0"/>
          <w:numId w:val="5"/>
        </w:numPr>
        <w:tabs>
          <w:tab w:val="clear" w:pos="927"/>
          <w:tab w:val="num" w:pos="1134"/>
        </w:tabs>
        <w:spacing w:before="240"/>
        <w:ind w:left="1134" w:hanging="567"/>
        <w:jc w:val="both"/>
        <w:rPr>
          <w:rFonts w:ascii="Book Antiqua" w:hAnsi="Book Antiqua" w:cs="Arial"/>
        </w:rPr>
      </w:pPr>
      <w:r w:rsidRPr="0010320E">
        <w:rPr>
          <w:rFonts w:ascii="Book Antiqua" w:hAnsi="Book Antiqua" w:cs="Arial"/>
        </w:rPr>
        <w:t>The matter comes before me to decide whether the Decision contains a material error of law</w:t>
      </w:r>
      <w:r w:rsidR="00BD3974">
        <w:rPr>
          <w:rFonts w:ascii="Book Antiqua" w:hAnsi="Book Antiqua" w:cs="Arial"/>
        </w:rPr>
        <w:t xml:space="preserve"> and if so to re-make the decision or remit the appeal to the First-tier Tribunal</w:t>
      </w:r>
      <w:r w:rsidR="0051213E">
        <w:rPr>
          <w:rFonts w:ascii="Book Antiqua" w:hAnsi="Book Antiqua" w:cs="Arial"/>
        </w:rPr>
        <w:t xml:space="preserve">.  </w:t>
      </w:r>
    </w:p>
    <w:p w:rsidR="007C68D1" w:rsidRPr="00763F41" w:rsidRDefault="00763F41" w:rsidP="0076197C">
      <w:pPr>
        <w:tabs>
          <w:tab w:val="left" w:pos="567"/>
        </w:tabs>
        <w:spacing w:before="240"/>
        <w:ind w:left="567"/>
        <w:jc w:val="both"/>
        <w:rPr>
          <w:rFonts w:ascii="Book Antiqua" w:hAnsi="Book Antiqua" w:cs="Arial"/>
          <w:b/>
          <w:u w:val="single"/>
        </w:rPr>
      </w:pPr>
      <w:r w:rsidRPr="00763F41">
        <w:rPr>
          <w:rFonts w:ascii="Book Antiqua" w:hAnsi="Book Antiqua" w:cs="Arial"/>
          <w:b/>
          <w:u w:val="single"/>
        </w:rPr>
        <w:t>Decision and Reasons</w:t>
      </w:r>
    </w:p>
    <w:p w:rsidR="001E2FB2" w:rsidRDefault="001E2FB2"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Paragraph [35] of the Decision reads as follows so far as relevant:</w:t>
      </w:r>
    </w:p>
    <w:p w:rsidR="001E2FB2" w:rsidRPr="001E2FB2" w:rsidRDefault="001E2FB2" w:rsidP="0076197C">
      <w:pPr>
        <w:spacing w:before="120" w:after="120"/>
        <w:ind w:left="1701" w:right="567"/>
        <w:jc w:val="both"/>
        <w:rPr>
          <w:rFonts w:ascii="Book Antiqua" w:hAnsi="Book Antiqua" w:cs="Arial"/>
          <w:sz w:val="22"/>
          <w:szCs w:val="22"/>
        </w:rPr>
      </w:pPr>
      <w:r>
        <w:rPr>
          <w:rFonts w:ascii="Book Antiqua" w:hAnsi="Book Antiqua" w:cs="Arial"/>
          <w:sz w:val="22"/>
          <w:szCs w:val="22"/>
        </w:rPr>
        <w:t>“…The Tribunal</w:t>
      </w:r>
      <w:r w:rsidR="00B5528C">
        <w:rPr>
          <w:rFonts w:ascii="Book Antiqua" w:hAnsi="Book Antiqua" w:cs="Arial"/>
          <w:sz w:val="22"/>
          <w:szCs w:val="22"/>
        </w:rPr>
        <w:t xml:space="preserve"> [in MOJ]</w:t>
      </w:r>
      <w:r>
        <w:rPr>
          <w:rFonts w:ascii="Book Antiqua" w:hAnsi="Book Antiqua" w:cs="Arial"/>
          <w:sz w:val="22"/>
          <w:szCs w:val="22"/>
        </w:rPr>
        <w:t xml:space="preserve"> listed a number of considerations to be borne in mind for a person facing a return to Mogadishu after a period of absence if there was no nuclear family or close relatives in the city to assist him in re-establishing himself on return.  I have borne in mind this appellant’s length of absence from Mogadishu and accept that he may not have any family members living in Somalia apart from the mother of his wife in the UK.  The appellant has claimed that family members have offered him financial support in the UK and I see no reason why the same family members could not provide similar financial support if the appellant was to return to Somalia.   If the appellant is from a minority clan as he has claimed then that may well pose some difficulties for him, but even with such difficulties he should within a reasonable period of time gain some form of employment and access some of the economic opportunities in that country.  I do not accept that the circumstances for this appellant on return would fall below that which is acceptable in Humanitarian Protection terms.  Life will undoubtedly be difficult but will not in my view fall below acceptable humanitarian standards.  In a witness statement provided by the appellant and dated 12</w:t>
      </w:r>
      <w:r w:rsidRPr="001E2FB2">
        <w:rPr>
          <w:rFonts w:ascii="Book Antiqua" w:hAnsi="Book Antiqua" w:cs="Arial"/>
          <w:sz w:val="22"/>
          <w:szCs w:val="22"/>
          <w:vertAlign w:val="superscript"/>
        </w:rPr>
        <w:t>th</w:t>
      </w:r>
      <w:r>
        <w:rPr>
          <w:rFonts w:ascii="Book Antiqua" w:hAnsi="Book Antiqua" w:cs="Arial"/>
          <w:sz w:val="22"/>
          <w:szCs w:val="22"/>
        </w:rPr>
        <w:t xml:space="preserve"> July 2005 he stated that he was born in Mogadishu and that his last address in Somalia was in Mogadishu and this appellant gave details of six siblings who were born in Mogadishu, and it would appear that the immigration status document issued to the appellant gave his place of birth as Mogadishu.  It clearly seems to be the case that this appellant had previously resided in Mogadishu and therefore when he left Somalia had ties with that country city.  The appellant is an adult male in good health who spent his youth and formative years in Mogadishu and speaks Somali.  Having considered the personal circumstances of this appellant and all the evidence before me I consider that removal to Mogadishu in Somalia would not infringe the appellant’s Article 3 ECHR rights….”</w:t>
      </w:r>
    </w:p>
    <w:p w:rsidR="001E2FB2" w:rsidRDefault="001E2FB2"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 xml:space="preserve">That passage has to be read in the context of the guidance given in </w:t>
      </w:r>
      <w:r w:rsidRPr="001E2FB2">
        <w:rPr>
          <w:rFonts w:ascii="Book Antiqua" w:hAnsi="Book Antiqua" w:cs="Arial"/>
          <w:u w:val="single"/>
        </w:rPr>
        <w:t xml:space="preserve">MOJ &amp; </w:t>
      </w:r>
      <w:proofErr w:type="spellStart"/>
      <w:r w:rsidRPr="001E2FB2">
        <w:rPr>
          <w:rFonts w:ascii="Book Antiqua" w:hAnsi="Book Antiqua" w:cs="Arial"/>
          <w:u w:val="single"/>
        </w:rPr>
        <w:t>Ors</w:t>
      </w:r>
      <w:proofErr w:type="spellEnd"/>
      <w:r>
        <w:rPr>
          <w:rFonts w:ascii="Book Antiqua" w:hAnsi="Book Antiqua" w:cs="Arial"/>
        </w:rPr>
        <w:t xml:space="preserve"> as follows (so far as relevant to this issue):</w:t>
      </w:r>
    </w:p>
    <w:p w:rsidR="005C7542" w:rsidRDefault="00F648E9" w:rsidP="005C7542">
      <w:pPr>
        <w:spacing w:before="120" w:after="120"/>
        <w:ind w:left="2268" w:right="567" w:hanging="567"/>
        <w:jc w:val="both"/>
        <w:rPr>
          <w:rFonts w:ascii="Book Antiqua" w:hAnsi="Book Antiqua" w:cs="Arial"/>
          <w:i/>
        </w:rPr>
      </w:pPr>
      <w:r>
        <w:rPr>
          <w:rFonts w:ascii="Book Antiqua" w:hAnsi="Book Antiqua" w:cs="Arial"/>
          <w:i/>
        </w:rPr>
        <w:lastRenderedPageBreak/>
        <w:t>“…</w:t>
      </w:r>
    </w:p>
    <w:p w:rsidR="001E2FB2" w:rsidRPr="00B5528C" w:rsidRDefault="00F648E9" w:rsidP="005C7542">
      <w:pPr>
        <w:spacing w:before="120" w:after="120"/>
        <w:ind w:left="2268" w:right="567" w:hanging="567"/>
        <w:jc w:val="both"/>
        <w:rPr>
          <w:rFonts w:ascii="Book Antiqua" w:hAnsi="Book Antiqua" w:cs="Arial"/>
          <w:i/>
          <w:sz w:val="22"/>
          <w:szCs w:val="22"/>
        </w:rPr>
      </w:pPr>
      <w:r w:rsidRPr="00B5528C">
        <w:rPr>
          <w:rFonts w:ascii="Book Antiqua" w:hAnsi="Book Antiqua" w:cs="Arial"/>
          <w:i/>
          <w:sz w:val="22"/>
          <w:szCs w:val="22"/>
        </w:rPr>
        <w:t>(vii)</w:t>
      </w:r>
      <w:r w:rsidR="005C7542">
        <w:rPr>
          <w:rFonts w:ascii="Book Antiqua" w:hAnsi="Book Antiqua" w:cs="Arial"/>
          <w:i/>
          <w:sz w:val="22"/>
          <w:szCs w:val="22"/>
        </w:rPr>
        <w:tab/>
      </w:r>
      <w:r w:rsidR="001E2FB2" w:rsidRPr="00B5528C">
        <w:rPr>
          <w:rFonts w:ascii="Book Antiqua" w:hAnsi="Book Antiqua" w:cs="Arial"/>
          <w:i/>
          <w:sz w:val="22"/>
          <w:szCs w:val="22"/>
        </w:rPr>
        <w:t>A person returning to Mogadishu after a period of absence will look to his nuclear family, if he has one living in the city, for assistance in re-establishing himself and securing a livelihood. Although a returnee may also seek assistance from his clan members who are not close relatives, such help is only likely to be forthcoming for majority clan members, as minority clans may have little to offer.</w:t>
      </w:r>
    </w:p>
    <w:p w:rsidR="001E2FB2" w:rsidRPr="00B5528C" w:rsidRDefault="001E2FB2" w:rsidP="005C7542">
      <w:pPr>
        <w:numPr>
          <w:ilvl w:val="0"/>
          <w:numId w:val="15"/>
        </w:numPr>
        <w:spacing w:before="120" w:after="120"/>
        <w:ind w:left="2268" w:right="567" w:hanging="567"/>
        <w:jc w:val="both"/>
        <w:rPr>
          <w:rFonts w:ascii="Book Antiqua" w:hAnsi="Book Antiqua" w:cs="Arial"/>
          <w:i/>
          <w:sz w:val="22"/>
          <w:szCs w:val="22"/>
        </w:rPr>
      </w:pPr>
      <w:r w:rsidRPr="00B5528C">
        <w:rPr>
          <w:rFonts w:ascii="Book Antiqua" w:hAnsi="Book Antiqua" w:cs="Arial"/>
          <w:i/>
          <w:sz w:val="22"/>
          <w:szCs w:val="22"/>
        </w:rPr>
        <w:t>The significance of clan membership in Mogadishu has changed. Clans now provide, potentially, social support mechanisms and assist with access to livelihoods, performing less of a protection function than previously. There are no clan militias in Mogadishu, no clan violence, and no clan based discriminatory treatment, even for minority clan members.</w:t>
      </w:r>
    </w:p>
    <w:p w:rsidR="001E2FB2" w:rsidRPr="00B5528C" w:rsidRDefault="001E2FB2" w:rsidP="005C7542">
      <w:pPr>
        <w:numPr>
          <w:ilvl w:val="0"/>
          <w:numId w:val="15"/>
        </w:numPr>
        <w:spacing w:before="120" w:after="120"/>
        <w:ind w:left="2268" w:right="567" w:hanging="567"/>
        <w:jc w:val="both"/>
        <w:rPr>
          <w:rFonts w:ascii="Book Antiqua" w:hAnsi="Book Antiqua" w:cs="Arial"/>
          <w:i/>
          <w:sz w:val="22"/>
          <w:szCs w:val="22"/>
        </w:rPr>
      </w:pPr>
      <w:r w:rsidRPr="00B5528C">
        <w:rPr>
          <w:rFonts w:ascii="Book Antiqua" w:hAnsi="Book Antiqua" w:cs="Arial"/>
          <w:i/>
          <w:sz w:val="22"/>
          <w:szCs w:val="22"/>
        </w:rPr>
        <w:t xml:space="preserve">If it is accepted that a person facing a return to Mogadishu after a period of absence has no nuclear family or close relatives in the city to assist him in re-establishing himself on return, there will need to be a careful assessment of all of the circumstances. These considerations will include, but are not limited to: </w:t>
      </w:r>
    </w:p>
    <w:p w:rsidR="001E2FB2" w:rsidRPr="00B5528C" w:rsidRDefault="001E2FB2" w:rsidP="0076197C">
      <w:pPr>
        <w:numPr>
          <w:ilvl w:val="0"/>
          <w:numId w:val="13"/>
        </w:numPr>
        <w:spacing w:before="120" w:after="120"/>
        <w:ind w:right="567"/>
        <w:jc w:val="both"/>
        <w:rPr>
          <w:rFonts w:ascii="Book Antiqua" w:hAnsi="Book Antiqua" w:cs="Arial"/>
          <w:i/>
          <w:sz w:val="22"/>
          <w:szCs w:val="22"/>
        </w:rPr>
      </w:pPr>
      <w:r w:rsidRPr="00B5528C">
        <w:rPr>
          <w:rFonts w:ascii="Book Antiqua" w:hAnsi="Book Antiqua" w:cs="Arial"/>
          <w:i/>
          <w:sz w:val="22"/>
          <w:szCs w:val="22"/>
        </w:rPr>
        <w:t>circumstances in Mogadishu before departure;</w:t>
      </w:r>
    </w:p>
    <w:p w:rsidR="001E2FB2" w:rsidRPr="00B5528C" w:rsidRDefault="001E2FB2" w:rsidP="0076197C">
      <w:pPr>
        <w:numPr>
          <w:ilvl w:val="0"/>
          <w:numId w:val="13"/>
        </w:numPr>
        <w:spacing w:before="120" w:after="120"/>
        <w:ind w:right="567"/>
        <w:jc w:val="both"/>
        <w:rPr>
          <w:rFonts w:ascii="Book Antiqua" w:hAnsi="Book Antiqua" w:cs="Arial"/>
          <w:i/>
          <w:sz w:val="22"/>
          <w:szCs w:val="22"/>
        </w:rPr>
      </w:pPr>
      <w:r w:rsidRPr="00B5528C">
        <w:rPr>
          <w:rFonts w:ascii="Book Antiqua" w:hAnsi="Book Antiqua" w:cs="Arial"/>
          <w:i/>
          <w:sz w:val="22"/>
          <w:szCs w:val="22"/>
        </w:rPr>
        <w:t>length of absence from Mogadishu;</w:t>
      </w:r>
    </w:p>
    <w:p w:rsidR="001E2FB2" w:rsidRPr="00B5528C" w:rsidRDefault="001E2FB2" w:rsidP="0076197C">
      <w:pPr>
        <w:numPr>
          <w:ilvl w:val="0"/>
          <w:numId w:val="13"/>
        </w:numPr>
        <w:spacing w:before="120" w:after="120"/>
        <w:ind w:right="567"/>
        <w:jc w:val="both"/>
        <w:rPr>
          <w:rFonts w:ascii="Book Antiqua" w:hAnsi="Book Antiqua" w:cs="Arial"/>
          <w:i/>
          <w:sz w:val="22"/>
          <w:szCs w:val="22"/>
        </w:rPr>
      </w:pPr>
      <w:r w:rsidRPr="00B5528C">
        <w:rPr>
          <w:rFonts w:ascii="Book Antiqua" w:hAnsi="Book Antiqua" w:cs="Arial"/>
          <w:i/>
          <w:sz w:val="22"/>
          <w:szCs w:val="22"/>
        </w:rPr>
        <w:t xml:space="preserve">family or clan associations to call upon in Mogadishu; </w:t>
      </w:r>
    </w:p>
    <w:p w:rsidR="001E2FB2" w:rsidRPr="00B5528C" w:rsidRDefault="001E2FB2" w:rsidP="0076197C">
      <w:pPr>
        <w:numPr>
          <w:ilvl w:val="0"/>
          <w:numId w:val="13"/>
        </w:numPr>
        <w:spacing w:before="120" w:after="120"/>
        <w:ind w:right="567"/>
        <w:jc w:val="both"/>
        <w:rPr>
          <w:rFonts w:ascii="Book Antiqua" w:hAnsi="Book Antiqua" w:cs="Arial"/>
          <w:i/>
          <w:sz w:val="22"/>
          <w:szCs w:val="22"/>
        </w:rPr>
      </w:pPr>
      <w:r w:rsidRPr="00B5528C">
        <w:rPr>
          <w:rFonts w:ascii="Book Antiqua" w:hAnsi="Book Antiqua" w:cs="Arial"/>
          <w:i/>
          <w:sz w:val="22"/>
          <w:szCs w:val="22"/>
        </w:rPr>
        <w:t>access to financial resources;</w:t>
      </w:r>
    </w:p>
    <w:p w:rsidR="001E2FB2" w:rsidRPr="00B5528C" w:rsidRDefault="001E2FB2" w:rsidP="0076197C">
      <w:pPr>
        <w:numPr>
          <w:ilvl w:val="0"/>
          <w:numId w:val="13"/>
        </w:numPr>
        <w:spacing w:before="120" w:after="120"/>
        <w:ind w:right="567"/>
        <w:jc w:val="both"/>
        <w:rPr>
          <w:rFonts w:ascii="Book Antiqua" w:hAnsi="Book Antiqua" w:cs="Arial"/>
          <w:i/>
          <w:sz w:val="22"/>
          <w:szCs w:val="22"/>
        </w:rPr>
      </w:pPr>
      <w:r w:rsidRPr="00B5528C">
        <w:rPr>
          <w:rFonts w:ascii="Book Antiqua" w:hAnsi="Book Antiqua" w:cs="Arial"/>
          <w:i/>
          <w:sz w:val="22"/>
          <w:szCs w:val="22"/>
        </w:rPr>
        <w:t xml:space="preserve">prospects of securing a livelihood, whether that be employment or </w:t>
      </w:r>
      <w:proofErr w:type="spellStart"/>
      <w:r w:rsidRPr="00B5528C">
        <w:rPr>
          <w:rFonts w:ascii="Book Antiqua" w:hAnsi="Book Antiqua" w:cs="Arial"/>
          <w:i/>
          <w:sz w:val="22"/>
          <w:szCs w:val="22"/>
        </w:rPr>
        <w:t>self employment</w:t>
      </w:r>
      <w:proofErr w:type="spellEnd"/>
      <w:r w:rsidRPr="00B5528C">
        <w:rPr>
          <w:rFonts w:ascii="Book Antiqua" w:hAnsi="Book Antiqua" w:cs="Arial"/>
          <w:i/>
          <w:sz w:val="22"/>
          <w:szCs w:val="22"/>
        </w:rPr>
        <w:t>;</w:t>
      </w:r>
    </w:p>
    <w:p w:rsidR="001E2FB2" w:rsidRPr="00B5528C" w:rsidRDefault="001E2FB2" w:rsidP="0076197C">
      <w:pPr>
        <w:numPr>
          <w:ilvl w:val="0"/>
          <w:numId w:val="13"/>
        </w:numPr>
        <w:spacing w:before="120" w:after="120"/>
        <w:ind w:right="567"/>
        <w:jc w:val="both"/>
        <w:rPr>
          <w:rFonts w:ascii="Book Antiqua" w:hAnsi="Book Antiqua" w:cs="Arial"/>
          <w:i/>
          <w:sz w:val="22"/>
          <w:szCs w:val="22"/>
        </w:rPr>
      </w:pPr>
      <w:r w:rsidRPr="00B5528C">
        <w:rPr>
          <w:rFonts w:ascii="Book Antiqua" w:hAnsi="Book Antiqua" w:cs="Arial"/>
          <w:i/>
          <w:sz w:val="22"/>
          <w:szCs w:val="22"/>
        </w:rPr>
        <w:t>availability of remittances from abroad;</w:t>
      </w:r>
    </w:p>
    <w:p w:rsidR="001E2FB2" w:rsidRPr="00B5528C" w:rsidRDefault="001E2FB2" w:rsidP="0076197C">
      <w:pPr>
        <w:numPr>
          <w:ilvl w:val="0"/>
          <w:numId w:val="13"/>
        </w:numPr>
        <w:spacing w:before="120" w:after="120"/>
        <w:ind w:right="567"/>
        <w:jc w:val="both"/>
        <w:rPr>
          <w:rFonts w:ascii="Book Antiqua" w:hAnsi="Book Antiqua" w:cs="Arial"/>
          <w:i/>
          <w:sz w:val="22"/>
          <w:szCs w:val="22"/>
        </w:rPr>
      </w:pPr>
      <w:r w:rsidRPr="00B5528C">
        <w:rPr>
          <w:rFonts w:ascii="Book Antiqua" w:hAnsi="Book Antiqua" w:cs="Arial"/>
          <w:i/>
          <w:sz w:val="22"/>
          <w:szCs w:val="22"/>
        </w:rPr>
        <w:t>means of support during the time spent in the United Kingdom;</w:t>
      </w:r>
    </w:p>
    <w:p w:rsidR="001E2FB2" w:rsidRPr="00B5528C" w:rsidRDefault="001E2FB2" w:rsidP="0076197C">
      <w:pPr>
        <w:numPr>
          <w:ilvl w:val="0"/>
          <w:numId w:val="13"/>
        </w:numPr>
        <w:spacing w:before="120" w:after="120"/>
        <w:ind w:right="567"/>
        <w:jc w:val="both"/>
        <w:rPr>
          <w:rFonts w:ascii="Book Antiqua" w:hAnsi="Book Antiqua" w:cs="Arial"/>
          <w:i/>
          <w:sz w:val="22"/>
          <w:szCs w:val="22"/>
        </w:rPr>
      </w:pPr>
      <w:r w:rsidRPr="00B5528C">
        <w:rPr>
          <w:rFonts w:ascii="Book Antiqua" w:hAnsi="Book Antiqua" w:cs="Arial"/>
          <w:i/>
          <w:sz w:val="22"/>
          <w:szCs w:val="22"/>
        </w:rPr>
        <w:t>why his ability to fund the journey to the West no longer enables an appellant to secure financial support on return.</w:t>
      </w:r>
    </w:p>
    <w:p w:rsidR="001E2FB2" w:rsidRPr="00B5528C" w:rsidRDefault="001E2FB2" w:rsidP="005C7542">
      <w:pPr>
        <w:numPr>
          <w:ilvl w:val="0"/>
          <w:numId w:val="15"/>
        </w:numPr>
        <w:spacing w:before="120" w:after="120"/>
        <w:ind w:left="2268" w:right="567" w:hanging="567"/>
        <w:jc w:val="both"/>
        <w:rPr>
          <w:rFonts w:ascii="Book Antiqua" w:hAnsi="Book Antiqua" w:cs="Arial"/>
          <w:i/>
          <w:sz w:val="22"/>
          <w:szCs w:val="22"/>
        </w:rPr>
      </w:pPr>
      <w:r w:rsidRPr="00B5528C">
        <w:rPr>
          <w:rFonts w:ascii="Book Antiqua" w:hAnsi="Book Antiqua" w:cs="Arial"/>
          <w:i/>
          <w:sz w:val="22"/>
          <w:szCs w:val="22"/>
        </w:rPr>
        <w:t>Put another way, it will be for the person facing return to explain why he would not be able to access the economic opportunities that have been produced by the economic boom, especially as there is evidence to the effect that returnees are taking jobs at the expense of those who have never been away.</w:t>
      </w:r>
    </w:p>
    <w:p w:rsidR="001E2FB2" w:rsidRPr="00B5528C" w:rsidRDefault="001E2FB2" w:rsidP="005C7542">
      <w:pPr>
        <w:numPr>
          <w:ilvl w:val="0"/>
          <w:numId w:val="15"/>
        </w:numPr>
        <w:spacing w:before="120" w:after="120"/>
        <w:ind w:left="2268" w:right="567" w:hanging="567"/>
        <w:jc w:val="both"/>
        <w:rPr>
          <w:rFonts w:ascii="Book Antiqua" w:hAnsi="Book Antiqua" w:cs="Arial"/>
          <w:i/>
          <w:sz w:val="22"/>
          <w:szCs w:val="22"/>
        </w:rPr>
      </w:pPr>
      <w:r w:rsidRPr="00B5528C">
        <w:rPr>
          <w:rFonts w:ascii="Book Antiqua" w:hAnsi="Book Antiqua" w:cs="Arial"/>
          <w:i/>
          <w:sz w:val="22"/>
          <w:szCs w:val="22"/>
        </w:rPr>
        <w:t>It will, therefore, only be those with no clan or family support who will not be in receipt of remittances from abroad and who have no real prospect of securing access to a livelihood on return who will face the prospect of living in circumstances falling below that which is acceptable in humanitarian protection terms.</w:t>
      </w:r>
      <w:r w:rsidR="00F648E9" w:rsidRPr="00B5528C">
        <w:rPr>
          <w:rFonts w:ascii="Book Antiqua" w:hAnsi="Book Antiqua" w:cs="Arial"/>
          <w:i/>
          <w:sz w:val="22"/>
          <w:szCs w:val="22"/>
        </w:rPr>
        <w:t>”</w:t>
      </w:r>
    </w:p>
    <w:p w:rsidR="009C6523" w:rsidRDefault="00F648E9"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 xml:space="preserve">Mr Cheng relied heavily on the Judge’s finding that the Appellant “should within a reasonable time gain access to some form of employment”.  His submission is straightforward.  He says that this may be so but does not explain how the Appellant is to survive without recourse to IDP camps in the meanwhile.  That though ignores the reference in the preceding sentence to remittances from his family in the UK, a factor to which the Tribunal specifically referred in </w:t>
      </w:r>
      <w:r>
        <w:rPr>
          <w:rFonts w:ascii="Book Antiqua" w:hAnsi="Book Antiqua" w:cs="Arial"/>
          <w:u w:val="single"/>
        </w:rPr>
        <w:t xml:space="preserve">MOJ &amp; </w:t>
      </w:r>
      <w:proofErr w:type="spellStart"/>
      <w:r w:rsidRPr="00F648E9">
        <w:rPr>
          <w:rFonts w:ascii="Book Antiqua" w:hAnsi="Book Antiqua" w:cs="Arial"/>
          <w:u w:val="single"/>
        </w:rPr>
        <w:t>Ors</w:t>
      </w:r>
      <w:proofErr w:type="spellEnd"/>
      <w:r w:rsidRPr="00F648E9">
        <w:rPr>
          <w:rFonts w:ascii="Book Antiqua" w:hAnsi="Book Antiqua" w:cs="Arial"/>
          <w:u w:val="single"/>
        </w:rPr>
        <w:t>.</w:t>
      </w:r>
      <w:r>
        <w:rPr>
          <w:rFonts w:ascii="Book Antiqua" w:hAnsi="Book Antiqua" w:cs="Arial"/>
        </w:rPr>
        <w:t xml:space="preserve">  Mr Cheng submitted that the finding that such support would be available is contrary to the finding at [39] of the Decision where he said that the Judge </w:t>
      </w:r>
      <w:r>
        <w:rPr>
          <w:rFonts w:ascii="Book Antiqua" w:hAnsi="Book Antiqua" w:cs="Arial"/>
        </w:rPr>
        <w:lastRenderedPageBreak/>
        <w:t xml:space="preserve">rejected the Appellant’s evidence as to that financial support, at least in relation to the Appellant’s brother and sister.  However, not only does any such conflict of findings not appear in the Appellant’s grounds but, as Mr Walker pointed out, there are other family members in the UK such as the Appellant’s mother and his wife.  </w:t>
      </w:r>
    </w:p>
    <w:p w:rsidR="00F648E9" w:rsidRDefault="00F648E9"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 xml:space="preserve">In any event, as I pointed out to Mr Cheng, the Judge’s refusal to accept the Appellant’s evidence about his brother and sister comes in the context of his findings about contact with them in relation to the Article 8 claim, rather than any rejection of </w:t>
      </w:r>
      <w:r w:rsidR="00B5528C">
        <w:rPr>
          <w:rFonts w:ascii="Book Antiqua" w:hAnsi="Book Antiqua" w:cs="Arial"/>
        </w:rPr>
        <w:t>the Appellant’s</w:t>
      </w:r>
      <w:r>
        <w:rPr>
          <w:rFonts w:ascii="Book Antiqua" w:hAnsi="Book Antiqua" w:cs="Arial"/>
        </w:rPr>
        <w:t xml:space="preserve"> evidence that they provide him with support.  It is the Appellant’s own case that his brother and sister provide him with financial support in the UK because he is unable to work ([20] of his statement).  It is not open to him therefore to </w:t>
      </w:r>
      <w:r w:rsidR="00C320FD">
        <w:rPr>
          <w:rFonts w:ascii="Book Antiqua" w:hAnsi="Book Antiqua" w:cs="Arial"/>
        </w:rPr>
        <w:t xml:space="preserve">seek to </w:t>
      </w:r>
      <w:r>
        <w:rPr>
          <w:rFonts w:ascii="Book Antiqua" w:hAnsi="Book Antiqua" w:cs="Arial"/>
        </w:rPr>
        <w:t xml:space="preserve">undermine the Judge’s finding about the availability of financial support from this country by suggesting that this evidence ought not to be accepted. </w:t>
      </w:r>
    </w:p>
    <w:p w:rsidR="009C6523" w:rsidRDefault="009C6523"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Mr Cheng also argued that the finding that the Appellant could only find employment after a reasonable time had to be read in the context of the “difficulties” which the Judge accepted that the Appellant would face on return as a member of a minority clan.  He said that the Judge does not say what those difficulties would be and that such difficulties may therefore impact on the remaining findings about the situation the Appellant would face in Mogadishu.</w:t>
      </w:r>
    </w:p>
    <w:p w:rsidR="009C6523" w:rsidRDefault="009C6523"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 xml:space="preserve">I am unable to accept that submission.  The Judge’s finding is clear </w:t>
      </w:r>
      <w:r w:rsidR="00B5528C">
        <w:rPr>
          <w:rFonts w:ascii="Book Antiqua" w:hAnsi="Book Antiqua" w:cs="Arial"/>
        </w:rPr>
        <w:t xml:space="preserve">when </w:t>
      </w:r>
      <w:r>
        <w:rPr>
          <w:rFonts w:ascii="Book Antiqua" w:hAnsi="Book Antiqua" w:cs="Arial"/>
        </w:rPr>
        <w:t xml:space="preserve">read in context.  The significance of the Appellant being from a minority clan and the finding that this may create difficulties is in the context of the Appellant finding work as is clear from the second part of the sentence.  That arises in the context of what is said by the Tribunal in </w:t>
      </w:r>
      <w:r>
        <w:rPr>
          <w:rFonts w:ascii="Book Antiqua" w:hAnsi="Book Antiqua" w:cs="Arial"/>
          <w:u w:val="single"/>
        </w:rPr>
        <w:t xml:space="preserve">MOJ &amp; </w:t>
      </w:r>
      <w:proofErr w:type="spellStart"/>
      <w:r w:rsidRPr="009C6523">
        <w:rPr>
          <w:rFonts w:ascii="Book Antiqua" w:hAnsi="Book Antiqua" w:cs="Arial"/>
          <w:u w:val="single"/>
        </w:rPr>
        <w:t>Ors</w:t>
      </w:r>
      <w:proofErr w:type="spellEnd"/>
      <w:r>
        <w:rPr>
          <w:rFonts w:ascii="Book Antiqua" w:hAnsi="Book Antiqua" w:cs="Arial"/>
        </w:rPr>
        <w:t xml:space="preserve"> at (vii) </w:t>
      </w:r>
      <w:r w:rsidR="00B5528C">
        <w:rPr>
          <w:rFonts w:ascii="Book Antiqua" w:hAnsi="Book Antiqua" w:cs="Arial"/>
        </w:rPr>
        <w:t xml:space="preserve">and (viii) </w:t>
      </w:r>
      <w:r>
        <w:rPr>
          <w:rFonts w:ascii="Book Antiqua" w:hAnsi="Book Antiqua" w:cs="Arial"/>
        </w:rPr>
        <w:t xml:space="preserve">of the headnote that a returnee may look to his clan for “assistance in re-establishing himself and securing a livelihood” (where he has no “nuclear family” in the city) but that “minority clans may have little [assistance] to offer”.  Read in context, the difficulties are clearly restricted to the finding of work.  As I have already explained, the finding that the Appellant may therefore take a “reasonable time” to find work, </w:t>
      </w:r>
      <w:r w:rsidR="00C320FD">
        <w:rPr>
          <w:rFonts w:ascii="Book Antiqua" w:hAnsi="Book Antiqua" w:cs="Arial"/>
        </w:rPr>
        <w:t xml:space="preserve">needs </w:t>
      </w:r>
      <w:r>
        <w:rPr>
          <w:rFonts w:ascii="Book Antiqua" w:hAnsi="Book Antiqua" w:cs="Arial"/>
        </w:rPr>
        <w:t>to be read with the finding that he could rely on financial support from relatives in the UK (in the meanwhile).</w:t>
      </w:r>
    </w:p>
    <w:p w:rsidR="00D83DF6" w:rsidRDefault="009C6523"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As Mr Walker pointed out, the Appellant was aged eighteen when he left Somalia.  He would therefore be aware of the culture. He speaks the Somali language.  The sentence on which the Appellant relies has to be read in th</w:t>
      </w:r>
      <w:r w:rsidR="00D83DF6">
        <w:rPr>
          <w:rFonts w:ascii="Book Antiqua" w:hAnsi="Book Antiqua" w:cs="Arial"/>
        </w:rPr>
        <w:t>e</w:t>
      </w:r>
      <w:r>
        <w:rPr>
          <w:rFonts w:ascii="Book Antiqua" w:hAnsi="Book Antiqua" w:cs="Arial"/>
        </w:rPr>
        <w:t xml:space="preserve"> context of the paragraph overall which follows the guidance set out in </w:t>
      </w:r>
      <w:r>
        <w:rPr>
          <w:rFonts w:ascii="Book Antiqua" w:hAnsi="Book Antiqua" w:cs="Arial"/>
          <w:u w:val="single"/>
        </w:rPr>
        <w:t xml:space="preserve">MOJ &amp; </w:t>
      </w:r>
      <w:proofErr w:type="spellStart"/>
      <w:r>
        <w:rPr>
          <w:rFonts w:ascii="Book Antiqua" w:hAnsi="Book Antiqua" w:cs="Arial"/>
          <w:u w:val="single"/>
        </w:rPr>
        <w:t>Ors</w:t>
      </w:r>
      <w:proofErr w:type="spellEnd"/>
      <w:r>
        <w:rPr>
          <w:rFonts w:ascii="Book Antiqua" w:hAnsi="Book Antiqua" w:cs="Arial"/>
          <w:u w:val="single"/>
        </w:rPr>
        <w:t>.</w:t>
      </w:r>
      <w:r>
        <w:rPr>
          <w:rFonts w:ascii="Book Antiqua" w:hAnsi="Book Antiqua" w:cs="Arial"/>
        </w:rPr>
        <w:t xml:space="preserve">  I accept that submission.  </w:t>
      </w:r>
    </w:p>
    <w:p w:rsidR="00D83DF6" w:rsidRDefault="009C6523" w:rsidP="0076197C">
      <w:pPr>
        <w:numPr>
          <w:ilvl w:val="0"/>
          <w:numId w:val="5"/>
        </w:numPr>
        <w:tabs>
          <w:tab w:val="clear" w:pos="927"/>
          <w:tab w:val="num" w:pos="1134"/>
        </w:tabs>
        <w:spacing w:before="240"/>
        <w:ind w:left="1134" w:hanging="567"/>
        <w:jc w:val="both"/>
        <w:rPr>
          <w:rFonts w:ascii="Book Antiqua" w:hAnsi="Book Antiqua" w:cs="Arial"/>
        </w:rPr>
      </w:pPr>
      <w:r>
        <w:rPr>
          <w:rFonts w:ascii="Book Antiqua" w:hAnsi="Book Antiqua" w:cs="Arial"/>
        </w:rPr>
        <w:t xml:space="preserve">Read as a whole, and in the context of the guidance set out in </w:t>
      </w:r>
      <w:r>
        <w:rPr>
          <w:rFonts w:ascii="Book Antiqua" w:hAnsi="Book Antiqua" w:cs="Arial"/>
          <w:u w:val="single"/>
        </w:rPr>
        <w:t xml:space="preserve">MOJ &amp; </w:t>
      </w:r>
      <w:proofErr w:type="spellStart"/>
      <w:r>
        <w:rPr>
          <w:rFonts w:ascii="Book Antiqua" w:hAnsi="Book Antiqua" w:cs="Arial"/>
          <w:u w:val="single"/>
        </w:rPr>
        <w:t>Ors</w:t>
      </w:r>
      <w:proofErr w:type="spellEnd"/>
      <w:r>
        <w:rPr>
          <w:rFonts w:ascii="Book Antiqua" w:hAnsi="Book Antiqua" w:cs="Arial"/>
        </w:rPr>
        <w:t>, there is no error of law in the Judge’s approach</w:t>
      </w:r>
      <w:r w:rsidR="00B5528C">
        <w:rPr>
          <w:rFonts w:ascii="Book Antiqua" w:hAnsi="Book Antiqua" w:cs="Arial"/>
        </w:rPr>
        <w:t xml:space="preserve"> at [35] of the Decision.  He has regard to the relevant factors</w:t>
      </w:r>
      <w:r>
        <w:rPr>
          <w:rFonts w:ascii="Book Antiqua" w:hAnsi="Book Antiqua" w:cs="Arial"/>
        </w:rPr>
        <w:t xml:space="preserve">.  For the reasons given at [35], the Judge was entitled to reach the conclusion that he did that the Appellant’s deportation to Somalia will not breach Article 3 ECHR. </w:t>
      </w:r>
    </w:p>
    <w:p w:rsidR="00AD30E9" w:rsidRDefault="00D83DF6" w:rsidP="0076197C">
      <w:pPr>
        <w:numPr>
          <w:ilvl w:val="0"/>
          <w:numId w:val="5"/>
        </w:numPr>
        <w:tabs>
          <w:tab w:val="clear" w:pos="927"/>
          <w:tab w:val="num" w:pos="1134"/>
        </w:tabs>
        <w:spacing w:before="240"/>
        <w:ind w:left="1134" w:hanging="567"/>
        <w:jc w:val="both"/>
        <w:rPr>
          <w:rFonts w:ascii="Book Antiqua" w:hAnsi="Book Antiqua" w:cs="Arial"/>
          <w:b/>
        </w:rPr>
      </w:pPr>
      <w:r>
        <w:rPr>
          <w:rFonts w:ascii="Book Antiqua" w:hAnsi="Book Antiqua" w:cs="Arial"/>
        </w:rPr>
        <w:lastRenderedPageBreak/>
        <w:t xml:space="preserve">The Decision does not disclose any material error of law.  I therefore uphold the Decision.  </w:t>
      </w:r>
      <w:r w:rsidR="009C6523">
        <w:rPr>
          <w:rFonts w:ascii="Book Antiqua" w:hAnsi="Book Antiqua" w:cs="Arial"/>
        </w:rPr>
        <w:t xml:space="preserve"> </w:t>
      </w:r>
    </w:p>
    <w:p w:rsidR="008A3B24" w:rsidRPr="00AD30E9" w:rsidRDefault="008A3B24" w:rsidP="0076197C">
      <w:pPr>
        <w:tabs>
          <w:tab w:val="left" w:pos="567"/>
        </w:tabs>
        <w:spacing w:before="240"/>
        <w:ind w:left="567"/>
        <w:jc w:val="both"/>
        <w:rPr>
          <w:rFonts w:ascii="Book Antiqua" w:hAnsi="Book Antiqua" w:cs="Arial"/>
          <w:b/>
          <w:u w:val="single"/>
        </w:rPr>
      </w:pPr>
      <w:r w:rsidRPr="00AD30E9">
        <w:rPr>
          <w:rFonts w:ascii="Book Antiqua" w:hAnsi="Book Antiqua" w:cs="Arial"/>
          <w:b/>
          <w:u w:val="single"/>
        </w:rPr>
        <w:t>DECISION</w:t>
      </w:r>
      <w:r w:rsidR="004410A2" w:rsidRPr="00AD30E9">
        <w:rPr>
          <w:rFonts w:ascii="Book Antiqua" w:hAnsi="Book Antiqua" w:cs="Arial"/>
          <w:b/>
          <w:u w:val="single"/>
        </w:rPr>
        <w:t xml:space="preserve"> </w:t>
      </w:r>
    </w:p>
    <w:p w:rsidR="00667B8A" w:rsidRPr="009C62BD" w:rsidRDefault="002E432C" w:rsidP="0076197C">
      <w:pPr>
        <w:tabs>
          <w:tab w:val="left" w:pos="567"/>
        </w:tabs>
        <w:spacing w:before="240"/>
        <w:ind w:left="567"/>
        <w:jc w:val="both"/>
        <w:rPr>
          <w:rFonts w:ascii="Book Antiqua" w:hAnsi="Book Antiqua" w:cs="Arial"/>
          <w:b/>
        </w:rPr>
      </w:pPr>
      <w:r w:rsidRPr="009C62BD">
        <w:rPr>
          <w:rFonts w:ascii="Book Antiqua" w:hAnsi="Book Antiqua" w:cs="Arial"/>
          <w:b/>
        </w:rPr>
        <w:t xml:space="preserve">I </w:t>
      </w:r>
      <w:r w:rsidR="0038349A" w:rsidRPr="009C62BD">
        <w:rPr>
          <w:rFonts w:ascii="Book Antiqua" w:hAnsi="Book Antiqua" w:cs="Arial"/>
          <w:b/>
        </w:rPr>
        <w:t xml:space="preserve">am satisfied that the Decision </w:t>
      </w:r>
      <w:r w:rsidR="0083042C" w:rsidRPr="009C62BD">
        <w:rPr>
          <w:rFonts w:ascii="Book Antiqua" w:hAnsi="Book Antiqua" w:cs="Arial"/>
          <w:b/>
        </w:rPr>
        <w:t xml:space="preserve">does not </w:t>
      </w:r>
      <w:r w:rsidR="0038349A" w:rsidRPr="009C62BD">
        <w:rPr>
          <w:rFonts w:ascii="Book Antiqua" w:hAnsi="Book Antiqua" w:cs="Arial"/>
          <w:b/>
        </w:rPr>
        <w:t>contain</w:t>
      </w:r>
      <w:r w:rsidR="000865DF" w:rsidRPr="009C62BD">
        <w:rPr>
          <w:rFonts w:ascii="Book Antiqua" w:hAnsi="Book Antiqua" w:cs="Arial"/>
          <w:b/>
        </w:rPr>
        <w:t xml:space="preserve"> a</w:t>
      </w:r>
      <w:r w:rsidR="0038349A" w:rsidRPr="009C62BD">
        <w:rPr>
          <w:rFonts w:ascii="Book Antiqua" w:hAnsi="Book Antiqua" w:cs="Arial"/>
          <w:b/>
        </w:rPr>
        <w:t xml:space="preserve"> </w:t>
      </w:r>
      <w:r w:rsidR="005320AB" w:rsidRPr="009C62BD">
        <w:rPr>
          <w:rFonts w:ascii="Book Antiqua" w:hAnsi="Book Antiqua" w:cs="Arial"/>
          <w:b/>
        </w:rPr>
        <w:t>material</w:t>
      </w:r>
      <w:r w:rsidR="0038349A" w:rsidRPr="009C62BD">
        <w:rPr>
          <w:rFonts w:ascii="Book Antiqua" w:hAnsi="Book Antiqua" w:cs="Arial"/>
          <w:b/>
        </w:rPr>
        <w:t xml:space="preserve"> error of law</w:t>
      </w:r>
      <w:r w:rsidR="005320AB" w:rsidRPr="009C62BD">
        <w:rPr>
          <w:rFonts w:ascii="Book Antiqua" w:hAnsi="Book Antiqua" w:cs="Arial"/>
          <w:b/>
        </w:rPr>
        <w:t>.</w:t>
      </w:r>
      <w:r w:rsidR="0038349A" w:rsidRPr="009C62BD">
        <w:rPr>
          <w:rFonts w:ascii="Book Antiqua" w:hAnsi="Book Antiqua" w:cs="Arial"/>
          <w:b/>
        </w:rPr>
        <w:t xml:space="preserve"> </w:t>
      </w:r>
      <w:r w:rsidR="0083042C" w:rsidRPr="009C62BD">
        <w:rPr>
          <w:rFonts w:ascii="Book Antiqua" w:hAnsi="Book Antiqua" w:cs="Arial"/>
          <w:b/>
        </w:rPr>
        <w:t xml:space="preserve">I uphold </w:t>
      </w:r>
      <w:r w:rsidR="000865DF" w:rsidRPr="009C62BD">
        <w:rPr>
          <w:rFonts w:ascii="Book Antiqua" w:hAnsi="Book Antiqua" w:cs="Arial"/>
          <w:b/>
        </w:rPr>
        <w:t>t</w:t>
      </w:r>
      <w:r w:rsidR="008806BD" w:rsidRPr="009C62BD">
        <w:rPr>
          <w:rFonts w:ascii="Book Antiqua" w:hAnsi="Book Antiqua" w:cs="Arial"/>
          <w:b/>
        </w:rPr>
        <w:t xml:space="preserve">he decision of First-tier Tribunal Judge </w:t>
      </w:r>
      <w:r w:rsidR="00D83DF6">
        <w:rPr>
          <w:rFonts w:ascii="Book Antiqua" w:hAnsi="Book Antiqua" w:cs="Arial"/>
          <w:b/>
        </w:rPr>
        <w:t>Moore</w:t>
      </w:r>
      <w:r w:rsidR="008806BD" w:rsidRPr="009C62BD">
        <w:rPr>
          <w:rFonts w:ascii="Book Antiqua" w:hAnsi="Book Antiqua" w:cs="Arial"/>
          <w:b/>
        </w:rPr>
        <w:t xml:space="preserve"> promulgated on </w:t>
      </w:r>
      <w:r w:rsidR="00E61B02">
        <w:rPr>
          <w:rFonts w:ascii="Book Antiqua" w:hAnsi="Book Antiqua" w:cs="Arial"/>
          <w:b/>
        </w:rPr>
        <w:t>1</w:t>
      </w:r>
      <w:r w:rsidR="00BC1841">
        <w:rPr>
          <w:rFonts w:ascii="Book Antiqua" w:hAnsi="Book Antiqua" w:cs="Arial"/>
          <w:b/>
        </w:rPr>
        <w:t>2 J</w:t>
      </w:r>
      <w:r w:rsidR="00D83DF6">
        <w:rPr>
          <w:rFonts w:ascii="Book Antiqua" w:hAnsi="Book Antiqua" w:cs="Arial"/>
          <w:b/>
        </w:rPr>
        <w:t>une 2017</w:t>
      </w:r>
      <w:r w:rsidR="000865DF" w:rsidRPr="009C62BD">
        <w:rPr>
          <w:rFonts w:ascii="Book Antiqua" w:hAnsi="Book Antiqua" w:cs="Arial"/>
          <w:b/>
        </w:rPr>
        <w:t xml:space="preserve"> </w:t>
      </w:r>
      <w:r w:rsidR="0083042C" w:rsidRPr="009C62BD">
        <w:rPr>
          <w:rFonts w:ascii="Book Antiqua" w:hAnsi="Book Antiqua" w:cs="Arial"/>
          <w:b/>
        </w:rPr>
        <w:t>with the consequence that the Appellant’s appeal stands</w:t>
      </w:r>
      <w:r w:rsidR="0025521E" w:rsidRPr="009C62BD">
        <w:rPr>
          <w:rFonts w:ascii="Book Antiqua" w:hAnsi="Book Antiqua" w:cs="Arial"/>
          <w:b/>
        </w:rPr>
        <w:t xml:space="preserve"> dismissed</w:t>
      </w:r>
      <w:r w:rsidR="008806BD" w:rsidRPr="009C62BD">
        <w:rPr>
          <w:rFonts w:ascii="Book Antiqua" w:hAnsi="Book Antiqua" w:cs="Arial"/>
          <w:b/>
        </w:rPr>
        <w:t xml:space="preserve"> </w:t>
      </w:r>
    </w:p>
    <w:p w:rsidR="005C7542" w:rsidRDefault="005C7542" w:rsidP="0076197C">
      <w:pPr>
        <w:tabs>
          <w:tab w:val="left" w:pos="567"/>
        </w:tabs>
        <w:ind w:left="567"/>
        <w:jc w:val="both"/>
        <w:rPr>
          <w:rFonts w:ascii="Book Antiqua" w:hAnsi="Book Antiqua" w:cs="Arial"/>
        </w:rPr>
      </w:pPr>
    </w:p>
    <w:p w:rsidR="00A57676" w:rsidRDefault="00115648" w:rsidP="0076197C">
      <w:pPr>
        <w:tabs>
          <w:tab w:val="left" w:pos="567"/>
        </w:tabs>
        <w:ind w:left="567"/>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880A2A" w:rsidRPr="00013B64">
        <w:rPr>
          <w:rFonts w:ascii="Book Antiqua" w:hAnsi="Book Antiqua" w:cs="Arial"/>
          <w:noProof/>
        </w:rPr>
        <w:drawing>
          <wp:inline distT="0" distB="0" distL="0" distR="0">
            <wp:extent cx="1822450" cy="65405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2450" cy="65405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Pr>
          <w:rFonts w:ascii="Book Antiqua" w:hAnsi="Book Antiqua" w:cs="Arial"/>
        </w:rPr>
        <w:t>Date</w:t>
      </w:r>
      <w:r w:rsidR="002A6E80">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E61B02">
        <w:rPr>
          <w:rFonts w:ascii="Book Antiqua" w:hAnsi="Book Antiqua" w:cs="Arial"/>
        </w:rPr>
        <w:t xml:space="preserve">6 </w:t>
      </w:r>
      <w:r w:rsidR="00D83DF6">
        <w:rPr>
          <w:rFonts w:ascii="Book Antiqua" w:hAnsi="Book Antiqua" w:cs="Arial"/>
        </w:rPr>
        <w:t>September</w:t>
      </w:r>
      <w:r w:rsidR="009C62BD">
        <w:rPr>
          <w:rFonts w:ascii="Book Antiqua" w:hAnsi="Book Antiqua" w:cs="Arial"/>
        </w:rPr>
        <w:t xml:space="preserve"> 2018</w:t>
      </w:r>
    </w:p>
    <w:p w:rsidR="008832E8" w:rsidRDefault="00546523" w:rsidP="0076197C">
      <w:pPr>
        <w:tabs>
          <w:tab w:val="left" w:pos="567"/>
        </w:tabs>
        <w:ind w:left="567"/>
        <w:jc w:val="both"/>
        <w:rPr>
          <w:rFonts w:ascii="Book Antiqua" w:hAnsi="Book Antiqua" w:cs="Arial"/>
        </w:rPr>
      </w:pPr>
      <w:r>
        <w:rPr>
          <w:rFonts w:ascii="Book Antiqua" w:hAnsi="Book Antiqua" w:cs="Arial"/>
        </w:rPr>
        <w:t xml:space="preserve">Upper Tribunal Judge </w:t>
      </w:r>
      <w:r w:rsidR="00744EAD">
        <w:rPr>
          <w:rFonts w:ascii="Book Antiqua" w:hAnsi="Book Antiqua" w:cs="Arial"/>
        </w:rPr>
        <w:t>Smith</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1CE" w:rsidRDefault="000701CE">
      <w:r>
        <w:separator/>
      </w:r>
    </w:p>
  </w:endnote>
  <w:endnote w:type="continuationSeparator" w:id="0">
    <w:p w:rsidR="000701CE" w:rsidRDefault="0007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5C7542" w:rsidRDefault="00D3346C" w:rsidP="00614E94">
    <w:pPr>
      <w:pStyle w:val="Footer"/>
      <w:jc w:val="center"/>
      <w:rPr>
        <w:rFonts w:ascii="Book Antiqua" w:hAnsi="Book Antiqua" w:cs="Arial"/>
        <w:sz w:val="20"/>
        <w:szCs w:val="20"/>
      </w:rPr>
    </w:pPr>
    <w:r w:rsidRPr="005C7542">
      <w:rPr>
        <w:rStyle w:val="PageNumber"/>
        <w:rFonts w:ascii="Book Antiqua" w:hAnsi="Book Antiqua" w:cs="Arial"/>
        <w:sz w:val="20"/>
        <w:szCs w:val="20"/>
      </w:rPr>
      <w:fldChar w:fldCharType="begin"/>
    </w:r>
    <w:r w:rsidRPr="005C7542">
      <w:rPr>
        <w:rStyle w:val="PageNumber"/>
        <w:rFonts w:ascii="Book Antiqua" w:hAnsi="Book Antiqua" w:cs="Arial"/>
        <w:sz w:val="20"/>
        <w:szCs w:val="20"/>
      </w:rPr>
      <w:instrText xml:space="preserve"> PAGE </w:instrText>
    </w:r>
    <w:r w:rsidRPr="005C7542">
      <w:rPr>
        <w:rStyle w:val="PageNumber"/>
        <w:rFonts w:ascii="Book Antiqua" w:hAnsi="Book Antiqua" w:cs="Arial"/>
        <w:sz w:val="20"/>
        <w:szCs w:val="20"/>
      </w:rPr>
      <w:fldChar w:fldCharType="separate"/>
    </w:r>
    <w:r w:rsidR="00380C6A">
      <w:rPr>
        <w:rStyle w:val="PageNumber"/>
        <w:rFonts w:ascii="Book Antiqua" w:hAnsi="Book Antiqua" w:cs="Arial"/>
        <w:noProof/>
        <w:sz w:val="20"/>
        <w:szCs w:val="20"/>
      </w:rPr>
      <w:t>6</w:t>
    </w:r>
    <w:r w:rsidRPr="005C7542">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5C7542" w:rsidRDefault="00D3346C" w:rsidP="00614E94">
    <w:pPr>
      <w:jc w:val="center"/>
      <w:rPr>
        <w:rFonts w:ascii="Book Antiqua" w:hAnsi="Book Antiqua" w:cs="Arial"/>
        <w:b/>
      </w:rPr>
    </w:pPr>
    <w:r w:rsidRPr="005C7542">
      <w:rPr>
        <w:rFonts w:ascii="Book Antiqua" w:hAnsi="Book Antiqua" w:cs="Arial"/>
        <w:b/>
        <w:spacing w:val="-6"/>
      </w:rPr>
      <w:t>©</w:t>
    </w:r>
    <w:r w:rsidRPr="005C7542">
      <w:rPr>
        <w:rFonts w:ascii="Book Antiqua" w:hAnsi="Book Antiqua" w:cs="Arial"/>
        <w:b/>
      </w:rPr>
      <w:t xml:space="preserve"> CROWN COPYRIGHT 201</w:t>
    </w:r>
    <w:r w:rsidR="0025521E" w:rsidRPr="005C7542">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1CE" w:rsidRDefault="000701CE">
      <w:r>
        <w:separator/>
      </w:r>
    </w:p>
  </w:footnote>
  <w:footnote w:type="continuationSeparator" w:id="0">
    <w:p w:rsidR="000701CE" w:rsidRDefault="00070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46C" w:rsidRPr="005C7542" w:rsidRDefault="00D3346C" w:rsidP="00A56345">
    <w:pPr>
      <w:tabs>
        <w:tab w:val="right" w:pos="9720"/>
      </w:tabs>
      <w:ind w:right="-82"/>
      <w:jc w:val="right"/>
      <w:rPr>
        <w:rFonts w:ascii="Book Antiqua" w:hAnsi="Book Antiqua" w:cs="Arial"/>
        <w:sz w:val="20"/>
        <w:szCs w:val="20"/>
      </w:rPr>
    </w:pPr>
    <w:r w:rsidRPr="005C7542">
      <w:rPr>
        <w:rFonts w:ascii="Book Antiqua" w:hAnsi="Book Antiqua" w:cs="Arial"/>
        <w:sz w:val="20"/>
        <w:szCs w:val="20"/>
      </w:rPr>
      <w:t xml:space="preserve">Appeal Number: </w:t>
    </w:r>
    <w:r w:rsidR="00AD0B4D" w:rsidRPr="005C7542">
      <w:rPr>
        <w:rFonts w:ascii="Book Antiqua" w:hAnsi="Book Antiqua" w:cs="Arial"/>
        <w:sz w:val="20"/>
        <w:szCs w:val="20"/>
      </w:rPr>
      <w:t>RP/00128/2016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3A80"/>
    <w:multiLevelType w:val="hybridMultilevel"/>
    <w:tmpl w:val="F57078BA"/>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1" w15:restartNumberingAfterBreak="0">
    <w:nsid w:val="119230BB"/>
    <w:multiLevelType w:val="hybridMultilevel"/>
    <w:tmpl w:val="3B5A42B8"/>
    <w:lvl w:ilvl="0" w:tplc="52E463F6">
      <w:start w:val="1"/>
      <w:numFmt w:val="decimal"/>
      <w:lvlText w:val="%1."/>
      <w:lvlJc w:val="left"/>
      <w:pPr>
        <w:tabs>
          <w:tab w:val="num" w:pos="927"/>
        </w:tabs>
        <w:ind w:left="927" w:hanging="360"/>
      </w:pPr>
      <w:rPr>
        <w:rFonts w:hint="default"/>
        <w:b w:val="0"/>
        <w:i w:val="0"/>
      </w:rPr>
    </w:lvl>
    <w:lvl w:ilvl="1" w:tplc="08090001">
      <w:start w:val="1"/>
      <w:numFmt w:val="bullet"/>
      <w:lvlText w:val=""/>
      <w:lvlJc w:val="left"/>
      <w:pPr>
        <w:tabs>
          <w:tab w:val="num" w:pos="1647"/>
        </w:tabs>
        <w:ind w:left="1647" w:hanging="360"/>
      </w:pPr>
      <w:rPr>
        <w:rFonts w:ascii="Symbol" w:hAnsi="Symbol" w:hint="default"/>
      </w:rPr>
    </w:lvl>
    <w:lvl w:ilvl="2" w:tplc="DABCFC9A">
      <w:start w:val="1"/>
      <w:numFmt w:val="lowerLetter"/>
      <w:lvlText w:val="(%3)"/>
      <w:lvlJc w:val="left"/>
      <w:pPr>
        <w:tabs>
          <w:tab w:val="num" w:pos="2697"/>
        </w:tabs>
        <w:ind w:left="2697" w:hanging="510"/>
      </w:pPr>
      <w:rPr>
        <w:rFonts w:ascii="Book Antiqua" w:eastAsia="Times New Roman" w:hAnsi="Book Antiqua" w:cs="Arial"/>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16F72A2E"/>
    <w:multiLevelType w:val="hybridMultilevel"/>
    <w:tmpl w:val="79FE8AF4"/>
    <w:lvl w:ilvl="0" w:tplc="DE0AB57A">
      <w:start w:val="1"/>
      <w:numFmt w:val="lowerRoman"/>
      <w:lvlText w:val="(%1)"/>
      <w:lvlJc w:val="left"/>
      <w:pPr>
        <w:tabs>
          <w:tab w:val="num" w:pos="1410"/>
        </w:tabs>
        <w:ind w:left="1410" w:hanging="720"/>
      </w:pPr>
      <w:rPr>
        <w:rFonts w:hint="default"/>
      </w:rPr>
    </w:lvl>
    <w:lvl w:ilvl="1" w:tplc="08090019" w:tentative="1">
      <w:start w:val="1"/>
      <w:numFmt w:val="lowerLetter"/>
      <w:lvlText w:val="%2."/>
      <w:lvlJc w:val="left"/>
      <w:pPr>
        <w:tabs>
          <w:tab w:val="num" w:pos="1770"/>
        </w:tabs>
        <w:ind w:left="1770" w:hanging="360"/>
      </w:pPr>
    </w:lvl>
    <w:lvl w:ilvl="2" w:tplc="0809001B" w:tentative="1">
      <w:start w:val="1"/>
      <w:numFmt w:val="lowerRoman"/>
      <w:lvlText w:val="%3."/>
      <w:lvlJc w:val="right"/>
      <w:pPr>
        <w:tabs>
          <w:tab w:val="num" w:pos="2490"/>
        </w:tabs>
        <w:ind w:left="2490" w:hanging="180"/>
      </w:pPr>
    </w:lvl>
    <w:lvl w:ilvl="3" w:tplc="0809000F" w:tentative="1">
      <w:start w:val="1"/>
      <w:numFmt w:val="decimal"/>
      <w:lvlText w:val="%4."/>
      <w:lvlJc w:val="left"/>
      <w:pPr>
        <w:tabs>
          <w:tab w:val="num" w:pos="3210"/>
        </w:tabs>
        <w:ind w:left="3210" w:hanging="360"/>
      </w:pPr>
    </w:lvl>
    <w:lvl w:ilvl="4" w:tplc="08090019" w:tentative="1">
      <w:start w:val="1"/>
      <w:numFmt w:val="lowerLetter"/>
      <w:lvlText w:val="%5."/>
      <w:lvlJc w:val="left"/>
      <w:pPr>
        <w:tabs>
          <w:tab w:val="num" w:pos="3930"/>
        </w:tabs>
        <w:ind w:left="3930" w:hanging="360"/>
      </w:pPr>
    </w:lvl>
    <w:lvl w:ilvl="5" w:tplc="0809001B" w:tentative="1">
      <w:start w:val="1"/>
      <w:numFmt w:val="lowerRoman"/>
      <w:lvlText w:val="%6."/>
      <w:lvlJc w:val="right"/>
      <w:pPr>
        <w:tabs>
          <w:tab w:val="num" w:pos="4650"/>
        </w:tabs>
        <w:ind w:left="4650" w:hanging="180"/>
      </w:pPr>
    </w:lvl>
    <w:lvl w:ilvl="6" w:tplc="0809000F" w:tentative="1">
      <w:start w:val="1"/>
      <w:numFmt w:val="decimal"/>
      <w:lvlText w:val="%7."/>
      <w:lvlJc w:val="left"/>
      <w:pPr>
        <w:tabs>
          <w:tab w:val="num" w:pos="5370"/>
        </w:tabs>
        <w:ind w:left="5370" w:hanging="360"/>
      </w:pPr>
    </w:lvl>
    <w:lvl w:ilvl="7" w:tplc="08090019" w:tentative="1">
      <w:start w:val="1"/>
      <w:numFmt w:val="lowerLetter"/>
      <w:lvlText w:val="%8."/>
      <w:lvlJc w:val="left"/>
      <w:pPr>
        <w:tabs>
          <w:tab w:val="num" w:pos="6090"/>
        </w:tabs>
        <w:ind w:left="6090" w:hanging="360"/>
      </w:pPr>
    </w:lvl>
    <w:lvl w:ilvl="8" w:tplc="0809001B" w:tentative="1">
      <w:start w:val="1"/>
      <w:numFmt w:val="lowerRoman"/>
      <w:lvlText w:val="%9."/>
      <w:lvlJc w:val="right"/>
      <w:pPr>
        <w:tabs>
          <w:tab w:val="num" w:pos="6810"/>
        </w:tabs>
        <w:ind w:left="6810" w:hanging="180"/>
      </w:pPr>
    </w:lvl>
  </w:abstractNum>
  <w:abstractNum w:abstractNumId="3" w15:restartNumberingAfterBreak="0">
    <w:nsid w:val="170606C8"/>
    <w:multiLevelType w:val="hybridMultilevel"/>
    <w:tmpl w:val="F724E93E"/>
    <w:lvl w:ilvl="0" w:tplc="329CF54C">
      <w:start w:val="1"/>
      <w:numFmt w:val="bullet"/>
      <w:lvlText w:val="-"/>
      <w:lvlJc w:val="left"/>
      <w:pPr>
        <w:ind w:left="2157" w:hanging="360"/>
      </w:pPr>
      <w:rPr>
        <w:rFonts w:ascii="Book Antiqua" w:eastAsia="Times New Roman" w:hAnsi="Book Antiqua" w:cs="Arial" w:hint="default"/>
      </w:rPr>
    </w:lvl>
    <w:lvl w:ilvl="1" w:tplc="08090003" w:tentative="1">
      <w:start w:val="1"/>
      <w:numFmt w:val="bullet"/>
      <w:lvlText w:val="o"/>
      <w:lvlJc w:val="left"/>
      <w:pPr>
        <w:ind w:left="2877" w:hanging="360"/>
      </w:pPr>
      <w:rPr>
        <w:rFonts w:ascii="Courier New" w:hAnsi="Courier New" w:cs="Courier New" w:hint="default"/>
      </w:rPr>
    </w:lvl>
    <w:lvl w:ilvl="2" w:tplc="08090005" w:tentative="1">
      <w:start w:val="1"/>
      <w:numFmt w:val="bullet"/>
      <w:lvlText w:val=""/>
      <w:lvlJc w:val="left"/>
      <w:pPr>
        <w:ind w:left="3597" w:hanging="360"/>
      </w:pPr>
      <w:rPr>
        <w:rFonts w:ascii="Wingdings" w:hAnsi="Wingdings" w:hint="default"/>
      </w:rPr>
    </w:lvl>
    <w:lvl w:ilvl="3" w:tplc="08090001" w:tentative="1">
      <w:start w:val="1"/>
      <w:numFmt w:val="bullet"/>
      <w:lvlText w:val=""/>
      <w:lvlJc w:val="left"/>
      <w:pPr>
        <w:ind w:left="4317" w:hanging="360"/>
      </w:pPr>
      <w:rPr>
        <w:rFonts w:ascii="Symbol" w:hAnsi="Symbol" w:hint="default"/>
      </w:rPr>
    </w:lvl>
    <w:lvl w:ilvl="4" w:tplc="08090003" w:tentative="1">
      <w:start w:val="1"/>
      <w:numFmt w:val="bullet"/>
      <w:lvlText w:val="o"/>
      <w:lvlJc w:val="left"/>
      <w:pPr>
        <w:ind w:left="5037" w:hanging="360"/>
      </w:pPr>
      <w:rPr>
        <w:rFonts w:ascii="Courier New" w:hAnsi="Courier New" w:cs="Courier New" w:hint="default"/>
      </w:rPr>
    </w:lvl>
    <w:lvl w:ilvl="5" w:tplc="08090005" w:tentative="1">
      <w:start w:val="1"/>
      <w:numFmt w:val="bullet"/>
      <w:lvlText w:val=""/>
      <w:lvlJc w:val="left"/>
      <w:pPr>
        <w:ind w:left="5757" w:hanging="360"/>
      </w:pPr>
      <w:rPr>
        <w:rFonts w:ascii="Wingdings" w:hAnsi="Wingdings" w:hint="default"/>
      </w:rPr>
    </w:lvl>
    <w:lvl w:ilvl="6" w:tplc="08090001" w:tentative="1">
      <w:start w:val="1"/>
      <w:numFmt w:val="bullet"/>
      <w:lvlText w:val=""/>
      <w:lvlJc w:val="left"/>
      <w:pPr>
        <w:ind w:left="6477" w:hanging="360"/>
      </w:pPr>
      <w:rPr>
        <w:rFonts w:ascii="Symbol" w:hAnsi="Symbol" w:hint="default"/>
      </w:rPr>
    </w:lvl>
    <w:lvl w:ilvl="7" w:tplc="08090003" w:tentative="1">
      <w:start w:val="1"/>
      <w:numFmt w:val="bullet"/>
      <w:lvlText w:val="o"/>
      <w:lvlJc w:val="left"/>
      <w:pPr>
        <w:ind w:left="7197" w:hanging="360"/>
      </w:pPr>
      <w:rPr>
        <w:rFonts w:ascii="Courier New" w:hAnsi="Courier New" w:cs="Courier New" w:hint="default"/>
      </w:rPr>
    </w:lvl>
    <w:lvl w:ilvl="8" w:tplc="08090005" w:tentative="1">
      <w:start w:val="1"/>
      <w:numFmt w:val="bullet"/>
      <w:lvlText w:val=""/>
      <w:lvlJc w:val="left"/>
      <w:pPr>
        <w:ind w:left="7917" w:hanging="360"/>
      </w:pPr>
      <w:rPr>
        <w:rFonts w:ascii="Wingdings" w:hAnsi="Wingdings" w:hint="default"/>
      </w:rPr>
    </w:lvl>
  </w:abstractNum>
  <w:abstractNum w:abstractNumId="4"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53F7ECC"/>
    <w:multiLevelType w:val="hybridMultilevel"/>
    <w:tmpl w:val="AC9C813A"/>
    <w:lvl w:ilvl="0" w:tplc="2922642E">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6" w15:restartNumberingAfterBreak="0">
    <w:nsid w:val="4673632D"/>
    <w:multiLevelType w:val="hybridMultilevel"/>
    <w:tmpl w:val="7220A694"/>
    <w:lvl w:ilvl="0" w:tplc="07803414">
      <w:start w:val="8"/>
      <w:numFmt w:val="lowerRoman"/>
      <w:lvlText w:val="(%1)"/>
      <w:lvlJc w:val="left"/>
      <w:pPr>
        <w:ind w:left="2130" w:hanging="720"/>
      </w:pPr>
      <w:rPr>
        <w:rFonts w:hint="default"/>
      </w:rPr>
    </w:lvl>
    <w:lvl w:ilvl="1" w:tplc="08090019" w:tentative="1">
      <w:start w:val="1"/>
      <w:numFmt w:val="lowerLetter"/>
      <w:lvlText w:val="%2."/>
      <w:lvlJc w:val="left"/>
      <w:pPr>
        <w:ind w:left="2490" w:hanging="360"/>
      </w:pPr>
    </w:lvl>
    <w:lvl w:ilvl="2" w:tplc="0809001B" w:tentative="1">
      <w:start w:val="1"/>
      <w:numFmt w:val="lowerRoman"/>
      <w:lvlText w:val="%3."/>
      <w:lvlJc w:val="right"/>
      <w:pPr>
        <w:ind w:left="3210" w:hanging="180"/>
      </w:pPr>
    </w:lvl>
    <w:lvl w:ilvl="3" w:tplc="0809000F" w:tentative="1">
      <w:start w:val="1"/>
      <w:numFmt w:val="decimal"/>
      <w:lvlText w:val="%4."/>
      <w:lvlJc w:val="left"/>
      <w:pPr>
        <w:ind w:left="3930" w:hanging="360"/>
      </w:pPr>
    </w:lvl>
    <w:lvl w:ilvl="4" w:tplc="08090019" w:tentative="1">
      <w:start w:val="1"/>
      <w:numFmt w:val="lowerLetter"/>
      <w:lvlText w:val="%5."/>
      <w:lvlJc w:val="left"/>
      <w:pPr>
        <w:ind w:left="4650" w:hanging="360"/>
      </w:pPr>
    </w:lvl>
    <w:lvl w:ilvl="5" w:tplc="0809001B" w:tentative="1">
      <w:start w:val="1"/>
      <w:numFmt w:val="lowerRoman"/>
      <w:lvlText w:val="%6."/>
      <w:lvlJc w:val="right"/>
      <w:pPr>
        <w:ind w:left="5370" w:hanging="180"/>
      </w:pPr>
    </w:lvl>
    <w:lvl w:ilvl="6" w:tplc="0809000F" w:tentative="1">
      <w:start w:val="1"/>
      <w:numFmt w:val="decimal"/>
      <w:lvlText w:val="%7."/>
      <w:lvlJc w:val="left"/>
      <w:pPr>
        <w:ind w:left="6090" w:hanging="360"/>
      </w:pPr>
    </w:lvl>
    <w:lvl w:ilvl="7" w:tplc="08090019" w:tentative="1">
      <w:start w:val="1"/>
      <w:numFmt w:val="lowerLetter"/>
      <w:lvlText w:val="%8."/>
      <w:lvlJc w:val="left"/>
      <w:pPr>
        <w:ind w:left="6810" w:hanging="360"/>
      </w:pPr>
    </w:lvl>
    <w:lvl w:ilvl="8" w:tplc="0809001B" w:tentative="1">
      <w:start w:val="1"/>
      <w:numFmt w:val="lowerRoman"/>
      <w:lvlText w:val="%9."/>
      <w:lvlJc w:val="right"/>
      <w:pPr>
        <w:ind w:left="7530" w:hanging="180"/>
      </w:pPr>
    </w:lvl>
  </w:abstractNum>
  <w:abstractNum w:abstractNumId="7"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1"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4"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0"/>
  </w:num>
  <w:num w:numId="2">
    <w:abstractNumId w:val="4"/>
  </w:num>
  <w:num w:numId="3">
    <w:abstractNumId w:val="8"/>
  </w:num>
  <w:num w:numId="4">
    <w:abstractNumId w:val="13"/>
  </w:num>
  <w:num w:numId="5">
    <w:abstractNumId w:val="1"/>
  </w:num>
  <w:num w:numId="6">
    <w:abstractNumId w:val="7"/>
  </w:num>
  <w:num w:numId="7">
    <w:abstractNumId w:val="11"/>
  </w:num>
  <w:num w:numId="8">
    <w:abstractNumId w:val="12"/>
  </w:num>
  <w:num w:numId="9">
    <w:abstractNumId w:val="14"/>
  </w:num>
  <w:num w:numId="10">
    <w:abstractNumId w:val="9"/>
  </w:num>
  <w:num w:numId="11">
    <w:abstractNumId w:val="5"/>
  </w:num>
  <w:num w:numId="12">
    <w:abstractNumId w:val="3"/>
  </w:num>
  <w:num w:numId="13">
    <w:abstractNumId w:val="0"/>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486"/>
    <w:rsid w:val="00005568"/>
    <w:rsid w:val="00006CE7"/>
    <w:rsid w:val="00011CA7"/>
    <w:rsid w:val="00021289"/>
    <w:rsid w:val="000222AF"/>
    <w:rsid w:val="000245E0"/>
    <w:rsid w:val="000249C2"/>
    <w:rsid w:val="00026948"/>
    <w:rsid w:val="0004472B"/>
    <w:rsid w:val="00050956"/>
    <w:rsid w:val="0005337D"/>
    <w:rsid w:val="00053F44"/>
    <w:rsid w:val="000561EC"/>
    <w:rsid w:val="00057703"/>
    <w:rsid w:val="0006043E"/>
    <w:rsid w:val="000622DC"/>
    <w:rsid w:val="00062462"/>
    <w:rsid w:val="000644CE"/>
    <w:rsid w:val="00065DCD"/>
    <w:rsid w:val="000664A8"/>
    <w:rsid w:val="000701CE"/>
    <w:rsid w:val="00073F28"/>
    <w:rsid w:val="000837F1"/>
    <w:rsid w:val="000865DF"/>
    <w:rsid w:val="00087D4B"/>
    <w:rsid w:val="00090E6D"/>
    <w:rsid w:val="000A16AD"/>
    <w:rsid w:val="000A28BC"/>
    <w:rsid w:val="000A46F9"/>
    <w:rsid w:val="000B0F2F"/>
    <w:rsid w:val="000C5D5F"/>
    <w:rsid w:val="000C6434"/>
    <w:rsid w:val="000C732B"/>
    <w:rsid w:val="000D4DF8"/>
    <w:rsid w:val="000D6369"/>
    <w:rsid w:val="000D6CBE"/>
    <w:rsid w:val="000E090E"/>
    <w:rsid w:val="000E5731"/>
    <w:rsid w:val="000E6247"/>
    <w:rsid w:val="000F6299"/>
    <w:rsid w:val="00100177"/>
    <w:rsid w:val="0010320E"/>
    <w:rsid w:val="0010580E"/>
    <w:rsid w:val="00110DA1"/>
    <w:rsid w:val="001124BB"/>
    <w:rsid w:val="00114048"/>
    <w:rsid w:val="00115648"/>
    <w:rsid w:val="00116187"/>
    <w:rsid w:val="001317C6"/>
    <w:rsid w:val="001405E3"/>
    <w:rsid w:val="001417A0"/>
    <w:rsid w:val="00142E04"/>
    <w:rsid w:val="00143FCB"/>
    <w:rsid w:val="001463D3"/>
    <w:rsid w:val="00147E13"/>
    <w:rsid w:val="00150E38"/>
    <w:rsid w:val="00154BAA"/>
    <w:rsid w:val="00154D5A"/>
    <w:rsid w:val="001737A3"/>
    <w:rsid w:val="00176442"/>
    <w:rsid w:val="001851AF"/>
    <w:rsid w:val="00187CB1"/>
    <w:rsid w:val="00194269"/>
    <w:rsid w:val="00195382"/>
    <w:rsid w:val="001A0186"/>
    <w:rsid w:val="001A373D"/>
    <w:rsid w:val="001A39A1"/>
    <w:rsid w:val="001A594A"/>
    <w:rsid w:val="001A598B"/>
    <w:rsid w:val="001B0689"/>
    <w:rsid w:val="001B2EC2"/>
    <w:rsid w:val="001B7DDF"/>
    <w:rsid w:val="001C140B"/>
    <w:rsid w:val="001C2435"/>
    <w:rsid w:val="001C3DAE"/>
    <w:rsid w:val="001C76DF"/>
    <w:rsid w:val="001D6E9D"/>
    <w:rsid w:val="001E2FB2"/>
    <w:rsid w:val="001F0AA6"/>
    <w:rsid w:val="001F4306"/>
    <w:rsid w:val="00200009"/>
    <w:rsid w:val="00200671"/>
    <w:rsid w:val="002102E9"/>
    <w:rsid w:val="0021298B"/>
    <w:rsid w:val="002145C2"/>
    <w:rsid w:val="00217205"/>
    <w:rsid w:val="0022326D"/>
    <w:rsid w:val="0022414D"/>
    <w:rsid w:val="002250C3"/>
    <w:rsid w:val="00226052"/>
    <w:rsid w:val="00233DBF"/>
    <w:rsid w:val="00234BDC"/>
    <w:rsid w:val="00242D8C"/>
    <w:rsid w:val="00245845"/>
    <w:rsid w:val="002468A8"/>
    <w:rsid w:val="0025521E"/>
    <w:rsid w:val="00255546"/>
    <w:rsid w:val="002645B2"/>
    <w:rsid w:val="00264A55"/>
    <w:rsid w:val="00266FFE"/>
    <w:rsid w:val="00270D89"/>
    <w:rsid w:val="002773D7"/>
    <w:rsid w:val="0028311E"/>
    <w:rsid w:val="00297367"/>
    <w:rsid w:val="002A080D"/>
    <w:rsid w:val="002A6E80"/>
    <w:rsid w:val="002B3C12"/>
    <w:rsid w:val="002B3EDE"/>
    <w:rsid w:val="002B622F"/>
    <w:rsid w:val="002C3AE9"/>
    <w:rsid w:val="002C423E"/>
    <w:rsid w:val="002E0AE0"/>
    <w:rsid w:val="002E1983"/>
    <w:rsid w:val="002E432C"/>
    <w:rsid w:val="002E541B"/>
    <w:rsid w:val="002F0B8F"/>
    <w:rsid w:val="002F686C"/>
    <w:rsid w:val="002F6D78"/>
    <w:rsid w:val="00300051"/>
    <w:rsid w:val="003034B5"/>
    <w:rsid w:val="00312298"/>
    <w:rsid w:val="003129A4"/>
    <w:rsid w:val="0031469A"/>
    <w:rsid w:val="003165BE"/>
    <w:rsid w:val="003213BB"/>
    <w:rsid w:val="00323DE8"/>
    <w:rsid w:val="0033297D"/>
    <w:rsid w:val="003344FF"/>
    <w:rsid w:val="00345182"/>
    <w:rsid w:val="0035606D"/>
    <w:rsid w:val="00365325"/>
    <w:rsid w:val="00365E22"/>
    <w:rsid w:val="00380424"/>
    <w:rsid w:val="00380C6A"/>
    <w:rsid w:val="0038349A"/>
    <w:rsid w:val="00387BD7"/>
    <w:rsid w:val="00397A5C"/>
    <w:rsid w:val="003A1140"/>
    <w:rsid w:val="003A342C"/>
    <w:rsid w:val="003A4DDA"/>
    <w:rsid w:val="003A69B2"/>
    <w:rsid w:val="003B22BB"/>
    <w:rsid w:val="003C090E"/>
    <w:rsid w:val="003C31D2"/>
    <w:rsid w:val="003C5047"/>
    <w:rsid w:val="003C5A70"/>
    <w:rsid w:val="003C63A5"/>
    <w:rsid w:val="003D6C82"/>
    <w:rsid w:val="003E1F55"/>
    <w:rsid w:val="00400A00"/>
    <w:rsid w:val="004121BF"/>
    <w:rsid w:val="004171D0"/>
    <w:rsid w:val="004349B6"/>
    <w:rsid w:val="00434C18"/>
    <w:rsid w:val="00435C31"/>
    <w:rsid w:val="004410A2"/>
    <w:rsid w:val="0044131A"/>
    <w:rsid w:val="0044240D"/>
    <w:rsid w:val="00446103"/>
    <w:rsid w:val="00461DC1"/>
    <w:rsid w:val="00461E96"/>
    <w:rsid w:val="004744C4"/>
    <w:rsid w:val="00477D44"/>
    <w:rsid w:val="00490593"/>
    <w:rsid w:val="00493EF0"/>
    <w:rsid w:val="004A012D"/>
    <w:rsid w:val="004A13AF"/>
    <w:rsid w:val="004B0701"/>
    <w:rsid w:val="004D341F"/>
    <w:rsid w:val="004E1A48"/>
    <w:rsid w:val="004E212A"/>
    <w:rsid w:val="004E2C3E"/>
    <w:rsid w:val="004F4189"/>
    <w:rsid w:val="0051213E"/>
    <w:rsid w:val="00513B3A"/>
    <w:rsid w:val="00515E6B"/>
    <w:rsid w:val="005225B0"/>
    <w:rsid w:val="00522AF8"/>
    <w:rsid w:val="005320AB"/>
    <w:rsid w:val="00534530"/>
    <w:rsid w:val="00546044"/>
    <w:rsid w:val="00546523"/>
    <w:rsid w:val="0055164B"/>
    <w:rsid w:val="005551AD"/>
    <w:rsid w:val="005552E3"/>
    <w:rsid w:val="00561AB6"/>
    <w:rsid w:val="00562644"/>
    <w:rsid w:val="00563B8E"/>
    <w:rsid w:val="0057020B"/>
    <w:rsid w:val="005819E4"/>
    <w:rsid w:val="0058200A"/>
    <w:rsid w:val="00582C9E"/>
    <w:rsid w:val="00585D93"/>
    <w:rsid w:val="00590548"/>
    <w:rsid w:val="0059152B"/>
    <w:rsid w:val="005920A7"/>
    <w:rsid w:val="005A2866"/>
    <w:rsid w:val="005A48AB"/>
    <w:rsid w:val="005A698B"/>
    <w:rsid w:val="005C1A7E"/>
    <w:rsid w:val="005C7542"/>
    <w:rsid w:val="005C7F77"/>
    <w:rsid w:val="005D1BA3"/>
    <w:rsid w:val="005D1DF7"/>
    <w:rsid w:val="005D1ED6"/>
    <w:rsid w:val="005D7A7D"/>
    <w:rsid w:val="005E27B4"/>
    <w:rsid w:val="005E4964"/>
    <w:rsid w:val="00601EA3"/>
    <w:rsid w:val="006147DD"/>
    <w:rsid w:val="00614E94"/>
    <w:rsid w:val="00616CA7"/>
    <w:rsid w:val="006200B4"/>
    <w:rsid w:val="00627FC4"/>
    <w:rsid w:val="00630928"/>
    <w:rsid w:val="00631CC6"/>
    <w:rsid w:val="00633137"/>
    <w:rsid w:val="006379EF"/>
    <w:rsid w:val="00640B73"/>
    <w:rsid w:val="0064665F"/>
    <w:rsid w:val="0065782E"/>
    <w:rsid w:val="006603AD"/>
    <w:rsid w:val="006615B1"/>
    <w:rsid w:val="00662AF4"/>
    <w:rsid w:val="00662EF5"/>
    <w:rsid w:val="006654F2"/>
    <w:rsid w:val="0066770F"/>
    <w:rsid w:val="00667B8A"/>
    <w:rsid w:val="00670ADD"/>
    <w:rsid w:val="0068059E"/>
    <w:rsid w:val="006810E0"/>
    <w:rsid w:val="00686B2D"/>
    <w:rsid w:val="00690628"/>
    <w:rsid w:val="00691124"/>
    <w:rsid w:val="00691AA9"/>
    <w:rsid w:val="006948A5"/>
    <w:rsid w:val="006A364A"/>
    <w:rsid w:val="006A3E3F"/>
    <w:rsid w:val="006B5E63"/>
    <w:rsid w:val="006B69B4"/>
    <w:rsid w:val="006C638A"/>
    <w:rsid w:val="006D1AFC"/>
    <w:rsid w:val="006D3578"/>
    <w:rsid w:val="006D440F"/>
    <w:rsid w:val="006D5D0D"/>
    <w:rsid w:val="006D6974"/>
    <w:rsid w:val="006D7127"/>
    <w:rsid w:val="006E6ECE"/>
    <w:rsid w:val="006F60FA"/>
    <w:rsid w:val="006F7202"/>
    <w:rsid w:val="006F799E"/>
    <w:rsid w:val="0070417F"/>
    <w:rsid w:val="00706C98"/>
    <w:rsid w:val="007140FB"/>
    <w:rsid w:val="00732041"/>
    <w:rsid w:val="007414FB"/>
    <w:rsid w:val="00744EAD"/>
    <w:rsid w:val="00746F45"/>
    <w:rsid w:val="00752A9D"/>
    <w:rsid w:val="007535E9"/>
    <w:rsid w:val="007617E5"/>
    <w:rsid w:val="0076197C"/>
    <w:rsid w:val="00761CF4"/>
    <w:rsid w:val="00763F41"/>
    <w:rsid w:val="00765F79"/>
    <w:rsid w:val="00766992"/>
    <w:rsid w:val="00780935"/>
    <w:rsid w:val="00795E5C"/>
    <w:rsid w:val="007A4305"/>
    <w:rsid w:val="007A4740"/>
    <w:rsid w:val="007A5C0B"/>
    <w:rsid w:val="007A7CB9"/>
    <w:rsid w:val="007B0C83"/>
    <w:rsid w:val="007C68D1"/>
    <w:rsid w:val="007E30F7"/>
    <w:rsid w:val="007E44B8"/>
    <w:rsid w:val="007E4C23"/>
    <w:rsid w:val="007E60ED"/>
    <w:rsid w:val="007F04CE"/>
    <w:rsid w:val="007F37E3"/>
    <w:rsid w:val="00814F1C"/>
    <w:rsid w:val="00815F3F"/>
    <w:rsid w:val="00816429"/>
    <w:rsid w:val="00817016"/>
    <w:rsid w:val="0082483A"/>
    <w:rsid w:val="0082736B"/>
    <w:rsid w:val="0083042C"/>
    <w:rsid w:val="00834C92"/>
    <w:rsid w:val="00835E77"/>
    <w:rsid w:val="00841D9C"/>
    <w:rsid w:val="008474B4"/>
    <w:rsid w:val="008522D4"/>
    <w:rsid w:val="008636A1"/>
    <w:rsid w:val="00870A18"/>
    <w:rsid w:val="00870C33"/>
    <w:rsid w:val="00871A5A"/>
    <w:rsid w:val="00874FFB"/>
    <w:rsid w:val="008806BD"/>
    <w:rsid w:val="00880A2A"/>
    <w:rsid w:val="008832E8"/>
    <w:rsid w:val="00883C61"/>
    <w:rsid w:val="008879D0"/>
    <w:rsid w:val="00897442"/>
    <w:rsid w:val="008A1BE0"/>
    <w:rsid w:val="008A3B24"/>
    <w:rsid w:val="008A44A9"/>
    <w:rsid w:val="008A6BD6"/>
    <w:rsid w:val="008B08E5"/>
    <w:rsid w:val="008B1FDE"/>
    <w:rsid w:val="008B302B"/>
    <w:rsid w:val="008B64D8"/>
    <w:rsid w:val="008C4C94"/>
    <w:rsid w:val="008C6065"/>
    <w:rsid w:val="008D596F"/>
    <w:rsid w:val="008E0B03"/>
    <w:rsid w:val="008E3CED"/>
    <w:rsid w:val="00902301"/>
    <w:rsid w:val="009104A3"/>
    <w:rsid w:val="00914852"/>
    <w:rsid w:val="00924D4E"/>
    <w:rsid w:val="00925C93"/>
    <w:rsid w:val="00926D7D"/>
    <w:rsid w:val="00931AB7"/>
    <w:rsid w:val="00933B65"/>
    <w:rsid w:val="00936222"/>
    <w:rsid w:val="00947A36"/>
    <w:rsid w:val="0095371D"/>
    <w:rsid w:val="00953990"/>
    <w:rsid w:val="0095731F"/>
    <w:rsid w:val="00960EC1"/>
    <w:rsid w:val="00963F3B"/>
    <w:rsid w:val="009701EB"/>
    <w:rsid w:val="0097492B"/>
    <w:rsid w:val="00975569"/>
    <w:rsid w:val="009942DD"/>
    <w:rsid w:val="00995012"/>
    <w:rsid w:val="009A1DFB"/>
    <w:rsid w:val="009A1FDF"/>
    <w:rsid w:val="009A4B00"/>
    <w:rsid w:val="009B684C"/>
    <w:rsid w:val="009B73C5"/>
    <w:rsid w:val="009C62BD"/>
    <w:rsid w:val="009C6307"/>
    <w:rsid w:val="009C6523"/>
    <w:rsid w:val="009D2298"/>
    <w:rsid w:val="009D5EB6"/>
    <w:rsid w:val="009E5058"/>
    <w:rsid w:val="009F14C4"/>
    <w:rsid w:val="009F7B01"/>
    <w:rsid w:val="00A03E4C"/>
    <w:rsid w:val="00A1009E"/>
    <w:rsid w:val="00A14F87"/>
    <w:rsid w:val="00A2242F"/>
    <w:rsid w:val="00A2366B"/>
    <w:rsid w:val="00A3362A"/>
    <w:rsid w:val="00A44FE4"/>
    <w:rsid w:val="00A458C7"/>
    <w:rsid w:val="00A56345"/>
    <w:rsid w:val="00A57676"/>
    <w:rsid w:val="00A61548"/>
    <w:rsid w:val="00A65D98"/>
    <w:rsid w:val="00A7051D"/>
    <w:rsid w:val="00A722C1"/>
    <w:rsid w:val="00A73DFD"/>
    <w:rsid w:val="00A73EE7"/>
    <w:rsid w:val="00A764FC"/>
    <w:rsid w:val="00A86A8D"/>
    <w:rsid w:val="00A903E0"/>
    <w:rsid w:val="00A94D06"/>
    <w:rsid w:val="00AA15A1"/>
    <w:rsid w:val="00AA7B5D"/>
    <w:rsid w:val="00AB09C1"/>
    <w:rsid w:val="00AB11E3"/>
    <w:rsid w:val="00AB47C2"/>
    <w:rsid w:val="00AB72FE"/>
    <w:rsid w:val="00AC728C"/>
    <w:rsid w:val="00AD0821"/>
    <w:rsid w:val="00AD0B4D"/>
    <w:rsid w:val="00AD16D9"/>
    <w:rsid w:val="00AD30E9"/>
    <w:rsid w:val="00AE42FE"/>
    <w:rsid w:val="00AE56B2"/>
    <w:rsid w:val="00AF2E1F"/>
    <w:rsid w:val="00B00C82"/>
    <w:rsid w:val="00B03A3D"/>
    <w:rsid w:val="00B14510"/>
    <w:rsid w:val="00B15813"/>
    <w:rsid w:val="00B215E3"/>
    <w:rsid w:val="00B240A3"/>
    <w:rsid w:val="00B32F2E"/>
    <w:rsid w:val="00B33FF0"/>
    <w:rsid w:val="00B43524"/>
    <w:rsid w:val="00B43C37"/>
    <w:rsid w:val="00B43CF2"/>
    <w:rsid w:val="00B54AAD"/>
    <w:rsid w:val="00B5528C"/>
    <w:rsid w:val="00B6393F"/>
    <w:rsid w:val="00B729A0"/>
    <w:rsid w:val="00B73603"/>
    <w:rsid w:val="00B76C1E"/>
    <w:rsid w:val="00B84099"/>
    <w:rsid w:val="00B93081"/>
    <w:rsid w:val="00BA1CC9"/>
    <w:rsid w:val="00BA61CD"/>
    <w:rsid w:val="00BB2883"/>
    <w:rsid w:val="00BB40C3"/>
    <w:rsid w:val="00BB4426"/>
    <w:rsid w:val="00BC1440"/>
    <w:rsid w:val="00BC1841"/>
    <w:rsid w:val="00BC6755"/>
    <w:rsid w:val="00BD3974"/>
    <w:rsid w:val="00BE172E"/>
    <w:rsid w:val="00C00274"/>
    <w:rsid w:val="00C1109B"/>
    <w:rsid w:val="00C13ECE"/>
    <w:rsid w:val="00C17126"/>
    <w:rsid w:val="00C27C37"/>
    <w:rsid w:val="00C30145"/>
    <w:rsid w:val="00C320FD"/>
    <w:rsid w:val="00C37066"/>
    <w:rsid w:val="00C417BD"/>
    <w:rsid w:val="00C56E05"/>
    <w:rsid w:val="00C735C6"/>
    <w:rsid w:val="00C7529D"/>
    <w:rsid w:val="00C851BB"/>
    <w:rsid w:val="00CA7778"/>
    <w:rsid w:val="00CC3361"/>
    <w:rsid w:val="00CC674B"/>
    <w:rsid w:val="00CC67CC"/>
    <w:rsid w:val="00CD2429"/>
    <w:rsid w:val="00CE0FC8"/>
    <w:rsid w:val="00CE3678"/>
    <w:rsid w:val="00D020FE"/>
    <w:rsid w:val="00D06387"/>
    <w:rsid w:val="00D13422"/>
    <w:rsid w:val="00D13999"/>
    <w:rsid w:val="00D23B14"/>
    <w:rsid w:val="00D23DF7"/>
    <w:rsid w:val="00D25C76"/>
    <w:rsid w:val="00D3274C"/>
    <w:rsid w:val="00D3346C"/>
    <w:rsid w:val="00D36F32"/>
    <w:rsid w:val="00D4021A"/>
    <w:rsid w:val="00D42E13"/>
    <w:rsid w:val="00D450A9"/>
    <w:rsid w:val="00D51590"/>
    <w:rsid w:val="00D520CA"/>
    <w:rsid w:val="00D56315"/>
    <w:rsid w:val="00D567A2"/>
    <w:rsid w:val="00D7047D"/>
    <w:rsid w:val="00D83DF6"/>
    <w:rsid w:val="00D85A70"/>
    <w:rsid w:val="00DA34E4"/>
    <w:rsid w:val="00DB08CF"/>
    <w:rsid w:val="00DB450A"/>
    <w:rsid w:val="00DB5862"/>
    <w:rsid w:val="00DC1D69"/>
    <w:rsid w:val="00DC331B"/>
    <w:rsid w:val="00DD1040"/>
    <w:rsid w:val="00DD1142"/>
    <w:rsid w:val="00DD77EC"/>
    <w:rsid w:val="00DE43BA"/>
    <w:rsid w:val="00DF40D7"/>
    <w:rsid w:val="00E02BBF"/>
    <w:rsid w:val="00E05043"/>
    <w:rsid w:val="00E058E2"/>
    <w:rsid w:val="00E0620F"/>
    <w:rsid w:val="00E073AD"/>
    <w:rsid w:val="00E076E1"/>
    <w:rsid w:val="00E0794C"/>
    <w:rsid w:val="00E17C4A"/>
    <w:rsid w:val="00E32197"/>
    <w:rsid w:val="00E32687"/>
    <w:rsid w:val="00E32DBA"/>
    <w:rsid w:val="00E368B7"/>
    <w:rsid w:val="00E375EC"/>
    <w:rsid w:val="00E41E4B"/>
    <w:rsid w:val="00E43B9A"/>
    <w:rsid w:val="00E468D9"/>
    <w:rsid w:val="00E46D74"/>
    <w:rsid w:val="00E4704A"/>
    <w:rsid w:val="00E4746A"/>
    <w:rsid w:val="00E47504"/>
    <w:rsid w:val="00E47ACF"/>
    <w:rsid w:val="00E53E55"/>
    <w:rsid w:val="00E56F77"/>
    <w:rsid w:val="00E61B02"/>
    <w:rsid w:val="00E66F79"/>
    <w:rsid w:val="00E7446B"/>
    <w:rsid w:val="00E80AF3"/>
    <w:rsid w:val="00E87157"/>
    <w:rsid w:val="00E904EB"/>
    <w:rsid w:val="00EA7EF7"/>
    <w:rsid w:val="00EC7389"/>
    <w:rsid w:val="00EC767D"/>
    <w:rsid w:val="00ED0DCD"/>
    <w:rsid w:val="00EE0C3E"/>
    <w:rsid w:val="00EF0682"/>
    <w:rsid w:val="00EF09D6"/>
    <w:rsid w:val="00EF1ED8"/>
    <w:rsid w:val="00EF3575"/>
    <w:rsid w:val="00EF4A10"/>
    <w:rsid w:val="00F032E2"/>
    <w:rsid w:val="00F128BA"/>
    <w:rsid w:val="00F223F2"/>
    <w:rsid w:val="00F23425"/>
    <w:rsid w:val="00F2779A"/>
    <w:rsid w:val="00F3210F"/>
    <w:rsid w:val="00F4566B"/>
    <w:rsid w:val="00F54093"/>
    <w:rsid w:val="00F61B4A"/>
    <w:rsid w:val="00F62604"/>
    <w:rsid w:val="00F648C0"/>
    <w:rsid w:val="00F648E9"/>
    <w:rsid w:val="00F74ECC"/>
    <w:rsid w:val="00F75541"/>
    <w:rsid w:val="00F76AEE"/>
    <w:rsid w:val="00F77376"/>
    <w:rsid w:val="00F80801"/>
    <w:rsid w:val="00F86DD6"/>
    <w:rsid w:val="00F87E7E"/>
    <w:rsid w:val="00F95B15"/>
    <w:rsid w:val="00FA0388"/>
    <w:rsid w:val="00FA0A2E"/>
    <w:rsid w:val="00FA3FDF"/>
    <w:rsid w:val="00FA5894"/>
    <w:rsid w:val="00FB0516"/>
    <w:rsid w:val="00FB2A47"/>
    <w:rsid w:val="00FB5094"/>
    <w:rsid w:val="00FD61E1"/>
    <w:rsid w:val="00FD64BD"/>
    <w:rsid w:val="00FD6FDE"/>
    <w:rsid w:val="00FF3365"/>
    <w:rsid w:val="00FF49F3"/>
    <w:rsid w:val="00FF6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2244</Words>
  <Characters>11008</Characters>
  <Application>Microsoft Office Word</Application>
  <DocSecurity>0</DocSecurity>
  <Lines>91</Lines>
  <Paragraphs>26</Paragraphs>
  <ScaleCrop>false</ScaleCrop>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2018-09-28T12:34:00Z</dcterms:created>
  <dcterms:modified xsi:type="dcterms:W3CDTF">2018-09-28T12:34:00Z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