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51F" w:rsidRPr="00F95F6F" w:rsidRDefault="0016351F" w:rsidP="0016351F">
      <w:pPr>
        <w:jc w:val="center"/>
        <w:rPr>
          <w:rFonts w:ascii="Book Antiqua" w:hAnsi="Book Antiqua" w:cs="Arial"/>
          <w:sz w:val="16"/>
          <w:szCs w:val="16"/>
          <w:lang w:val="en-GB"/>
        </w:rPr>
      </w:pPr>
      <w:r w:rsidRPr="00305B64">
        <w:rPr>
          <w:rFonts w:ascii="Book Antiqua" w:hAnsi="Book Antiqua"/>
          <w:noProof/>
        </w:rPr>
        <w:drawing>
          <wp:inline distT="0" distB="0" distL="0" distR="0" wp14:anchorId="07CF38C1" wp14:editId="33C1053A">
            <wp:extent cx="1042670" cy="90805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050"/>
                    </a:xfrm>
                    <a:prstGeom prst="rect">
                      <a:avLst/>
                    </a:prstGeom>
                    <a:noFill/>
                    <a:ln>
                      <a:noFill/>
                    </a:ln>
                  </pic:spPr>
                </pic:pic>
              </a:graphicData>
            </a:graphic>
          </wp:inline>
        </w:drawing>
      </w:r>
    </w:p>
    <w:p w:rsidR="0016351F" w:rsidRPr="00F95F6F" w:rsidRDefault="0016351F" w:rsidP="0016351F">
      <w:pPr>
        <w:keepNext/>
        <w:spacing w:before="240" w:after="60"/>
        <w:outlineLvl w:val="1"/>
        <w:rPr>
          <w:rFonts w:ascii="Book Antiqua" w:hAnsi="Book Antiqua"/>
          <w:b/>
          <w:bCs/>
          <w:lang w:val="en-GB"/>
        </w:rPr>
      </w:pPr>
      <w:r w:rsidRPr="00F95F6F">
        <w:rPr>
          <w:rFonts w:ascii="Book Antiqua" w:hAnsi="Book Antiqua"/>
          <w:b/>
          <w:bCs/>
          <w:lang w:val="en-GB"/>
        </w:rPr>
        <w:t>Upper Tribunal</w:t>
      </w:r>
    </w:p>
    <w:p w:rsidR="0016351F" w:rsidRPr="00F95F6F" w:rsidRDefault="0016351F" w:rsidP="001E2DCD">
      <w:pPr>
        <w:tabs>
          <w:tab w:val="right" w:pos="8646"/>
        </w:tabs>
        <w:spacing w:after="120"/>
        <w:rPr>
          <w:rFonts w:ascii="Book Antiqua" w:hAnsi="Book Antiqua"/>
          <w:b/>
          <w:bCs/>
          <w:lang w:val="en-GB"/>
        </w:rPr>
      </w:pPr>
      <w:r w:rsidRPr="00F95F6F">
        <w:rPr>
          <w:rFonts w:ascii="Book Antiqua" w:hAnsi="Book Antiqua"/>
          <w:b/>
          <w:bCs/>
          <w:lang w:val="en-GB"/>
        </w:rPr>
        <w:t>Immigration and Asylum Chamber</w:t>
      </w:r>
      <w:r w:rsidR="001E2DCD">
        <w:rPr>
          <w:rFonts w:ascii="Book Antiqua" w:hAnsi="Book Antiqua"/>
          <w:lang w:val="en-GB"/>
        </w:rPr>
        <w:tab/>
      </w:r>
      <w:r w:rsidR="001E2DCD" w:rsidRPr="00F95F6F">
        <w:rPr>
          <w:rFonts w:ascii="Book Antiqua" w:hAnsi="Book Antiqua"/>
          <w:b/>
          <w:bCs/>
          <w:lang w:val="en-GB"/>
        </w:rPr>
        <w:t>Appeal Number:</w:t>
      </w:r>
      <w:r w:rsidR="001E2DCD">
        <w:rPr>
          <w:rFonts w:ascii="Book Antiqua" w:hAnsi="Book Antiqua"/>
          <w:b/>
          <w:bCs/>
          <w:lang w:val="en-GB"/>
        </w:rPr>
        <w:t xml:space="preserve"> </w:t>
      </w:r>
      <w:bookmarkStart w:id="0" w:name="_GoBack"/>
      <w:r>
        <w:rPr>
          <w:rFonts w:ascii="Book Antiqua" w:hAnsi="Book Antiqua"/>
          <w:b/>
          <w:bCs/>
          <w:lang w:val="en-GB"/>
        </w:rPr>
        <w:t>RP</w:t>
      </w:r>
      <w:r w:rsidRPr="00F95F6F">
        <w:rPr>
          <w:rFonts w:ascii="Book Antiqua" w:hAnsi="Book Antiqua"/>
          <w:b/>
          <w:bCs/>
          <w:lang w:val="en-GB"/>
        </w:rPr>
        <w:t>/</w:t>
      </w:r>
      <w:r>
        <w:rPr>
          <w:rFonts w:ascii="Book Antiqua" w:hAnsi="Book Antiqua"/>
          <w:b/>
          <w:bCs/>
          <w:lang w:val="en-GB"/>
        </w:rPr>
        <w:t>00131</w:t>
      </w:r>
      <w:r w:rsidRPr="00F95F6F">
        <w:rPr>
          <w:rFonts w:ascii="Book Antiqua" w:hAnsi="Book Antiqua"/>
          <w:b/>
          <w:bCs/>
          <w:lang w:val="en-GB"/>
        </w:rPr>
        <w:t>/201</w:t>
      </w:r>
      <w:r>
        <w:rPr>
          <w:rFonts w:ascii="Book Antiqua" w:hAnsi="Book Antiqua"/>
          <w:b/>
          <w:bCs/>
          <w:lang w:val="en-GB"/>
        </w:rPr>
        <w:t>7</w:t>
      </w:r>
      <w:bookmarkEnd w:id="0"/>
    </w:p>
    <w:p w:rsidR="0016351F" w:rsidRDefault="0016351F" w:rsidP="0016351F">
      <w:pPr>
        <w:spacing w:after="120"/>
        <w:rPr>
          <w:rFonts w:ascii="Book Antiqua" w:hAnsi="Book Antiqua"/>
          <w:b/>
          <w:bCs/>
          <w:lang w:val="en-GB"/>
        </w:rPr>
      </w:pPr>
      <w:r w:rsidRPr="00F95F6F">
        <w:rPr>
          <w:rFonts w:ascii="Book Antiqua" w:hAnsi="Book Antiqua"/>
          <w:b/>
          <w:bCs/>
          <w:lang w:val="en-GB"/>
        </w:rPr>
        <w:t>                                              </w:t>
      </w:r>
    </w:p>
    <w:p w:rsidR="0016351F" w:rsidRDefault="0016351F" w:rsidP="0016351F">
      <w:pPr>
        <w:spacing w:after="120"/>
        <w:rPr>
          <w:rFonts w:ascii="Book Antiqua" w:hAnsi="Book Antiqua" w:cs="Arial"/>
          <w:b/>
          <w:bCs/>
          <w:u w:val="single"/>
          <w:lang w:val="en-GB"/>
        </w:rPr>
      </w:pPr>
      <w:r>
        <w:rPr>
          <w:rFonts w:ascii="Book Antiqua" w:hAnsi="Book Antiqua"/>
          <w:b/>
          <w:bCs/>
          <w:lang w:val="en-GB"/>
        </w:rPr>
        <w:t xml:space="preserve">                                              </w:t>
      </w:r>
      <w:r>
        <w:rPr>
          <w:rFonts w:ascii="Book Antiqua" w:hAnsi="Book Antiqua" w:cs="Arial"/>
          <w:b/>
          <w:bCs/>
          <w:u w:val="single"/>
          <w:lang w:val="en-GB"/>
        </w:rPr>
        <w:t>T</w:t>
      </w:r>
      <w:r w:rsidRPr="00F95F6F">
        <w:rPr>
          <w:rFonts w:ascii="Book Antiqua" w:hAnsi="Book Antiqua" w:cs="Arial"/>
          <w:b/>
          <w:bCs/>
          <w:u w:val="single"/>
          <w:lang w:val="en-GB"/>
        </w:rPr>
        <w:t>HE IMMIGRATION ACTS</w:t>
      </w:r>
    </w:p>
    <w:p w:rsidR="0016351F" w:rsidRPr="00F95F6F" w:rsidRDefault="0016351F" w:rsidP="0016351F">
      <w:pPr>
        <w:spacing w:after="120"/>
        <w:rPr>
          <w:rFonts w:ascii="Book Antiqua" w:hAnsi="Book Antiqua" w:cs="Arial"/>
          <w:b/>
          <w:bCs/>
          <w:u w:val="single"/>
          <w:lang w:val="en-GB"/>
        </w:rPr>
      </w:pPr>
    </w:p>
    <w:tbl>
      <w:tblPr>
        <w:tblW w:w="0" w:type="auto"/>
        <w:tblCellMar>
          <w:left w:w="0" w:type="dxa"/>
          <w:right w:w="0" w:type="dxa"/>
        </w:tblCellMar>
        <w:tblLook w:val="0000" w:firstRow="0" w:lastRow="0" w:firstColumn="0" w:lastColumn="0" w:noHBand="0" w:noVBand="0"/>
      </w:tblPr>
      <w:tblGrid>
        <w:gridCol w:w="5356"/>
        <w:gridCol w:w="3290"/>
      </w:tblGrid>
      <w:tr w:rsidR="0016351F" w:rsidRPr="00F95F6F" w:rsidTr="00927450">
        <w:tc>
          <w:tcPr>
            <w:tcW w:w="5356" w:type="dxa"/>
            <w:tcMar>
              <w:top w:w="0" w:type="dxa"/>
              <w:left w:w="108" w:type="dxa"/>
              <w:bottom w:w="0" w:type="dxa"/>
              <w:right w:w="108" w:type="dxa"/>
            </w:tcMar>
          </w:tcPr>
          <w:p w:rsidR="0016351F" w:rsidRPr="00F95F6F" w:rsidRDefault="0016351F" w:rsidP="00927450">
            <w:pPr>
              <w:jc w:val="both"/>
              <w:rPr>
                <w:rFonts w:ascii="Book Antiqua" w:hAnsi="Book Antiqua" w:cs="Arial"/>
                <w:b/>
                <w:bCs/>
              </w:rPr>
            </w:pPr>
            <w:r w:rsidRPr="00F95F6F">
              <w:rPr>
                <w:rFonts w:ascii="Book Antiqua" w:hAnsi="Book Antiqua" w:cs="Arial"/>
                <w:b/>
                <w:bCs/>
              </w:rPr>
              <w:t xml:space="preserve">Heard at </w:t>
            </w:r>
            <w:r w:rsidR="00CD4F57">
              <w:rPr>
                <w:rFonts w:ascii="Book Antiqua" w:hAnsi="Book Antiqua" w:cs="Arial"/>
                <w:b/>
                <w:bCs/>
              </w:rPr>
              <w:t>Field House</w:t>
            </w:r>
          </w:p>
        </w:tc>
        <w:tc>
          <w:tcPr>
            <w:tcW w:w="3290" w:type="dxa"/>
            <w:tcMar>
              <w:top w:w="0" w:type="dxa"/>
              <w:left w:w="108" w:type="dxa"/>
              <w:bottom w:w="0" w:type="dxa"/>
              <w:right w:w="108" w:type="dxa"/>
            </w:tcMar>
          </w:tcPr>
          <w:p w:rsidR="006774E6" w:rsidRPr="00F95F6F" w:rsidRDefault="0016351F" w:rsidP="00927450">
            <w:pPr>
              <w:jc w:val="both"/>
              <w:rPr>
                <w:rFonts w:ascii="Book Antiqua" w:hAnsi="Book Antiqua" w:cs="Arial"/>
                <w:b/>
                <w:bCs/>
              </w:rPr>
            </w:pPr>
            <w:r>
              <w:rPr>
                <w:rFonts w:ascii="Book Antiqua" w:hAnsi="Book Antiqua" w:cs="Arial"/>
                <w:b/>
                <w:bCs/>
              </w:rPr>
              <w:t xml:space="preserve">                     </w:t>
            </w:r>
            <w:r w:rsidRPr="00F95F6F">
              <w:rPr>
                <w:rFonts w:ascii="Book Antiqua" w:hAnsi="Book Antiqua" w:cs="Arial"/>
                <w:b/>
                <w:bCs/>
              </w:rPr>
              <w:t>Promulgated on:</w:t>
            </w:r>
          </w:p>
        </w:tc>
      </w:tr>
      <w:tr w:rsidR="0016351F" w:rsidRPr="00F95F6F" w:rsidTr="00927450">
        <w:tc>
          <w:tcPr>
            <w:tcW w:w="5356" w:type="dxa"/>
            <w:tcMar>
              <w:top w:w="0" w:type="dxa"/>
              <w:left w:w="108" w:type="dxa"/>
              <w:bottom w:w="0" w:type="dxa"/>
              <w:right w:w="108" w:type="dxa"/>
            </w:tcMar>
          </w:tcPr>
          <w:p w:rsidR="0016351F" w:rsidRPr="00F95F6F" w:rsidRDefault="0016351F" w:rsidP="00927450">
            <w:pPr>
              <w:jc w:val="both"/>
              <w:rPr>
                <w:rFonts w:ascii="Book Antiqua" w:hAnsi="Book Antiqua" w:cs="Arial"/>
                <w:b/>
                <w:bCs/>
              </w:rPr>
            </w:pPr>
            <w:r w:rsidRPr="00F95F6F">
              <w:rPr>
                <w:rFonts w:ascii="Book Antiqua" w:hAnsi="Book Antiqua" w:cs="Arial"/>
                <w:b/>
                <w:bCs/>
              </w:rPr>
              <w:t xml:space="preserve">On </w:t>
            </w:r>
            <w:r w:rsidR="00CD4F57">
              <w:rPr>
                <w:rFonts w:ascii="Book Antiqua" w:hAnsi="Book Antiqua" w:cs="Arial"/>
                <w:b/>
                <w:bCs/>
              </w:rPr>
              <w:t>28 June</w:t>
            </w:r>
            <w:r>
              <w:rPr>
                <w:rFonts w:ascii="Book Antiqua" w:hAnsi="Book Antiqua" w:cs="Arial"/>
                <w:b/>
                <w:bCs/>
              </w:rPr>
              <w:t xml:space="preserve"> 2018</w:t>
            </w:r>
          </w:p>
        </w:tc>
        <w:tc>
          <w:tcPr>
            <w:tcW w:w="3290" w:type="dxa"/>
            <w:tcMar>
              <w:top w:w="0" w:type="dxa"/>
              <w:left w:w="108" w:type="dxa"/>
              <w:bottom w:w="0" w:type="dxa"/>
              <w:right w:w="108" w:type="dxa"/>
            </w:tcMar>
          </w:tcPr>
          <w:p w:rsidR="0016351F" w:rsidRPr="00F95F6F" w:rsidRDefault="006774E6" w:rsidP="00927450">
            <w:pPr>
              <w:jc w:val="both"/>
              <w:rPr>
                <w:rFonts w:ascii="Book Antiqua" w:hAnsi="Book Antiqua" w:cs="Arial"/>
                <w:b/>
                <w:bCs/>
              </w:rPr>
            </w:pPr>
            <w:r>
              <w:rPr>
                <w:rFonts w:ascii="Book Antiqua" w:hAnsi="Book Antiqua" w:cs="Arial"/>
                <w:b/>
                <w:bCs/>
              </w:rPr>
              <w:t xml:space="preserve">                     On 4 July 2018</w:t>
            </w:r>
          </w:p>
        </w:tc>
      </w:tr>
      <w:tr w:rsidR="0016351F" w:rsidRPr="00F95F6F" w:rsidTr="00927450">
        <w:trPr>
          <w:trHeight w:val="80"/>
        </w:trPr>
        <w:tc>
          <w:tcPr>
            <w:tcW w:w="5356" w:type="dxa"/>
            <w:tcMar>
              <w:top w:w="0" w:type="dxa"/>
              <w:left w:w="108" w:type="dxa"/>
              <w:bottom w:w="0" w:type="dxa"/>
              <w:right w:w="108" w:type="dxa"/>
            </w:tcMar>
          </w:tcPr>
          <w:p w:rsidR="0016351F" w:rsidRPr="00F95F6F" w:rsidRDefault="0016351F" w:rsidP="00927450">
            <w:pPr>
              <w:jc w:val="both"/>
              <w:rPr>
                <w:rFonts w:ascii="Book Antiqua" w:hAnsi="Book Antiqua" w:cs="Arial"/>
                <w:b/>
                <w:bCs/>
                <w:sz w:val="8"/>
              </w:rPr>
            </w:pPr>
          </w:p>
        </w:tc>
        <w:tc>
          <w:tcPr>
            <w:tcW w:w="3290" w:type="dxa"/>
            <w:tcMar>
              <w:top w:w="0" w:type="dxa"/>
              <w:left w:w="108" w:type="dxa"/>
              <w:bottom w:w="0" w:type="dxa"/>
              <w:right w:w="108" w:type="dxa"/>
            </w:tcMar>
          </w:tcPr>
          <w:p w:rsidR="0016351F" w:rsidRPr="00F95F6F" w:rsidRDefault="0016351F" w:rsidP="00927450">
            <w:pPr>
              <w:jc w:val="both"/>
              <w:rPr>
                <w:rFonts w:ascii="Book Antiqua" w:hAnsi="Book Antiqua" w:cs="Arial"/>
                <w:b/>
                <w:bCs/>
                <w:sz w:val="8"/>
              </w:rPr>
            </w:pPr>
          </w:p>
        </w:tc>
      </w:tr>
      <w:tr w:rsidR="006774E6" w:rsidRPr="00F95F6F" w:rsidTr="00927450">
        <w:trPr>
          <w:trHeight w:val="80"/>
        </w:trPr>
        <w:tc>
          <w:tcPr>
            <w:tcW w:w="5356" w:type="dxa"/>
            <w:tcMar>
              <w:top w:w="0" w:type="dxa"/>
              <w:left w:w="108" w:type="dxa"/>
              <w:bottom w:w="0" w:type="dxa"/>
              <w:right w:w="108" w:type="dxa"/>
            </w:tcMar>
          </w:tcPr>
          <w:p w:rsidR="006774E6" w:rsidRPr="00F95F6F" w:rsidRDefault="006774E6" w:rsidP="00927450">
            <w:pPr>
              <w:jc w:val="both"/>
              <w:rPr>
                <w:rFonts w:ascii="Book Antiqua" w:hAnsi="Book Antiqua" w:cs="Arial"/>
                <w:b/>
                <w:bCs/>
                <w:sz w:val="8"/>
              </w:rPr>
            </w:pPr>
          </w:p>
        </w:tc>
        <w:tc>
          <w:tcPr>
            <w:tcW w:w="3290" w:type="dxa"/>
            <w:tcMar>
              <w:top w:w="0" w:type="dxa"/>
              <w:left w:w="108" w:type="dxa"/>
              <w:bottom w:w="0" w:type="dxa"/>
              <w:right w:w="108" w:type="dxa"/>
            </w:tcMar>
          </w:tcPr>
          <w:p w:rsidR="006774E6" w:rsidRPr="00F95F6F" w:rsidRDefault="006774E6" w:rsidP="00927450">
            <w:pPr>
              <w:jc w:val="both"/>
              <w:rPr>
                <w:rFonts w:ascii="Book Antiqua" w:hAnsi="Book Antiqua" w:cs="Arial"/>
                <w:b/>
                <w:bCs/>
                <w:sz w:val="8"/>
              </w:rPr>
            </w:pPr>
          </w:p>
        </w:tc>
      </w:tr>
    </w:tbl>
    <w:p w:rsidR="0016351F" w:rsidRPr="00F95F6F" w:rsidRDefault="0016351F" w:rsidP="0016351F">
      <w:pPr>
        <w:jc w:val="center"/>
        <w:rPr>
          <w:rFonts w:ascii="Book Antiqua" w:hAnsi="Book Antiqua" w:cs="Arial"/>
          <w:b/>
          <w:bCs/>
          <w:sz w:val="26"/>
          <w:szCs w:val="26"/>
          <w:lang w:val="en-GB"/>
        </w:rPr>
      </w:pPr>
      <w:r w:rsidRPr="00F95F6F">
        <w:rPr>
          <w:rFonts w:ascii="Book Antiqua" w:hAnsi="Book Antiqua" w:cs="Arial"/>
          <w:b/>
          <w:bCs/>
          <w:sz w:val="26"/>
          <w:szCs w:val="26"/>
          <w:lang w:val="en-GB"/>
        </w:rPr>
        <w:t>Before</w:t>
      </w:r>
    </w:p>
    <w:p w:rsidR="0016351F" w:rsidRPr="00F95F6F" w:rsidRDefault="0016351F" w:rsidP="0016351F">
      <w:pPr>
        <w:jc w:val="center"/>
        <w:rPr>
          <w:rFonts w:ascii="Book Antiqua" w:hAnsi="Book Antiqua" w:cs="Arial"/>
          <w:b/>
          <w:bCs/>
          <w:sz w:val="26"/>
          <w:szCs w:val="26"/>
          <w:lang w:val="en-GB"/>
        </w:rPr>
      </w:pPr>
    </w:p>
    <w:p w:rsidR="0016351F" w:rsidRDefault="0016351F" w:rsidP="0016351F">
      <w:pPr>
        <w:jc w:val="center"/>
        <w:rPr>
          <w:rFonts w:ascii="Book Antiqua" w:hAnsi="Book Antiqua" w:cs="Arial"/>
          <w:b/>
          <w:bCs/>
          <w:sz w:val="26"/>
          <w:szCs w:val="26"/>
          <w:lang w:val="en-GB"/>
        </w:rPr>
      </w:pPr>
      <w:bookmarkStart w:id="1" w:name="Text4"/>
      <w:bookmarkEnd w:id="1"/>
      <w:r w:rsidRPr="00F95F6F">
        <w:rPr>
          <w:rFonts w:ascii="Book Antiqua" w:hAnsi="Book Antiqua" w:cs="Arial"/>
          <w:b/>
          <w:bCs/>
          <w:sz w:val="26"/>
          <w:szCs w:val="26"/>
          <w:lang w:val="en-GB"/>
        </w:rPr>
        <w:t xml:space="preserve">Upper Tribunal Judge </w:t>
      </w:r>
      <w:proofErr w:type="spellStart"/>
      <w:r w:rsidRPr="00F95F6F">
        <w:rPr>
          <w:rFonts w:ascii="Book Antiqua" w:hAnsi="Book Antiqua" w:cs="Arial"/>
          <w:b/>
          <w:bCs/>
          <w:sz w:val="26"/>
          <w:szCs w:val="26"/>
          <w:lang w:val="en-GB"/>
        </w:rPr>
        <w:t>Kekić</w:t>
      </w:r>
      <w:proofErr w:type="spellEnd"/>
    </w:p>
    <w:p w:rsidR="0016351F" w:rsidRPr="00F95F6F" w:rsidRDefault="0016351F" w:rsidP="0016351F">
      <w:pPr>
        <w:jc w:val="center"/>
        <w:rPr>
          <w:rFonts w:ascii="Book Antiqua" w:hAnsi="Book Antiqua" w:cs="Arial"/>
          <w:b/>
          <w:bCs/>
          <w:sz w:val="26"/>
          <w:szCs w:val="26"/>
          <w:lang w:val="en-GB"/>
        </w:rPr>
      </w:pPr>
    </w:p>
    <w:p w:rsidR="0016351F" w:rsidRPr="00F95F6F" w:rsidRDefault="0016351F" w:rsidP="0016351F">
      <w:pPr>
        <w:jc w:val="center"/>
        <w:rPr>
          <w:rFonts w:ascii="Book Antiqua" w:hAnsi="Book Antiqua" w:cs="Arial"/>
          <w:b/>
          <w:bCs/>
          <w:sz w:val="26"/>
          <w:szCs w:val="26"/>
          <w:lang w:val="en-GB"/>
        </w:rPr>
      </w:pPr>
      <w:r w:rsidRPr="00F95F6F">
        <w:rPr>
          <w:rFonts w:ascii="Book Antiqua" w:hAnsi="Book Antiqua" w:cs="Arial"/>
          <w:b/>
          <w:bCs/>
          <w:sz w:val="26"/>
          <w:szCs w:val="26"/>
          <w:lang w:val="en-GB"/>
        </w:rPr>
        <w:t>Between</w:t>
      </w:r>
    </w:p>
    <w:p w:rsidR="0016351F" w:rsidRPr="00F95F6F" w:rsidRDefault="0016351F" w:rsidP="0016351F">
      <w:pPr>
        <w:rPr>
          <w:rFonts w:ascii="Book Antiqua" w:hAnsi="Book Antiqua" w:cs="Arial"/>
          <w:b/>
          <w:bCs/>
          <w:sz w:val="26"/>
          <w:szCs w:val="26"/>
          <w:lang w:val="en-GB"/>
        </w:rPr>
      </w:pPr>
      <w:r w:rsidRPr="00F95F6F">
        <w:rPr>
          <w:rFonts w:ascii="Book Antiqua" w:hAnsi="Book Antiqua" w:cs="Arial"/>
          <w:b/>
          <w:bCs/>
          <w:sz w:val="26"/>
          <w:szCs w:val="26"/>
          <w:lang w:val="en-GB"/>
        </w:rPr>
        <w:t xml:space="preserve">                                           </w:t>
      </w:r>
    </w:p>
    <w:p w:rsidR="0016351F" w:rsidRDefault="006774E6" w:rsidP="0016351F">
      <w:pPr>
        <w:jc w:val="center"/>
        <w:rPr>
          <w:rFonts w:ascii="Book Antiqua" w:hAnsi="Book Antiqua" w:cs="Arial"/>
          <w:b/>
          <w:bCs/>
          <w:sz w:val="26"/>
          <w:szCs w:val="26"/>
          <w:lang w:val="en-GB"/>
        </w:rPr>
      </w:pPr>
      <w:r>
        <w:rPr>
          <w:rFonts w:ascii="Book Antiqua" w:hAnsi="Book Antiqua" w:cs="Arial"/>
          <w:b/>
          <w:bCs/>
          <w:sz w:val="26"/>
          <w:szCs w:val="26"/>
          <w:lang w:val="en-GB"/>
        </w:rPr>
        <w:t>NS</w:t>
      </w:r>
    </w:p>
    <w:p w:rsidR="0016351F" w:rsidRPr="00F95F6F" w:rsidRDefault="0016351F" w:rsidP="0016351F">
      <w:pPr>
        <w:jc w:val="center"/>
        <w:rPr>
          <w:rFonts w:ascii="Book Antiqua" w:hAnsi="Book Antiqua" w:cs="Arial"/>
          <w:b/>
          <w:bCs/>
          <w:sz w:val="26"/>
          <w:szCs w:val="26"/>
          <w:lang w:val="en-GB"/>
        </w:rPr>
      </w:pPr>
      <w:r>
        <w:rPr>
          <w:rFonts w:ascii="Book Antiqua" w:hAnsi="Book Antiqua" w:cs="Arial"/>
          <w:b/>
          <w:bCs/>
          <w:sz w:val="26"/>
          <w:szCs w:val="26"/>
          <w:lang w:val="en-GB"/>
        </w:rPr>
        <w:t>(anonymity order made)</w:t>
      </w:r>
    </w:p>
    <w:p w:rsidR="0016351F" w:rsidRPr="00F95F6F" w:rsidRDefault="0016351F" w:rsidP="0016351F">
      <w:pPr>
        <w:ind w:firstLine="6480"/>
        <w:jc w:val="center"/>
        <w:rPr>
          <w:rFonts w:ascii="Book Antiqua" w:hAnsi="Book Antiqua" w:cs="Arial"/>
          <w:b/>
          <w:bCs/>
          <w:sz w:val="26"/>
          <w:szCs w:val="26"/>
          <w:lang w:val="en-GB"/>
        </w:rPr>
      </w:pPr>
      <w:r w:rsidRPr="00F95F6F">
        <w:rPr>
          <w:rFonts w:ascii="Book Antiqua" w:hAnsi="Book Antiqua" w:cs="Arial"/>
          <w:b/>
          <w:bCs/>
          <w:sz w:val="26"/>
          <w:szCs w:val="26"/>
          <w:lang w:val="en-GB"/>
        </w:rPr>
        <w:t xml:space="preserve">           </w:t>
      </w:r>
      <w:r w:rsidRPr="00F95F6F">
        <w:rPr>
          <w:rFonts w:ascii="Book Antiqua" w:hAnsi="Book Antiqua" w:cs="Arial"/>
          <w:b/>
          <w:bCs/>
          <w:sz w:val="26"/>
          <w:szCs w:val="26"/>
          <w:u w:val="single"/>
          <w:lang w:val="en-GB"/>
        </w:rPr>
        <w:t>Appellant</w:t>
      </w:r>
    </w:p>
    <w:p w:rsidR="0016351F" w:rsidRPr="00F95F6F" w:rsidRDefault="0016351F" w:rsidP="0016351F">
      <w:pPr>
        <w:jc w:val="center"/>
        <w:rPr>
          <w:rFonts w:ascii="Book Antiqua" w:hAnsi="Book Antiqua" w:cs="Arial"/>
          <w:b/>
          <w:bCs/>
          <w:sz w:val="26"/>
          <w:szCs w:val="26"/>
          <w:lang w:val="en-GB"/>
        </w:rPr>
      </w:pPr>
      <w:r w:rsidRPr="00F95F6F">
        <w:rPr>
          <w:rFonts w:ascii="Book Antiqua" w:hAnsi="Book Antiqua" w:cs="Arial"/>
          <w:b/>
          <w:bCs/>
          <w:sz w:val="26"/>
          <w:szCs w:val="26"/>
          <w:lang w:val="en-GB"/>
        </w:rPr>
        <w:t>and</w:t>
      </w:r>
    </w:p>
    <w:p w:rsidR="0016351F" w:rsidRPr="00F95F6F" w:rsidRDefault="0016351F" w:rsidP="0016351F">
      <w:pPr>
        <w:jc w:val="both"/>
        <w:rPr>
          <w:rFonts w:ascii="Book Antiqua" w:hAnsi="Book Antiqua" w:cs="Arial"/>
          <w:b/>
          <w:bCs/>
          <w:sz w:val="26"/>
          <w:szCs w:val="26"/>
          <w:lang w:val="en-GB"/>
        </w:rPr>
      </w:pPr>
    </w:p>
    <w:p w:rsidR="0016351F" w:rsidRPr="00F95F6F" w:rsidRDefault="0016351F" w:rsidP="0016351F">
      <w:pPr>
        <w:jc w:val="center"/>
        <w:rPr>
          <w:rFonts w:ascii="Book Antiqua" w:hAnsi="Book Antiqua" w:cs="Arial"/>
          <w:b/>
          <w:bCs/>
          <w:sz w:val="26"/>
          <w:szCs w:val="26"/>
          <w:lang w:val="en-GB"/>
        </w:rPr>
      </w:pPr>
      <w:r w:rsidRPr="00F95F6F">
        <w:rPr>
          <w:rFonts w:ascii="Book Antiqua" w:hAnsi="Book Antiqua" w:cs="Arial"/>
          <w:b/>
          <w:bCs/>
          <w:sz w:val="26"/>
          <w:szCs w:val="26"/>
          <w:lang w:val="en-GB"/>
        </w:rPr>
        <w:t xml:space="preserve">Secretary of State for the Home Department </w:t>
      </w:r>
    </w:p>
    <w:p w:rsidR="0016351F" w:rsidRDefault="0016351F" w:rsidP="0016351F">
      <w:pPr>
        <w:ind w:left="7200"/>
        <w:jc w:val="both"/>
        <w:rPr>
          <w:rFonts w:ascii="Book Antiqua" w:hAnsi="Book Antiqua" w:cs="Arial"/>
          <w:b/>
          <w:bCs/>
          <w:sz w:val="26"/>
          <w:szCs w:val="26"/>
          <w:lang w:val="en-GB"/>
        </w:rPr>
      </w:pPr>
      <w:r w:rsidRPr="00F95F6F">
        <w:rPr>
          <w:rFonts w:ascii="Book Antiqua" w:hAnsi="Book Antiqua" w:cs="Arial"/>
          <w:b/>
          <w:bCs/>
          <w:sz w:val="26"/>
          <w:szCs w:val="26"/>
          <w:lang w:val="en-GB"/>
        </w:rPr>
        <w:t xml:space="preserve"> </w:t>
      </w:r>
      <w:r>
        <w:rPr>
          <w:rFonts w:ascii="Book Antiqua" w:hAnsi="Book Antiqua" w:cs="Arial"/>
          <w:b/>
          <w:bCs/>
          <w:sz w:val="26"/>
          <w:szCs w:val="26"/>
          <w:lang w:val="en-GB"/>
        </w:rPr>
        <w:t xml:space="preserve">   </w:t>
      </w:r>
      <w:r w:rsidRPr="00F95F6F">
        <w:rPr>
          <w:rFonts w:ascii="Book Antiqua" w:hAnsi="Book Antiqua" w:cs="Arial"/>
          <w:b/>
          <w:bCs/>
          <w:sz w:val="26"/>
          <w:szCs w:val="26"/>
          <w:u w:val="single"/>
          <w:lang w:val="en-GB"/>
        </w:rPr>
        <w:t>Respondent</w:t>
      </w:r>
      <w:r w:rsidRPr="00F95F6F">
        <w:rPr>
          <w:rFonts w:ascii="Book Antiqua" w:hAnsi="Book Antiqua" w:cs="Arial"/>
          <w:b/>
          <w:bCs/>
          <w:sz w:val="26"/>
          <w:szCs w:val="26"/>
          <w:lang w:val="en-GB"/>
        </w:rPr>
        <w:t xml:space="preserve"> </w:t>
      </w:r>
    </w:p>
    <w:p w:rsidR="0016351F" w:rsidRPr="00F95F6F" w:rsidRDefault="0016351F" w:rsidP="0016351F">
      <w:pPr>
        <w:ind w:left="7200"/>
        <w:jc w:val="both"/>
        <w:rPr>
          <w:rFonts w:ascii="Book Antiqua" w:hAnsi="Book Antiqua" w:cs="Arial"/>
          <w:b/>
          <w:bCs/>
          <w:sz w:val="26"/>
          <w:szCs w:val="26"/>
          <w:lang w:val="en-GB"/>
        </w:rPr>
      </w:pPr>
    </w:p>
    <w:p w:rsidR="0016351F" w:rsidRPr="00F95F6F" w:rsidRDefault="0016351F" w:rsidP="0016351F">
      <w:pPr>
        <w:jc w:val="center"/>
        <w:rPr>
          <w:rFonts w:ascii="Book Antiqua" w:hAnsi="Book Antiqua" w:cs="Arial"/>
          <w:lang w:val="en-GB"/>
        </w:rPr>
      </w:pPr>
      <w:r>
        <w:rPr>
          <w:rFonts w:ascii="Book Antiqua" w:hAnsi="Book Antiqua" w:cs="Arial"/>
          <w:b/>
          <w:bCs/>
          <w:sz w:val="28"/>
          <w:szCs w:val="28"/>
          <w:u w:val="single"/>
          <w:lang w:val="en-GB"/>
        </w:rPr>
        <w:t>Determination and Reasons</w:t>
      </w:r>
    </w:p>
    <w:p w:rsidR="0016351F" w:rsidRPr="00F95F6F" w:rsidRDefault="0016351F" w:rsidP="0016351F">
      <w:pPr>
        <w:jc w:val="both"/>
        <w:rPr>
          <w:rFonts w:ascii="Book Antiqua" w:hAnsi="Book Antiqua" w:cs="Arial"/>
          <w:sz w:val="26"/>
          <w:szCs w:val="26"/>
          <w:u w:val="single"/>
          <w:lang w:val="en-GB"/>
        </w:rPr>
      </w:pPr>
    </w:p>
    <w:p w:rsidR="0016351F" w:rsidRPr="00F95F6F" w:rsidRDefault="0016351F" w:rsidP="0016351F">
      <w:pPr>
        <w:jc w:val="both"/>
        <w:rPr>
          <w:rFonts w:ascii="Book Antiqua" w:hAnsi="Book Antiqua" w:cs="Arial"/>
          <w:lang w:val="en-GB"/>
        </w:rPr>
      </w:pPr>
      <w:r w:rsidRPr="00F95F6F">
        <w:rPr>
          <w:rFonts w:ascii="Book Antiqua" w:hAnsi="Book Antiqua" w:cs="Arial"/>
          <w:b/>
          <w:bCs/>
          <w:u w:val="single"/>
          <w:lang w:val="en-GB"/>
        </w:rPr>
        <w:t>Representation</w:t>
      </w:r>
    </w:p>
    <w:p w:rsidR="0016351F" w:rsidRPr="00F95F6F" w:rsidRDefault="0016351F" w:rsidP="0016351F">
      <w:pPr>
        <w:ind w:left="2880" w:hanging="2880"/>
        <w:jc w:val="both"/>
        <w:rPr>
          <w:rFonts w:ascii="Book Antiqua" w:hAnsi="Book Antiqua" w:cs="Arial"/>
          <w:lang w:val="en-GB"/>
        </w:rPr>
      </w:pPr>
      <w:r w:rsidRPr="00F95F6F">
        <w:rPr>
          <w:rFonts w:ascii="Book Antiqua" w:hAnsi="Book Antiqua" w:cs="Arial"/>
          <w:lang w:val="en-GB"/>
        </w:rPr>
        <w:t>For the Appellant:    </w:t>
      </w:r>
      <w:r>
        <w:rPr>
          <w:rFonts w:ascii="Book Antiqua" w:hAnsi="Book Antiqua" w:cs="Arial"/>
          <w:lang w:val="en-GB"/>
        </w:rPr>
        <w:t xml:space="preserve">  Mr E </w:t>
      </w:r>
      <w:proofErr w:type="spellStart"/>
      <w:r>
        <w:rPr>
          <w:rFonts w:ascii="Book Antiqua" w:hAnsi="Book Antiqua" w:cs="Arial"/>
          <w:lang w:val="en-GB"/>
        </w:rPr>
        <w:t>Fripp</w:t>
      </w:r>
      <w:proofErr w:type="spellEnd"/>
      <w:r>
        <w:rPr>
          <w:rFonts w:ascii="Book Antiqua" w:hAnsi="Book Antiqua" w:cs="Arial"/>
          <w:lang w:val="en-GB"/>
        </w:rPr>
        <w:t xml:space="preserve">, of Counsel, instructed by Duncan Lewis and Co. </w:t>
      </w:r>
    </w:p>
    <w:p w:rsidR="0016351F" w:rsidRPr="00F95F6F" w:rsidRDefault="0016351F" w:rsidP="0016351F">
      <w:pPr>
        <w:ind w:left="2880" w:hanging="2880"/>
        <w:jc w:val="both"/>
        <w:rPr>
          <w:rFonts w:ascii="Book Antiqua" w:hAnsi="Book Antiqua" w:cs="Arial"/>
          <w:lang w:val="en-GB"/>
        </w:rPr>
      </w:pPr>
      <w:r w:rsidRPr="00F95F6F">
        <w:rPr>
          <w:rFonts w:ascii="Book Antiqua" w:hAnsi="Book Antiqua" w:cs="Arial"/>
          <w:lang w:val="en-GB"/>
        </w:rPr>
        <w:t>F</w:t>
      </w:r>
      <w:r>
        <w:rPr>
          <w:rFonts w:ascii="Book Antiqua" w:hAnsi="Book Antiqua" w:cs="Arial"/>
          <w:lang w:val="en-GB"/>
        </w:rPr>
        <w:t>or the Respondent:  Mr</w:t>
      </w:r>
      <w:r w:rsidR="00955748">
        <w:rPr>
          <w:rFonts w:ascii="Book Antiqua" w:hAnsi="Book Antiqua" w:cs="Arial"/>
          <w:lang w:val="en-GB"/>
        </w:rPr>
        <w:t xml:space="preserve"> E </w:t>
      </w:r>
      <w:proofErr w:type="spellStart"/>
      <w:r w:rsidR="00955748">
        <w:rPr>
          <w:rFonts w:ascii="Book Antiqua" w:hAnsi="Book Antiqua" w:cs="Arial"/>
          <w:lang w:val="en-GB"/>
        </w:rPr>
        <w:t>Tufan</w:t>
      </w:r>
      <w:proofErr w:type="spellEnd"/>
      <w:r w:rsidRPr="00F95F6F">
        <w:rPr>
          <w:rFonts w:ascii="Book Antiqua" w:hAnsi="Book Antiqua" w:cs="Arial"/>
          <w:lang w:val="en-GB"/>
        </w:rPr>
        <w:t>, Senior Home Office Presenting Officer</w:t>
      </w:r>
    </w:p>
    <w:p w:rsidR="0016351F" w:rsidRPr="00F95F6F" w:rsidRDefault="0016351F" w:rsidP="0016351F">
      <w:pPr>
        <w:ind w:left="2880" w:hanging="2880"/>
        <w:jc w:val="both"/>
        <w:rPr>
          <w:rFonts w:ascii="Book Antiqua" w:hAnsi="Book Antiqua" w:cs="Arial"/>
          <w:lang w:val="en-GB"/>
        </w:rPr>
      </w:pPr>
      <w:r w:rsidRPr="00F95F6F">
        <w:rPr>
          <w:rFonts w:ascii="Book Antiqua" w:hAnsi="Book Antiqua" w:cs="Arial"/>
          <w:lang w:val="en-GB"/>
        </w:rPr>
        <w:t xml:space="preserve">                                                </w:t>
      </w:r>
    </w:p>
    <w:p w:rsidR="0016351F" w:rsidRPr="00F95F6F" w:rsidRDefault="0016351F" w:rsidP="0016351F">
      <w:pPr>
        <w:jc w:val="both"/>
        <w:rPr>
          <w:rFonts w:ascii="Book Antiqua" w:hAnsi="Book Antiqua" w:cs="Arial"/>
          <w:b/>
          <w:bCs/>
          <w:lang w:val="en-GB"/>
        </w:rPr>
      </w:pPr>
      <w:r w:rsidRPr="00F95F6F">
        <w:rPr>
          <w:rFonts w:ascii="Book Antiqua" w:hAnsi="Book Antiqua" w:cs="Arial"/>
          <w:b/>
          <w:bCs/>
          <w:lang w:val="en-GB"/>
        </w:rPr>
        <w:t>Details of appellant</w:t>
      </w:r>
      <w:r w:rsidR="00144E80">
        <w:rPr>
          <w:rFonts w:ascii="Book Antiqua" w:hAnsi="Book Antiqua" w:cs="Arial"/>
          <w:b/>
          <w:bCs/>
          <w:lang w:val="en-GB"/>
        </w:rPr>
        <w:t>, immigration history and background</w:t>
      </w:r>
    </w:p>
    <w:p w:rsidR="0016351F" w:rsidRPr="00F95F6F" w:rsidRDefault="0016351F" w:rsidP="0016351F">
      <w:pPr>
        <w:jc w:val="both"/>
        <w:rPr>
          <w:rFonts w:ascii="Book Antiqua" w:hAnsi="Book Antiqua" w:cs="Arial"/>
          <w:lang w:val="en-GB"/>
        </w:rPr>
      </w:pPr>
      <w:r w:rsidRPr="00F95F6F">
        <w:rPr>
          <w:rFonts w:ascii="Book Antiqua" w:hAnsi="Book Antiqua" w:cs="Arial"/>
          <w:lang w:val="en-GB"/>
        </w:rPr>
        <w:t xml:space="preserve">            </w:t>
      </w:r>
    </w:p>
    <w:p w:rsidR="0016351F" w:rsidRPr="00CD4F57" w:rsidRDefault="0016351F" w:rsidP="0016351F">
      <w:pPr>
        <w:numPr>
          <w:ilvl w:val="0"/>
          <w:numId w:val="1"/>
        </w:numPr>
        <w:ind w:left="720" w:hanging="720"/>
        <w:jc w:val="both"/>
        <w:rPr>
          <w:rFonts w:ascii="Book Antiqua" w:hAnsi="Book Antiqua"/>
          <w:b/>
          <w:bCs/>
          <w:lang w:val="en-GB"/>
        </w:rPr>
      </w:pPr>
      <w:r w:rsidRPr="00CD4F57">
        <w:rPr>
          <w:rFonts w:ascii="Book Antiqua" w:hAnsi="Book Antiqua"/>
          <w:lang w:val="en-GB"/>
        </w:rPr>
        <w:t xml:space="preserve">        </w:t>
      </w:r>
      <w:r w:rsidRPr="00CD4F57">
        <w:rPr>
          <w:rFonts w:ascii="Book Antiqua" w:hAnsi="Book Antiqua"/>
          <w:lang w:val="en-GB"/>
        </w:rPr>
        <w:tab/>
        <w:t xml:space="preserve">The appellant is an Afghani national born on 1 June 1992. He appealed </w:t>
      </w:r>
      <w:r w:rsidR="00CD4F57">
        <w:rPr>
          <w:rFonts w:ascii="Book Antiqua" w:hAnsi="Book Antiqua"/>
          <w:lang w:val="en-GB"/>
        </w:rPr>
        <w:t xml:space="preserve">against </w:t>
      </w:r>
      <w:r w:rsidRPr="00CD4F57">
        <w:rPr>
          <w:rFonts w:ascii="Book Antiqua" w:hAnsi="Book Antiqua"/>
          <w:lang w:val="en-GB"/>
        </w:rPr>
        <w:t xml:space="preserve">the decision of the respondent dated 16 October 2017 to </w:t>
      </w:r>
      <w:proofErr w:type="gramStart"/>
      <w:r w:rsidRPr="00CD4F57">
        <w:rPr>
          <w:rFonts w:ascii="Book Antiqua" w:hAnsi="Book Antiqua"/>
          <w:lang w:val="en-GB"/>
        </w:rPr>
        <w:t>effect</w:t>
      </w:r>
      <w:proofErr w:type="gramEnd"/>
      <w:r w:rsidRPr="00CD4F57">
        <w:rPr>
          <w:rFonts w:ascii="Book Antiqua" w:hAnsi="Book Antiqua"/>
          <w:lang w:val="en-GB"/>
        </w:rPr>
        <w:t xml:space="preserve"> a cessation of his refugee status under article 1C</w:t>
      </w:r>
      <w:r w:rsidR="0084131B">
        <w:rPr>
          <w:rFonts w:ascii="Book Antiqua" w:hAnsi="Book Antiqua"/>
          <w:lang w:val="en-GB"/>
        </w:rPr>
        <w:t xml:space="preserve"> </w:t>
      </w:r>
      <w:r w:rsidRPr="00CD4F57">
        <w:rPr>
          <w:rFonts w:ascii="Book Antiqua" w:hAnsi="Book Antiqua"/>
          <w:lang w:val="en-GB"/>
        </w:rPr>
        <w:t>(5) of the 1951 Refugee Convention and paragraph 339A(v) of the Immigration Rules. On the same</w:t>
      </w:r>
      <w:r w:rsidR="00955748">
        <w:rPr>
          <w:rFonts w:ascii="Book Antiqua" w:hAnsi="Book Antiqua"/>
          <w:lang w:val="en-GB"/>
        </w:rPr>
        <w:t xml:space="preserve"> </w:t>
      </w:r>
      <w:r w:rsidRPr="00CD4F57">
        <w:rPr>
          <w:rFonts w:ascii="Book Antiqua" w:hAnsi="Book Antiqua"/>
          <w:lang w:val="en-GB"/>
        </w:rPr>
        <w:lastRenderedPageBreak/>
        <w:t xml:space="preserve">date his human rights claim was refused and the decision to treat him as liable to deportation was maintained. </w:t>
      </w:r>
    </w:p>
    <w:p w:rsidR="0016351F" w:rsidRPr="00247C5F" w:rsidRDefault="0016351F" w:rsidP="0016351F">
      <w:pPr>
        <w:ind w:left="720"/>
        <w:jc w:val="both"/>
        <w:rPr>
          <w:rFonts w:ascii="Book Antiqua" w:hAnsi="Book Antiqua"/>
          <w:b/>
          <w:bCs/>
          <w:lang w:val="en-GB"/>
        </w:rPr>
      </w:pPr>
    </w:p>
    <w:p w:rsidR="00144E80" w:rsidRPr="00144E80" w:rsidRDefault="0016351F" w:rsidP="0016351F">
      <w:pPr>
        <w:numPr>
          <w:ilvl w:val="0"/>
          <w:numId w:val="1"/>
        </w:numPr>
        <w:ind w:left="720" w:hanging="720"/>
        <w:jc w:val="both"/>
        <w:rPr>
          <w:rFonts w:ascii="Book Antiqua" w:hAnsi="Book Antiqua"/>
          <w:b/>
          <w:bCs/>
          <w:lang w:val="en-GB"/>
        </w:rPr>
      </w:pPr>
      <w:r>
        <w:rPr>
          <w:rFonts w:ascii="Book Antiqua" w:hAnsi="Book Antiqua"/>
          <w:lang w:val="en-GB"/>
        </w:rPr>
        <w:t xml:space="preserve"> </w:t>
      </w:r>
      <w:r>
        <w:rPr>
          <w:rFonts w:ascii="Book Antiqua" w:hAnsi="Book Antiqua"/>
          <w:lang w:val="en-GB"/>
        </w:rPr>
        <w:tab/>
        <w:t xml:space="preserve">The appellant entered the UK </w:t>
      </w:r>
      <w:r w:rsidR="00CD4F57">
        <w:rPr>
          <w:rFonts w:ascii="Book Antiqua" w:hAnsi="Book Antiqua"/>
          <w:lang w:val="en-GB"/>
        </w:rPr>
        <w:t xml:space="preserve">clandestinely </w:t>
      </w:r>
      <w:r>
        <w:rPr>
          <w:rFonts w:ascii="Book Antiqua" w:hAnsi="Book Antiqua"/>
          <w:lang w:val="en-GB"/>
        </w:rPr>
        <w:t>by lorry in August 2006 and claimed asylum</w:t>
      </w:r>
      <w:r w:rsidR="00CD4F57">
        <w:rPr>
          <w:rFonts w:ascii="Book Antiqua" w:hAnsi="Book Antiqua"/>
          <w:lang w:val="en-GB"/>
        </w:rPr>
        <w:t xml:space="preserve"> on the basis that </w:t>
      </w:r>
      <w:r>
        <w:rPr>
          <w:rFonts w:ascii="Book Antiqua" w:hAnsi="Book Antiqua"/>
          <w:lang w:val="en-GB"/>
        </w:rPr>
        <w:t xml:space="preserve">he would be at risk because of his late father’s involvement with the </w:t>
      </w:r>
      <w:proofErr w:type="spellStart"/>
      <w:r>
        <w:rPr>
          <w:rFonts w:ascii="Book Antiqua" w:hAnsi="Book Antiqua"/>
          <w:lang w:val="en-GB"/>
        </w:rPr>
        <w:t>Hizb-i-Islami</w:t>
      </w:r>
      <w:proofErr w:type="spellEnd"/>
      <w:r>
        <w:rPr>
          <w:rFonts w:ascii="Book Antiqua" w:hAnsi="Book Antiqua"/>
          <w:lang w:val="en-GB"/>
        </w:rPr>
        <w:t>. His claim was refused but being a minor, he was granted discretionary leave until 25 October 2009. Thereafter</w:t>
      </w:r>
      <w:r w:rsidR="00CD4F57">
        <w:rPr>
          <w:rFonts w:ascii="Book Antiqua" w:hAnsi="Book Antiqua"/>
          <w:lang w:val="en-GB"/>
        </w:rPr>
        <w:t>,</w:t>
      </w:r>
      <w:r>
        <w:rPr>
          <w:rFonts w:ascii="Book Antiqua" w:hAnsi="Book Antiqua"/>
          <w:lang w:val="en-GB"/>
        </w:rPr>
        <w:t xml:space="preserve"> his application for further leave was refused but following a successful appeal before First-tier Tribunal Judge Malone in September 2010, he was granted </w:t>
      </w:r>
      <w:r w:rsidR="002D3B1D">
        <w:rPr>
          <w:rFonts w:ascii="Book Antiqua" w:hAnsi="Book Antiqua"/>
          <w:lang w:val="en-GB"/>
        </w:rPr>
        <w:t>refugee status</w:t>
      </w:r>
      <w:r>
        <w:rPr>
          <w:rFonts w:ascii="Book Antiqua" w:hAnsi="Book Antiqua"/>
          <w:lang w:val="en-GB"/>
        </w:rPr>
        <w:t xml:space="preserve"> until 13 March 2016. </w:t>
      </w:r>
    </w:p>
    <w:p w:rsidR="00144E80" w:rsidRDefault="00144E80" w:rsidP="00144E80">
      <w:pPr>
        <w:pStyle w:val="ListParagraph"/>
        <w:rPr>
          <w:rFonts w:ascii="Book Antiqua" w:hAnsi="Book Antiqua"/>
          <w:lang w:val="en-GB"/>
        </w:rPr>
      </w:pPr>
    </w:p>
    <w:p w:rsidR="00C169DB" w:rsidRPr="00C169DB" w:rsidRDefault="00144E80" w:rsidP="0016351F">
      <w:pPr>
        <w:numPr>
          <w:ilvl w:val="0"/>
          <w:numId w:val="1"/>
        </w:numPr>
        <w:ind w:left="720" w:hanging="720"/>
        <w:jc w:val="both"/>
        <w:rPr>
          <w:rFonts w:ascii="Book Antiqua" w:hAnsi="Book Antiqua"/>
          <w:b/>
          <w:bCs/>
          <w:lang w:val="en-GB"/>
        </w:rPr>
      </w:pPr>
      <w:r>
        <w:rPr>
          <w:rFonts w:ascii="Book Antiqua" w:hAnsi="Book Antiqua"/>
          <w:lang w:val="en-GB"/>
        </w:rPr>
        <w:t xml:space="preserve"> </w:t>
      </w:r>
      <w:r>
        <w:rPr>
          <w:rFonts w:ascii="Book Antiqua" w:hAnsi="Book Antiqua"/>
          <w:lang w:val="en-GB"/>
        </w:rPr>
        <w:tab/>
        <w:t xml:space="preserve">Meanwhile, on 8 July 2011, </w:t>
      </w:r>
      <w:r w:rsidR="00C169DB">
        <w:rPr>
          <w:rFonts w:ascii="Book Antiqua" w:hAnsi="Book Antiqua"/>
          <w:lang w:val="en-GB"/>
        </w:rPr>
        <w:t>t</w:t>
      </w:r>
      <w:r>
        <w:rPr>
          <w:rFonts w:ascii="Book Antiqua" w:hAnsi="Book Antiqua"/>
          <w:lang w:val="en-GB"/>
        </w:rPr>
        <w:t xml:space="preserve">he </w:t>
      </w:r>
      <w:r w:rsidR="00C169DB">
        <w:rPr>
          <w:rFonts w:ascii="Book Antiqua" w:hAnsi="Book Antiqua"/>
          <w:lang w:val="en-GB"/>
        </w:rPr>
        <w:t xml:space="preserve">appellant </w:t>
      </w:r>
      <w:r>
        <w:rPr>
          <w:rFonts w:ascii="Book Antiqua" w:hAnsi="Book Antiqua"/>
          <w:lang w:val="en-GB"/>
        </w:rPr>
        <w:t xml:space="preserve">was convicted of robbery and sentenced to two years’ imprisonment in a young offenders’ institution. A decision to deport him was not pursued but he was warned on 10 December 2012 that deportation would be considered in the event of further offending. This did not deter him and on 4 September 2013 he was convicted of fraud of which he received a suspended sentence. </w:t>
      </w:r>
    </w:p>
    <w:p w:rsidR="00C169DB" w:rsidRDefault="00C169DB" w:rsidP="00C169DB">
      <w:pPr>
        <w:pStyle w:val="ListParagraph"/>
        <w:rPr>
          <w:rFonts w:ascii="Book Antiqua" w:hAnsi="Book Antiqua"/>
          <w:lang w:val="en-GB"/>
        </w:rPr>
      </w:pPr>
    </w:p>
    <w:p w:rsidR="00C169DB" w:rsidRPr="00C169DB" w:rsidRDefault="00C169DB" w:rsidP="0016351F">
      <w:pPr>
        <w:numPr>
          <w:ilvl w:val="0"/>
          <w:numId w:val="1"/>
        </w:numPr>
        <w:ind w:left="720" w:hanging="720"/>
        <w:jc w:val="both"/>
        <w:rPr>
          <w:rFonts w:ascii="Book Antiqua" w:hAnsi="Book Antiqua"/>
          <w:b/>
          <w:bCs/>
          <w:lang w:val="en-GB"/>
        </w:rPr>
      </w:pPr>
      <w:r>
        <w:rPr>
          <w:rFonts w:ascii="Book Antiqua" w:hAnsi="Book Antiqua"/>
          <w:lang w:val="en-GB"/>
        </w:rPr>
        <w:t xml:space="preserve"> </w:t>
      </w:r>
      <w:r>
        <w:rPr>
          <w:rFonts w:ascii="Book Antiqua" w:hAnsi="Book Antiqua"/>
          <w:lang w:val="en-GB"/>
        </w:rPr>
        <w:tab/>
      </w:r>
      <w:r w:rsidR="00144E80">
        <w:rPr>
          <w:rFonts w:ascii="Book Antiqua" w:hAnsi="Book Antiqua"/>
          <w:lang w:val="en-GB"/>
        </w:rPr>
        <w:t xml:space="preserve">On 30 August 2014 he was convicted </w:t>
      </w:r>
      <w:r w:rsidR="007F73F6">
        <w:rPr>
          <w:rFonts w:ascii="Book Antiqua" w:hAnsi="Book Antiqua"/>
          <w:lang w:val="en-GB"/>
        </w:rPr>
        <w:t xml:space="preserve">of </w:t>
      </w:r>
      <w:r w:rsidR="00144E80">
        <w:rPr>
          <w:rFonts w:ascii="Book Antiqua" w:hAnsi="Book Antiqua"/>
          <w:lang w:val="en-GB"/>
        </w:rPr>
        <w:t xml:space="preserve">drugs offences. </w:t>
      </w:r>
    </w:p>
    <w:p w:rsidR="00C169DB" w:rsidRDefault="00C169DB" w:rsidP="00C169DB">
      <w:pPr>
        <w:pStyle w:val="ListParagraph"/>
        <w:rPr>
          <w:rFonts w:ascii="Book Antiqua" w:hAnsi="Book Antiqua"/>
          <w:lang w:val="en-GB"/>
        </w:rPr>
      </w:pPr>
    </w:p>
    <w:p w:rsidR="00C169DB" w:rsidRPr="00C169DB" w:rsidRDefault="00C169DB" w:rsidP="0016351F">
      <w:pPr>
        <w:numPr>
          <w:ilvl w:val="0"/>
          <w:numId w:val="1"/>
        </w:numPr>
        <w:ind w:left="720" w:hanging="720"/>
        <w:jc w:val="both"/>
        <w:rPr>
          <w:rFonts w:ascii="Book Antiqua" w:hAnsi="Book Antiqua"/>
          <w:b/>
          <w:bCs/>
          <w:lang w:val="en-GB"/>
        </w:rPr>
      </w:pPr>
      <w:r>
        <w:rPr>
          <w:rFonts w:ascii="Book Antiqua" w:hAnsi="Book Antiqua"/>
          <w:lang w:val="en-GB"/>
        </w:rPr>
        <w:t xml:space="preserve"> </w:t>
      </w:r>
      <w:r>
        <w:rPr>
          <w:rFonts w:ascii="Book Antiqua" w:hAnsi="Book Antiqua"/>
          <w:lang w:val="en-GB"/>
        </w:rPr>
        <w:tab/>
      </w:r>
      <w:r w:rsidR="00144E80">
        <w:rPr>
          <w:rFonts w:ascii="Book Antiqua" w:hAnsi="Book Antiqua"/>
          <w:lang w:val="en-GB"/>
        </w:rPr>
        <w:t xml:space="preserve">On 3 December 2014 he was convicted of theft, shoplifting and the commission of an offence during a suspended sentence for which he received a prison sentence. He was once again warned of deportation in December 2014. </w:t>
      </w:r>
    </w:p>
    <w:p w:rsidR="00C169DB" w:rsidRDefault="00C169DB" w:rsidP="00C169DB">
      <w:pPr>
        <w:pStyle w:val="ListParagraph"/>
        <w:rPr>
          <w:rFonts w:ascii="Book Antiqua" w:hAnsi="Book Antiqua"/>
          <w:lang w:val="en-GB"/>
        </w:rPr>
      </w:pPr>
    </w:p>
    <w:p w:rsidR="00C169DB" w:rsidRPr="00C169DB" w:rsidRDefault="00C169DB" w:rsidP="0016351F">
      <w:pPr>
        <w:numPr>
          <w:ilvl w:val="0"/>
          <w:numId w:val="1"/>
        </w:numPr>
        <w:ind w:left="720" w:hanging="720"/>
        <w:jc w:val="both"/>
        <w:rPr>
          <w:rFonts w:ascii="Book Antiqua" w:hAnsi="Book Antiqua"/>
          <w:b/>
          <w:bCs/>
          <w:lang w:val="en-GB"/>
        </w:rPr>
      </w:pPr>
      <w:r>
        <w:rPr>
          <w:rFonts w:ascii="Book Antiqua" w:hAnsi="Book Antiqua"/>
          <w:lang w:val="en-GB"/>
        </w:rPr>
        <w:t xml:space="preserve"> </w:t>
      </w:r>
      <w:r>
        <w:rPr>
          <w:rFonts w:ascii="Book Antiqua" w:hAnsi="Book Antiqua"/>
          <w:lang w:val="en-GB"/>
        </w:rPr>
        <w:tab/>
      </w:r>
      <w:r w:rsidR="00144E80">
        <w:rPr>
          <w:rFonts w:ascii="Book Antiqua" w:hAnsi="Book Antiqua"/>
          <w:lang w:val="en-GB"/>
        </w:rPr>
        <w:t xml:space="preserve">On 1 January 2015, he was once again convicted of theft and fined. </w:t>
      </w:r>
    </w:p>
    <w:p w:rsidR="00C169DB" w:rsidRDefault="00C169DB" w:rsidP="00C169DB">
      <w:pPr>
        <w:pStyle w:val="ListParagraph"/>
        <w:rPr>
          <w:rFonts w:ascii="Book Antiqua" w:hAnsi="Book Antiqua"/>
          <w:lang w:val="en-GB"/>
        </w:rPr>
      </w:pPr>
    </w:p>
    <w:p w:rsidR="00C169DB" w:rsidRPr="00C169DB" w:rsidRDefault="00C169DB" w:rsidP="0016351F">
      <w:pPr>
        <w:numPr>
          <w:ilvl w:val="0"/>
          <w:numId w:val="1"/>
        </w:numPr>
        <w:ind w:left="720" w:hanging="720"/>
        <w:jc w:val="both"/>
        <w:rPr>
          <w:rFonts w:ascii="Book Antiqua" w:hAnsi="Book Antiqua"/>
          <w:b/>
          <w:bCs/>
          <w:lang w:val="en-GB"/>
        </w:rPr>
      </w:pPr>
      <w:r>
        <w:rPr>
          <w:rFonts w:ascii="Book Antiqua" w:hAnsi="Book Antiqua"/>
          <w:lang w:val="en-GB"/>
        </w:rPr>
        <w:t xml:space="preserve"> </w:t>
      </w:r>
      <w:r>
        <w:rPr>
          <w:rFonts w:ascii="Book Antiqua" w:hAnsi="Book Antiqua"/>
          <w:lang w:val="en-GB"/>
        </w:rPr>
        <w:tab/>
      </w:r>
      <w:r w:rsidR="00144E80">
        <w:rPr>
          <w:rFonts w:ascii="Book Antiqua" w:hAnsi="Book Antiqua"/>
          <w:lang w:val="en-GB"/>
        </w:rPr>
        <w:t xml:space="preserve">On 9 October 2015, he was convicted of sexual assault for which he received a nine-month prison sentence. </w:t>
      </w:r>
    </w:p>
    <w:p w:rsidR="00C169DB" w:rsidRDefault="00C169DB" w:rsidP="00C169DB">
      <w:pPr>
        <w:pStyle w:val="ListParagraph"/>
        <w:rPr>
          <w:rFonts w:ascii="Book Antiqua" w:hAnsi="Book Antiqua"/>
          <w:lang w:val="en-GB"/>
        </w:rPr>
      </w:pPr>
    </w:p>
    <w:p w:rsidR="00C169DB" w:rsidRPr="00B623C7" w:rsidRDefault="00C169DB" w:rsidP="0016351F">
      <w:pPr>
        <w:numPr>
          <w:ilvl w:val="0"/>
          <w:numId w:val="1"/>
        </w:numPr>
        <w:ind w:left="720" w:hanging="720"/>
        <w:jc w:val="both"/>
        <w:rPr>
          <w:rFonts w:ascii="Book Antiqua" w:hAnsi="Book Antiqua"/>
          <w:b/>
          <w:bCs/>
          <w:lang w:val="en-GB"/>
        </w:rPr>
      </w:pPr>
      <w:r>
        <w:rPr>
          <w:rFonts w:ascii="Book Antiqua" w:hAnsi="Book Antiqua"/>
          <w:lang w:val="en-GB"/>
        </w:rPr>
        <w:t xml:space="preserve"> </w:t>
      </w:r>
      <w:r>
        <w:rPr>
          <w:rFonts w:ascii="Book Antiqua" w:hAnsi="Book Antiqua"/>
          <w:lang w:val="en-GB"/>
        </w:rPr>
        <w:tab/>
      </w:r>
      <w:r w:rsidR="00B623C7">
        <w:rPr>
          <w:rFonts w:ascii="Book Antiqua" w:hAnsi="Book Antiqua"/>
          <w:lang w:val="en-GB"/>
        </w:rPr>
        <w:t>It was considered that his deportation was conducive to the public good and o</w:t>
      </w:r>
      <w:r w:rsidR="00144E80">
        <w:rPr>
          <w:rFonts w:ascii="Book Antiqua" w:hAnsi="Book Antiqua"/>
          <w:lang w:val="en-GB"/>
        </w:rPr>
        <w:t xml:space="preserve">n 28 October 2015, </w:t>
      </w:r>
      <w:r w:rsidR="00B623C7">
        <w:rPr>
          <w:rFonts w:ascii="Book Antiqua" w:hAnsi="Book Antiqua"/>
          <w:lang w:val="en-GB"/>
        </w:rPr>
        <w:t>he was notified of a decision to deport him under s. 3(5)(a) and 5(1) of the Immigration Act 1971</w:t>
      </w:r>
      <w:r w:rsidR="007F73F6">
        <w:rPr>
          <w:rFonts w:ascii="Book Antiqua" w:hAnsi="Book Antiqua"/>
          <w:lang w:val="en-GB"/>
        </w:rPr>
        <w:t>.</w:t>
      </w:r>
      <w:r w:rsidR="00144E80">
        <w:rPr>
          <w:rFonts w:ascii="Book Antiqua" w:hAnsi="Book Antiqua"/>
          <w:lang w:val="en-GB"/>
        </w:rPr>
        <w:t xml:space="preserve"> </w:t>
      </w:r>
      <w:r w:rsidR="007F73F6">
        <w:rPr>
          <w:rFonts w:ascii="Book Antiqua" w:hAnsi="Book Antiqua"/>
          <w:lang w:val="en-GB"/>
        </w:rPr>
        <w:t xml:space="preserve">He subsequently made asylum and human rights </w:t>
      </w:r>
      <w:r w:rsidR="00B623C7">
        <w:rPr>
          <w:rFonts w:ascii="Book Antiqua" w:hAnsi="Book Antiqua"/>
          <w:lang w:val="en-GB"/>
        </w:rPr>
        <w:t>representations on 29 October 2015</w:t>
      </w:r>
      <w:r w:rsidR="007F73F6">
        <w:rPr>
          <w:rFonts w:ascii="Book Antiqua" w:hAnsi="Book Antiqua"/>
          <w:lang w:val="en-GB"/>
        </w:rPr>
        <w:t>.</w:t>
      </w:r>
    </w:p>
    <w:p w:rsidR="00B623C7" w:rsidRDefault="00B623C7" w:rsidP="00B623C7">
      <w:pPr>
        <w:pStyle w:val="ListParagraph"/>
        <w:rPr>
          <w:rFonts w:ascii="Book Antiqua" w:hAnsi="Book Antiqua"/>
          <w:b/>
          <w:bCs/>
          <w:lang w:val="en-GB"/>
        </w:rPr>
      </w:pPr>
    </w:p>
    <w:p w:rsidR="00B623C7" w:rsidRPr="00B623C7" w:rsidRDefault="00B623C7" w:rsidP="0016351F">
      <w:pPr>
        <w:numPr>
          <w:ilvl w:val="0"/>
          <w:numId w:val="1"/>
        </w:numPr>
        <w:ind w:left="720" w:hanging="720"/>
        <w:jc w:val="both"/>
        <w:rPr>
          <w:rFonts w:ascii="Book Antiqua" w:hAnsi="Book Antiqua"/>
          <w:bCs/>
          <w:lang w:val="en-GB"/>
        </w:rPr>
      </w:pPr>
      <w:r>
        <w:rPr>
          <w:rFonts w:ascii="Book Antiqua" w:hAnsi="Book Antiqua"/>
          <w:b/>
          <w:bCs/>
          <w:lang w:val="en-GB"/>
        </w:rPr>
        <w:t xml:space="preserve"> </w:t>
      </w:r>
      <w:r>
        <w:rPr>
          <w:rFonts w:ascii="Book Antiqua" w:hAnsi="Book Antiqua"/>
          <w:b/>
          <w:bCs/>
          <w:lang w:val="en-GB"/>
        </w:rPr>
        <w:tab/>
      </w:r>
      <w:r w:rsidRPr="00B623C7">
        <w:rPr>
          <w:rFonts w:ascii="Book Antiqua" w:hAnsi="Book Antiqua"/>
          <w:bCs/>
          <w:lang w:val="en-GB"/>
        </w:rPr>
        <w:t>On 8 April 2016 the respondent gave notification to the appellant of intention to cease refugee status under paragraph 339A</w:t>
      </w:r>
      <w:r>
        <w:rPr>
          <w:rFonts w:ascii="Book Antiqua" w:hAnsi="Book Antiqua"/>
          <w:bCs/>
          <w:lang w:val="en-GB"/>
        </w:rPr>
        <w:t xml:space="preserve">(v). although the respondent took account of the appellant’s criminality which triggered the deportation, it was clarified in the letter that no weight was apportioned to his convictions whether cessation was considered. </w:t>
      </w:r>
    </w:p>
    <w:p w:rsidR="00C169DB" w:rsidRDefault="00C169DB" w:rsidP="00C169DB">
      <w:pPr>
        <w:pStyle w:val="ListParagraph"/>
        <w:rPr>
          <w:rFonts w:ascii="Book Antiqua" w:hAnsi="Book Antiqua"/>
          <w:lang w:val="en-GB"/>
        </w:rPr>
      </w:pPr>
    </w:p>
    <w:p w:rsidR="00C169DB" w:rsidRPr="00C169DB" w:rsidRDefault="00C169DB" w:rsidP="0016351F">
      <w:pPr>
        <w:numPr>
          <w:ilvl w:val="0"/>
          <w:numId w:val="1"/>
        </w:numPr>
        <w:ind w:left="720" w:hanging="720"/>
        <w:jc w:val="both"/>
        <w:rPr>
          <w:rFonts w:ascii="Book Antiqua" w:hAnsi="Book Antiqua"/>
          <w:b/>
          <w:bCs/>
          <w:lang w:val="en-GB"/>
        </w:rPr>
      </w:pPr>
      <w:r>
        <w:rPr>
          <w:rFonts w:ascii="Book Antiqua" w:hAnsi="Book Antiqua"/>
          <w:lang w:val="en-GB"/>
        </w:rPr>
        <w:t xml:space="preserve"> </w:t>
      </w:r>
      <w:r>
        <w:rPr>
          <w:rFonts w:ascii="Book Antiqua" w:hAnsi="Book Antiqua"/>
          <w:lang w:val="en-GB"/>
        </w:rPr>
        <w:tab/>
        <w:t xml:space="preserve">On 12 May 2016 the respondent wrote to the UNHCR to advise of the intention to cease the appellant’s refugee status. </w:t>
      </w:r>
    </w:p>
    <w:p w:rsidR="00C169DB" w:rsidRDefault="00C169DB" w:rsidP="00C169DB">
      <w:pPr>
        <w:pStyle w:val="ListParagraph"/>
        <w:rPr>
          <w:rFonts w:ascii="Book Antiqua" w:hAnsi="Book Antiqua"/>
          <w:lang w:val="en-GB"/>
        </w:rPr>
      </w:pPr>
    </w:p>
    <w:p w:rsidR="00C169DB" w:rsidRPr="00C169DB" w:rsidRDefault="00C169DB" w:rsidP="0016351F">
      <w:pPr>
        <w:numPr>
          <w:ilvl w:val="0"/>
          <w:numId w:val="1"/>
        </w:numPr>
        <w:ind w:left="720" w:hanging="720"/>
        <w:jc w:val="both"/>
        <w:rPr>
          <w:rFonts w:ascii="Book Antiqua" w:hAnsi="Book Antiqua"/>
          <w:b/>
          <w:bCs/>
          <w:lang w:val="en-GB"/>
        </w:rPr>
      </w:pPr>
      <w:r>
        <w:rPr>
          <w:rFonts w:ascii="Book Antiqua" w:hAnsi="Book Antiqua"/>
          <w:lang w:val="en-GB"/>
        </w:rPr>
        <w:t xml:space="preserve"> </w:t>
      </w:r>
      <w:r>
        <w:rPr>
          <w:rFonts w:ascii="Book Antiqua" w:hAnsi="Book Antiqua"/>
          <w:lang w:val="en-GB"/>
        </w:rPr>
        <w:tab/>
      </w:r>
      <w:r w:rsidR="00144E80">
        <w:rPr>
          <w:rFonts w:ascii="Book Antiqua" w:hAnsi="Book Antiqua"/>
          <w:lang w:val="en-GB"/>
        </w:rPr>
        <w:t xml:space="preserve">On 24 May 2016, </w:t>
      </w:r>
      <w:r>
        <w:rPr>
          <w:rFonts w:ascii="Book Antiqua" w:hAnsi="Book Antiqua"/>
          <w:lang w:val="en-GB"/>
        </w:rPr>
        <w:t>t</w:t>
      </w:r>
      <w:r w:rsidR="00144E80">
        <w:rPr>
          <w:rFonts w:ascii="Book Antiqua" w:hAnsi="Book Antiqua"/>
          <w:lang w:val="en-GB"/>
        </w:rPr>
        <w:t xml:space="preserve">he </w:t>
      </w:r>
      <w:r>
        <w:rPr>
          <w:rFonts w:ascii="Book Antiqua" w:hAnsi="Book Antiqua"/>
          <w:lang w:val="en-GB"/>
        </w:rPr>
        <w:t xml:space="preserve">appellant </w:t>
      </w:r>
      <w:r w:rsidR="00144E80">
        <w:rPr>
          <w:rFonts w:ascii="Book Antiqua" w:hAnsi="Book Antiqua"/>
          <w:lang w:val="en-GB"/>
        </w:rPr>
        <w:t xml:space="preserve">was convicted for failing to comply with notification requirements, on 15 August 2016 of burglary, on 28 November 2016 of drugs offences and a failure to surrender to custody at a particular time and on 21 December 2016 of theft for which he was imprisoned. </w:t>
      </w:r>
    </w:p>
    <w:p w:rsidR="00C169DB" w:rsidRDefault="00C169DB" w:rsidP="00C169DB">
      <w:pPr>
        <w:pStyle w:val="ListParagraph"/>
        <w:rPr>
          <w:rFonts w:ascii="Book Antiqua" w:hAnsi="Book Antiqua"/>
          <w:lang w:val="en-GB"/>
        </w:rPr>
      </w:pPr>
    </w:p>
    <w:p w:rsidR="00C169DB" w:rsidRPr="00C169DB" w:rsidRDefault="00C169DB" w:rsidP="0016351F">
      <w:pPr>
        <w:numPr>
          <w:ilvl w:val="0"/>
          <w:numId w:val="1"/>
        </w:numPr>
        <w:ind w:left="720" w:hanging="720"/>
        <w:jc w:val="both"/>
        <w:rPr>
          <w:rFonts w:ascii="Book Antiqua" w:hAnsi="Book Antiqua"/>
          <w:b/>
          <w:bCs/>
          <w:lang w:val="en-GB"/>
        </w:rPr>
      </w:pPr>
      <w:r>
        <w:rPr>
          <w:rFonts w:ascii="Book Antiqua" w:hAnsi="Book Antiqua"/>
          <w:lang w:val="en-GB"/>
        </w:rPr>
        <w:t xml:space="preserve"> </w:t>
      </w:r>
      <w:r>
        <w:rPr>
          <w:rFonts w:ascii="Book Antiqua" w:hAnsi="Book Antiqua"/>
          <w:lang w:val="en-GB"/>
        </w:rPr>
        <w:tab/>
      </w:r>
      <w:r w:rsidR="00144E80">
        <w:rPr>
          <w:rFonts w:ascii="Book Antiqua" w:hAnsi="Book Antiqua"/>
          <w:lang w:val="en-GB"/>
        </w:rPr>
        <w:t xml:space="preserve">On 13 April 2017, he was convicted of two counts of burglary and theft and received a nine-month sentence and two further offences of theft and burglary for which he received eleven and twelve-month sentences. </w:t>
      </w:r>
    </w:p>
    <w:p w:rsidR="00C169DB" w:rsidRDefault="00C169DB" w:rsidP="00C169DB">
      <w:pPr>
        <w:pStyle w:val="ListParagraph"/>
        <w:rPr>
          <w:rFonts w:ascii="Book Antiqua" w:hAnsi="Book Antiqua"/>
          <w:lang w:val="en-GB"/>
        </w:rPr>
      </w:pPr>
    </w:p>
    <w:p w:rsidR="00D85E5B" w:rsidRPr="00D85E5B" w:rsidRDefault="00C169DB" w:rsidP="0016351F">
      <w:pPr>
        <w:numPr>
          <w:ilvl w:val="0"/>
          <w:numId w:val="1"/>
        </w:numPr>
        <w:ind w:left="720" w:hanging="720"/>
        <w:jc w:val="both"/>
        <w:rPr>
          <w:rFonts w:ascii="Book Antiqua" w:hAnsi="Book Antiqua"/>
          <w:b/>
          <w:bCs/>
          <w:lang w:val="en-GB"/>
        </w:rPr>
      </w:pPr>
      <w:r>
        <w:rPr>
          <w:rFonts w:ascii="Book Antiqua" w:hAnsi="Book Antiqua"/>
          <w:lang w:val="en-GB"/>
        </w:rPr>
        <w:t xml:space="preserve"> </w:t>
      </w:r>
      <w:r>
        <w:rPr>
          <w:rFonts w:ascii="Book Antiqua" w:hAnsi="Book Antiqua"/>
          <w:lang w:val="en-GB"/>
        </w:rPr>
        <w:tab/>
      </w:r>
      <w:r w:rsidR="00144E80">
        <w:rPr>
          <w:rFonts w:ascii="Book Antiqua" w:hAnsi="Book Antiqua"/>
          <w:lang w:val="en-GB"/>
        </w:rPr>
        <w:t xml:space="preserve">On 18 May 2017, an application for indefinite leave to remain was made which was refused on 31 August 2017. </w:t>
      </w:r>
    </w:p>
    <w:p w:rsidR="00D85E5B" w:rsidRDefault="00D85E5B" w:rsidP="00D85E5B">
      <w:pPr>
        <w:pStyle w:val="ListParagraph"/>
        <w:rPr>
          <w:rFonts w:ascii="Book Antiqua" w:hAnsi="Book Antiqua"/>
          <w:lang w:val="en-GB"/>
        </w:rPr>
      </w:pPr>
    </w:p>
    <w:p w:rsidR="00D85E5B" w:rsidRPr="00D85E5B" w:rsidRDefault="00D85E5B" w:rsidP="0016351F">
      <w:pPr>
        <w:numPr>
          <w:ilvl w:val="0"/>
          <w:numId w:val="1"/>
        </w:numPr>
        <w:ind w:left="720" w:hanging="720"/>
        <w:jc w:val="both"/>
        <w:rPr>
          <w:rFonts w:ascii="Book Antiqua" w:hAnsi="Book Antiqua"/>
          <w:b/>
          <w:bCs/>
          <w:lang w:val="en-GB"/>
        </w:rPr>
      </w:pPr>
      <w:r>
        <w:rPr>
          <w:rFonts w:ascii="Book Antiqua" w:hAnsi="Book Antiqua"/>
          <w:lang w:val="en-GB"/>
        </w:rPr>
        <w:t xml:space="preserve"> </w:t>
      </w:r>
      <w:r>
        <w:rPr>
          <w:rFonts w:ascii="Book Antiqua" w:hAnsi="Book Antiqua"/>
          <w:lang w:val="en-GB"/>
        </w:rPr>
        <w:tab/>
        <w:t>On 11 October 2017, the appellant’s sentence came to an end and he was placed in immigration detention. He was released thereafter.</w:t>
      </w:r>
    </w:p>
    <w:p w:rsidR="00D85E5B" w:rsidRDefault="00D85E5B" w:rsidP="00D85E5B">
      <w:pPr>
        <w:pStyle w:val="ListParagraph"/>
        <w:rPr>
          <w:rFonts w:ascii="Book Antiqua" w:hAnsi="Book Antiqua"/>
          <w:lang w:val="en-GB"/>
        </w:rPr>
      </w:pPr>
    </w:p>
    <w:p w:rsidR="0016351F" w:rsidRPr="00247C5F" w:rsidRDefault="00D85E5B" w:rsidP="0016351F">
      <w:pPr>
        <w:numPr>
          <w:ilvl w:val="0"/>
          <w:numId w:val="1"/>
        </w:numPr>
        <w:ind w:left="720" w:hanging="720"/>
        <w:jc w:val="both"/>
        <w:rPr>
          <w:rFonts w:ascii="Book Antiqua" w:hAnsi="Book Antiqua"/>
          <w:b/>
          <w:bCs/>
          <w:lang w:val="en-GB"/>
        </w:rPr>
      </w:pPr>
      <w:r>
        <w:rPr>
          <w:rFonts w:ascii="Book Antiqua" w:hAnsi="Book Antiqua"/>
          <w:lang w:val="en-GB"/>
        </w:rPr>
        <w:t xml:space="preserve"> </w:t>
      </w:r>
      <w:r>
        <w:rPr>
          <w:rFonts w:ascii="Book Antiqua" w:hAnsi="Book Antiqua"/>
          <w:lang w:val="en-GB"/>
        </w:rPr>
        <w:tab/>
        <w:t xml:space="preserve">On 16 October 2017, the appellant was served with a cessation of refugee status and a decision to refuse a human rights claim. </w:t>
      </w:r>
    </w:p>
    <w:p w:rsidR="0016351F" w:rsidRDefault="0016351F" w:rsidP="0016351F">
      <w:pPr>
        <w:pStyle w:val="ListParagraph"/>
        <w:rPr>
          <w:rFonts w:ascii="Book Antiqua" w:hAnsi="Book Antiqua"/>
          <w:lang w:val="en-GB"/>
        </w:rPr>
      </w:pPr>
    </w:p>
    <w:p w:rsidR="00144E80" w:rsidRPr="00144E80" w:rsidRDefault="0016351F" w:rsidP="0016351F">
      <w:pPr>
        <w:numPr>
          <w:ilvl w:val="0"/>
          <w:numId w:val="1"/>
        </w:numPr>
        <w:ind w:left="720" w:hanging="720"/>
        <w:jc w:val="both"/>
        <w:rPr>
          <w:rFonts w:ascii="Book Antiqua" w:hAnsi="Book Antiqua"/>
          <w:b/>
          <w:bCs/>
          <w:lang w:val="en-GB"/>
        </w:rPr>
      </w:pPr>
      <w:r>
        <w:rPr>
          <w:rFonts w:ascii="Book Antiqua" w:hAnsi="Book Antiqua"/>
          <w:lang w:val="en-GB"/>
        </w:rPr>
        <w:t xml:space="preserve"> </w:t>
      </w:r>
      <w:r>
        <w:rPr>
          <w:rFonts w:ascii="Book Antiqua" w:hAnsi="Book Antiqua"/>
          <w:lang w:val="en-GB"/>
        </w:rPr>
        <w:tab/>
      </w:r>
      <w:r w:rsidR="00144E80" w:rsidRPr="00A034FD">
        <w:rPr>
          <w:rFonts w:ascii="Book Antiqua" w:hAnsi="Book Antiqua"/>
          <w:lang w:val="en-GB"/>
        </w:rPr>
        <w:t xml:space="preserve">The respondent’s case </w:t>
      </w:r>
      <w:r w:rsidR="002D3B1D">
        <w:rPr>
          <w:rFonts w:ascii="Book Antiqua" w:hAnsi="Book Antiqua"/>
          <w:lang w:val="en-GB"/>
        </w:rPr>
        <w:t>wa</w:t>
      </w:r>
      <w:r w:rsidR="00144E80" w:rsidRPr="00A034FD">
        <w:rPr>
          <w:rFonts w:ascii="Book Antiqua" w:hAnsi="Book Antiqua"/>
          <w:lang w:val="en-GB"/>
        </w:rPr>
        <w:t xml:space="preserve">s that the </w:t>
      </w:r>
      <w:r w:rsidR="00144E80">
        <w:rPr>
          <w:rFonts w:ascii="Book Antiqua" w:hAnsi="Book Antiqua"/>
          <w:lang w:val="en-GB"/>
        </w:rPr>
        <w:t xml:space="preserve">situation in Afghanistan had changed significantly since the grant of status to the appellant and that he would no longer be at risk on return because of his late father’s political activities. </w:t>
      </w:r>
      <w:r w:rsidR="00CD4F57">
        <w:rPr>
          <w:rFonts w:ascii="Book Antiqua" w:hAnsi="Book Antiqua"/>
          <w:lang w:val="en-GB"/>
        </w:rPr>
        <w:t>First-tier Tribunal Judge Lal heard his appeal</w:t>
      </w:r>
      <w:r w:rsidR="00144E80">
        <w:rPr>
          <w:rFonts w:ascii="Book Antiqua" w:hAnsi="Book Antiqua"/>
          <w:lang w:val="en-GB"/>
        </w:rPr>
        <w:t xml:space="preserve">. He took the decision of Judge Malone in 2010 as his starting point and found that </w:t>
      </w:r>
      <w:r w:rsidR="002D3B1D">
        <w:rPr>
          <w:rFonts w:ascii="Book Antiqua" w:hAnsi="Book Antiqua"/>
          <w:lang w:val="en-GB"/>
        </w:rPr>
        <w:t>as t</w:t>
      </w:r>
      <w:r w:rsidR="00144E80">
        <w:rPr>
          <w:rFonts w:ascii="Book Antiqua" w:hAnsi="Book Antiqua"/>
          <w:lang w:val="en-GB"/>
        </w:rPr>
        <w:t xml:space="preserve">he </w:t>
      </w:r>
      <w:r w:rsidR="002D3B1D">
        <w:rPr>
          <w:rFonts w:ascii="Book Antiqua" w:hAnsi="Book Antiqua"/>
          <w:lang w:val="en-GB"/>
        </w:rPr>
        <w:t xml:space="preserve">appellant </w:t>
      </w:r>
      <w:r w:rsidR="00144E80">
        <w:rPr>
          <w:rFonts w:ascii="Book Antiqua" w:hAnsi="Book Antiqua"/>
          <w:lang w:val="en-GB"/>
        </w:rPr>
        <w:t>feared return</w:t>
      </w:r>
      <w:r w:rsidR="002D3B1D">
        <w:rPr>
          <w:rFonts w:ascii="Book Antiqua" w:hAnsi="Book Antiqua"/>
          <w:lang w:val="en-GB"/>
        </w:rPr>
        <w:t>ing</w:t>
      </w:r>
      <w:r w:rsidR="00144E80">
        <w:rPr>
          <w:rFonts w:ascii="Book Antiqua" w:hAnsi="Book Antiqua"/>
          <w:lang w:val="en-GB"/>
        </w:rPr>
        <w:t xml:space="preserve"> to Kabul</w:t>
      </w:r>
      <w:r w:rsidR="002D3B1D">
        <w:rPr>
          <w:rFonts w:ascii="Book Antiqua" w:hAnsi="Book Antiqua"/>
          <w:lang w:val="en-GB"/>
        </w:rPr>
        <w:t xml:space="preserve"> and</w:t>
      </w:r>
      <w:r w:rsidR="00144E80">
        <w:rPr>
          <w:rFonts w:ascii="Book Antiqua" w:hAnsi="Book Antiqua"/>
          <w:lang w:val="en-GB"/>
        </w:rPr>
        <w:t xml:space="preserve"> feared the authorities</w:t>
      </w:r>
      <w:r w:rsidR="002D3B1D">
        <w:rPr>
          <w:rFonts w:ascii="Book Antiqua" w:hAnsi="Book Antiqua"/>
          <w:lang w:val="en-GB"/>
        </w:rPr>
        <w:t>,</w:t>
      </w:r>
      <w:r w:rsidR="00144E80">
        <w:rPr>
          <w:rFonts w:ascii="Book Antiqua" w:hAnsi="Book Antiqua"/>
          <w:lang w:val="en-GB"/>
        </w:rPr>
        <w:t xml:space="preserve"> the judgment of </w:t>
      </w:r>
      <w:r w:rsidR="00144E80" w:rsidRPr="00994883">
        <w:rPr>
          <w:rFonts w:ascii="Book Antiqua" w:hAnsi="Book Antiqua"/>
          <w:u w:val="single"/>
          <w:lang w:val="en-GB"/>
        </w:rPr>
        <w:t>AK</w:t>
      </w:r>
      <w:r w:rsidR="00144E80">
        <w:rPr>
          <w:rFonts w:ascii="Book Antiqua" w:hAnsi="Book Antiqua"/>
          <w:lang w:val="en-GB"/>
        </w:rPr>
        <w:t xml:space="preserve"> (Article 15(c)) Afghanistan CG UKUT (IAC) did not undermine Judge Malone’s findings. He concluded that any argument on a change in the situation was unsustainable because it was the government that the appellant feared. He, therefore, allowed the appeal </w:t>
      </w:r>
      <w:r w:rsidR="00CD4F57">
        <w:rPr>
          <w:rFonts w:ascii="Book Antiqua" w:hAnsi="Book Antiqua"/>
          <w:lang w:val="en-GB"/>
        </w:rPr>
        <w:t>on article 3/asylum/humanitarian protection grounds on 1 December 2017.</w:t>
      </w:r>
      <w:r w:rsidR="00144E80">
        <w:rPr>
          <w:rFonts w:ascii="Book Antiqua" w:hAnsi="Book Antiqua"/>
          <w:lang w:val="en-GB"/>
        </w:rPr>
        <w:t xml:space="preserve"> The judge also considered article 8 but found that in the context of the appellant’s criminal offending and the risk of re-offending, removal was proportionate on article 8 grounds. </w:t>
      </w:r>
    </w:p>
    <w:p w:rsidR="00144E80" w:rsidRPr="00144E80" w:rsidRDefault="00144E80" w:rsidP="00144E80">
      <w:pPr>
        <w:ind w:left="720"/>
        <w:jc w:val="both"/>
        <w:rPr>
          <w:rFonts w:ascii="Book Antiqua" w:hAnsi="Book Antiqua"/>
          <w:b/>
          <w:bCs/>
          <w:lang w:val="en-GB"/>
        </w:rPr>
      </w:pPr>
    </w:p>
    <w:p w:rsidR="0016351F" w:rsidRPr="00247C5F" w:rsidRDefault="00144E80" w:rsidP="0016351F">
      <w:pPr>
        <w:numPr>
          <w:ilvl w:val="0"/>
          <w:numId w:val="1"/>
        </w:numPr>
        <w:ind w:left="720" w:hanging="720"/>
        <w:jc w:val="both"/>
        <w:rPr>
          <w:rFonts w:ascii="Book Antiqua" w:hAnsi="Book Antiqua"/>
          <w:b/>
          <w:bCs/>
          <w:lang w:val="en-GB"/>
        </w:rPr>
      </w:pPr>
      <w:r>
        <w:rPr>
          <w:rFonts w:ascii="Book Antiqua" w:hAnsi="Book Antiqua"/>
          <w:lang w:val="en-GB"/>
        </w:rPr>
        <w:t xml:space="preserve"> </w:t>
      </w:r>
      <w:r>
        <w:rPr>
          <w:rFonts w:ascii="Book Antiqua" w:hAnsi="Book Antiqua"/>
          <w:lang w:val="en-GB"/>
        </w:rPr>
        <w:tab/>
      </w:r>
      <w:r w:rsidR="00CD4F57">
        <w:rPr>
          <w:rFonts w:ascii="Book Antiqua" w:hAnsi="Book Antiqua"/>
          <w:lang w:val="en-GB"/>
        </w:rPr>
        <w:t xml:space="preserve">On 9 February 2018, the Secretary of State was granted permission by Upper Tribunal Judge Pitt and the matter came before me on 9 April 2018. After hearing submissions from the parties, I set aside the </w:t>
      </w:r>
      <w:r w:rsidR="002D3B1D">
        <w:rPr>
          <w:rFonts w:ascii="Book Antiqua" w:hAnsi="Book Antiqua"/>
          <w:lang w:val="en-GB"/>
        </w:rPr>
        <w:t xml:space="preserve">decision </w:t>
      </w:r>
      <w:r w:rsidR="00CD4F57">
        <w:rPr>
          <w:rFonts w:ascii="Book Antiqua" w:hAnsi="Book Antiqua"/>
          <w:lang w:val="en-GB"/>
        </w:rPr>
        <w:t xml:space="preserve">in so far as it related to </w:t>
      </w:r>
      <w:r w:rsidR="002D3B1D">
        <w:rPr>
          <w:rFonts w:ascii="Book Antiqua" w:hAnsi="Book Antiqua"/>
          <w:lang w:val="en-GB"/>
        </w:rPr>
        <w:t xml:space="preserve">the cessation of refugee status on </w:t>
      </w:r>
      <w:r w:rsidR="00CD4F57">
        <w:rPr>
          <w:rFonts w:ascii="Book Antiqua" w:hAnsi="Book Antiqua"/>
          <w:lang w:val="en-GB"/>
        </w:rPr>
        <w:t>article 3, asylum and humanitarian protection</w:t>
      </w:r>
      <w:r w:rsidR="002D3B1D">
        <w:rPr>
          <w:rFonts w:ascii="Book Antiqua" w:hAnsi="Book Antiqua"/>
          <w:lang w:val="en-GB"/>
        </w:rPr>
        <w:t xml:space="preserve"> grounds</w:t>
      </w:r>
      <w:r w:rsidR="00CD4F57">
        <w:rPr>
          <w:rFonts w:ascii="Book Antiqua" w:hAnsi="Book Antiqua"/>
          <w:lang w:val="en-GB"/>
        </w:rPr>
        <w:t>. The article 8 findings were preserved as they were unchallenged by either side. Full reasons are set out in my determination of 19 April 2018.</w:t>
      </w:r>
      <w:r w:rsidR="007F73F6">
        <w:rPr>
          <w:rFonts w:ascii="Book Antiqua" w:hAnsi="Book Antiqua"/>
          <w:lang w:val="en-GB"/>
        </w:rPr>
        <w:t xml:space="preserve"> In summary, I found that the judge had failed to consider whether the country evidence showed a durable change to the situation in Kabul.  He had assumed that because the appellant feared the government which remained in power his fear was still valid but failed </w:t>
      </w:r>
      <w:r w:rsidR="007F73F6">
        <w:rPr>
          <w:rFonts w:ascii="Book Antiqua" w:hAnsi="Book Antiqua"/>
          <w:lang w:val="en-GB"/>
        </w:rPr>
        <w:lastRenderedPageBreak/>
        <w:t xml:space="preserve">to appreciate that there had been an apparent change in the attitude of the government towards certain political groups including the </w:t>
      </w:r>
      <w:proofErr w:type="spellStart"/>
      <w:r w:rsidR="007F73F6">
        <w:rPr>
          <w:rFonts w:ascii="Book Antiqua" w:hAnsi="Book Antiqua"/>
          <w:lang w:val="en-GB"/>
        </w:rPr>
        <w:t>Hizb-i-Islami</w:t>
      </w:r>
      <w:proofErr w:type="spellEnd"/>
      <w:r w:rsidR="007F73F6">
        <w:rPr>
          <w:rFonts w:ascii="Book Antiqua" w:hAnsi="Book Antiqua"/>
          <w:lang w:val="en-GB"/>
        </w:rPr>
        <w:t>. For that reason, his conclusions were unsustainable.</w:t>
      </w:r>
    </w:p>
    <w:p w:rsidR="0016351F" w:rsidRDefault="0016351F" w:rsidP="0016351F">
      <w:pPr>
        <w:pStyle w:val="ListParagraph"/>
        <w:rPr>
          <w:rFonts w:ascii="Book Antiqua" w:hAnsi="Book Antiqua"/>
          <w:lang w:val="en-GB"/>
        </w:rPr>
      </w:pPr>
    </w:p>
    <w:p w:rsidR="0016351F" w:rsidRDefault="0016351F" w:rsidP="0016351F">
      <w:pPr>
        <w:numPr>
          <w:ilvl w:val="0"/>
          <w:numId w:val="1"/>
        </w:numPr>
        <w:ind w:left="720" w:hanging="720"/>
        <w:jc w:val="both"/>
        <w:rPr>
          <w:rFonts w:ascii="Book Antiqua" w:hAnsi="Book Antiqua"/>
          <w:b/>
          <w:lang w:val="en-GB"/>
        </w:rPr>
      </w:pPr>
      <w:r w:rsidRPr="007F73F6">
        <w:rPr>
          <w:rFonts w:ascii="Book Antiqua" w:hAnsi="Book Antiqua"/>
          <w:lang w:val="en-GB"/>
        </w:rPr>
        <w:t xml:space="preserve"> </w:t>
      </w:r>
      <w:r w:rsidRPr="007F73F6">
        <w:rPr>
          <w:rFonts w:ascii="Book Antiqua" w:hAnsi="Book Antiqua"/>
          <w:lang w:val="en-GB"/>
        </w:rPr>
        <w:tab/>
      </w:r>
      <w:r w:rsidRPr="007F73F6">
        <w:rPr>
          <w:rFonts w:ascii="Book Antiqua" w:hAnsi="Book Antiqua"/>
          <w:b/>
          <w:lang w:val="en-GB"/>
        </w:rPr>
        <w:t xml:space="preserve">The hearing </w:t>
      </w:r>
    </w:p>
    <w:p w:rsidR="00566683" w:rsidRDefault="00566683" w:rsidP="00566683">
      <w:pPr>
        <w:pStyle w:val="ListParagraph"/>
        <w:rPr>
          <w:rFonts w:ascii="Book Antiqua" w:hAnsi="Book Antiqua"/>
          <w:b/>
          <w:lang w:val="en-GB"/>
        </w:rPr>
      </w:pPr>
    </w:p>
    <w:p w:rsidR="00566683" w:rsidRDefault="00566683" w:rsidP="0016351F">
      <w:pPr>
        <w:numPr>
          <w:ilvl w:val="0"/>
          <w:numId w:val="1"/>
        </w:numPr>
        <w:ind w:left="720" w:hanging="720"/>
        <w:jc w:val="both"/>
        <w:rPr>
          <w:rFonts w:ascii="Book Antiqua" w:hAnsi="Book Antiqua"/>
          <w:lang w:val="en-GB"/>
        </w:rPr>
      </w:pPr>
      <w:r>
        <w:rPr>
          <w:rFonts w:ascii="Book Antiqua" w:hAnsi="Book Antiqua"/>
          <w:b/>
          <w:lang w:val="en-GB"/>
        </w:rPr>
        <w:t xml:space="preserve">  </w:t>
      </w:r>
      <w:r>
        <w:rPr>
          <w:rFonts w:ascii="Book Antiqua" w:hAnsi="Book Antiqua"/>
          <w:b/>
          <w:lang w:val="en-GB"/>
        </w:rPr>
        <w:tab/>
      </w:r>
      <w:r w:rsidRPr="00566683">
        <w:rPr>
          <w:rFonts w:ascii="Book Antiqua" w:hAnsi="Book Antiqua"/>
          <w:lang w:val="en-GB"/>
        </w:rPr>
        <w:t>The appellant</w:t>
      </w:r>
      <w:r>
        <w:rPr>
          <w:rFonts w:ascii="Book Antiqua" w:hAnsi="Book Antiqua"/>
          <w:lang w:val="en-GB"/>
        </w:rPr>
        <w:t xml:space="preserve"> attended the hearing but did not give oral evidence. The matter proceeded on submissions only after both parties adduced further documentary evidence and Mr </w:t>
      </w:r>
      <w:proofErr w:type="spellStart"/>
      <w:r>
        <w:rPr>
          <w:rFonts w:ascii="Book Antiqua" w:hAnsi="Book Antiqua"/>
          <w:lang w:val="en-GB"/>
        </w:rPr>
        <w:t>Fripp</w:t>
      </w:r>
      <w:proofErr w:type="spellEnd"/>
      <w:r>
        <w:rPr>
          <w:rFonts w:ascii="Book Antiqua" w:hAnsi="Book Antiqua"/>
          <w:lang w:val="en-GB"/>
        </w:rPr>
        <w:t xml:space="preserve"> was given time to peruse the material. </w:t>
      </w:r>
    </w:p>
    <w:p w:rsidR="00566683" w:rsidRDefault="00566683" w:rsidP="00566683">
      <w:pPr>
        <w:pStyle w:val="ListParagraph"/>
        <w:rPr>
          <w:rFonts w:ascii="Book Antiqua" w:hAnsi="Book Antiqua"/>
          <w:lang w:val="en-GB"/>
        </w:rPr>
      </w:pPr>
    </w:p>
    <w:p w:rsidR="00566683" w:rsidRDefault="00566683" w:rsidP="0016351F">
      <w:pPr>
        <w:numPr>
          <w:ilvl w:val="0"/>
          <w:numId w:val="1"/>
        </w:numPr>
        <w:ind w:left="720" w:hanging="720"/>
        <w:jc w:val="both"/>
        <w:rPr>
          <w:rFonts w:ascii="Book Antiqua" w:hAnsi="Book Antiqua"/>
          <w:lang w:val="en-GB"/>
        </w:rPr>
      </w:pPr>
      <w:r>
        <w:rPr>
          <w:rFonts w:ascii="Book Antiqua" w:hAnsi="Book Antiqua"/>
          <w:lang w:val="en-GB"/>
        </w:rPr>
        <w:t xml:space="preserve"> </w:t>
      </w:r>
      <w:r>
        <w:rPr>
          <w:rFonts w:ascii="Book Antiqua" w:hAnsi="Book Antiqua"/>
          <w:lang w:val="en-GB"/>
        </w:rPr>
        <w:tab/>
        <w:t xml:space="preserve">Mr </w:t>
      </w:r>
      <w:proofErr w:type="spellStart"/>
      <w:r>
        <w:rPr>
          <w:rFonts w:ascii="Book Antiqua" w:hAnsi="Book Antiqua"/>
          <w:lang w:val="en-GB"/>
        </w:rPr>
        <w:t>Fripp</w:t>
      </w:r>
      <w:proofErr w:type="spellEnd"/>
      <w:r w:rsidRPr="00566683">
        <w:rPr>
          <w:rFonts w:ascii="Book Antiqua" w:hAnsi="Book Antiqua"/>
          <w:lang w:val="en-GB"/>
        </w:rPr>
        <w:t xml:space="preserve"> </w:t>
      </w:r>
      <w:r w:rsidR="00982EF6">
        <w:rPr>
          <w:rFonts w:ascii="Book Antiqua" w:hAnsi="Book Antiqua"/>
          <w:lang w:val="en-GB"/>
        </w:rPr>
        <w:t xml:space="preserve">submitted that the appellant had succeeded in his appeal before Judge Malone I September 2010. His account was accepted and his findings represented a </w:t>
      </w:r>
      <w:proofErr w:type="spellStart"/>
      <w:r w:rsidR="00982EF6">
        <w:rPr>
          <w:rFonts w:ascii="Book Antiqua" w:hAnsi="Book Antiqua"/>
          <w:lang w:val="en-GB"/>
        </w:rPr>
        <w:t>Deevaseelan</w:t>
      </w:r>
      <w:proofErr w:type="spellEnd"/>
      <w:r w:rsidR="00982EF6">
        <w:rPr>
          <w:rFonts w:ascii="Book Antiqua" w:hAnsi="Book Antiqua"/>
          <w:lang w:val="en-GB"/>
        </w:rPr>
        <w:t xml:space="preserve"> starting point. The respondent now relied upon a proposed agreement between the Afghan government and </w:t>
      </w:r>
      <w:proofErr w:type="spellStart"/>
      <w:r w:rsidR="00982EF6">
        <w:rPr>
          <w:rFonts w:ascii="Book Antiqua" w:hAnsi="Book Antiqua"/>
          <w:lang w:val="en-GB"/>
        </w:rPr>
        <w:t>Gulbu</w:t>
      </w:r>
      <w:r w:rsidR="00601897">
        <w:rPr>
          <w:rFonts w:ascii="Book Antiqua" w:hAnsi="Book Antiqua"/>
          <w:lang w:val="en-GB"/>
        </w:rPr>
        <w:t>d</w:t>
      </w:r>
      <w:r w:rsidR="00982EF6">
        <w:rPr>
          <w:rFonts w:ascii="Book Antiqua" w:hAnsi="Book Antiqua"/>
          <w:lang w:val="en-GB"/>
        </w:rPr>
        <w:t>din</w:t>
      </w:r>
      <w:proofErr w:type="spellEnd"/>
      <w:r w:rsidR="00982EF6">
        <w:rPr>
          <w:rFonts w:ascii="Book Antiqua" w:hAnsi="Book Antiqua"/>
          <w:lang w:val="en-GB"/>
        </w:rPr>
        <w:t xml:space="preserve"> </w:t>
      </w:r>
      <w:proofErr w:type="spellStart"/>
      <w:r w:rsidR="00982EF6">
        <w:rPr>
          <w:rFonts w:ascii="Book Antiqua" w:hAnsi="Book Antiqua"/>
          <w:lang w:val="en-GB"/>
        </w:rPr>
        <w:t>Hekmatyar’s</w:t>
      </w:r>
      <w:proofErr w:type="spellEnd"/>
      <w:r w:rsidR="00982EF6">
        <w:rPr>
          <w:rFonts w:ascii="Book Antiqua" w:hAnsi="Book Antiqua"/>
          <w:lang w:val="en-GB"/>
        </w:rPr>
        <w:t xml:space="preserve"> </w:t>
      </w:r>
      <w:proofErr w:type="spellStart"/>
      <w:r w:rsidR="00982EF6">
        <w:rPr>
          <w:rFonts w:ascii="Book Antiqua" w:hAnsi="Book Antiqua"/>
          <w:lang w:val="en-GB"/>
        </w:rPr>
        <w:t>Hizb-i-</w:t>
      </w:r>
      <w:r w:rsidR="0084131B">
        <w:rPr>
          <w:rFonts w:ascii="Book Antiqua" w:hAnsi="Book Antiqua"/>
          <w:lang w:val="en-GB"/>
        </w:rPr>
        <w:t>I</w:t>
      </w:r>
      <w:r w:rsidR="00982EF6">
        <w:rPr>
          <w:rFonts w:ascii="Book Antiqua" w:hAnsi="Book Antiqua"/>
          <w:lang w:val="en-GB"/>
        </w:rPr>
        <w:t>slami</w:t>
      </w:r>
      <w:proofErr w:type="spellEnd"/>
      <w:r w:rsidR="00982EF6">
        <w:rPr>
          <w:rFonts w:ascii="Book Antiqua" w:hAnsi="Book Antiqua"/>
          <w:lang w:val="en-GB"/>
        </w:rPr>
        <w:t xml:space="preserve"> party to argue that the situation had changed and it was safe to relocate to Kabul. Mr </w:t>
      </w:r>
      <w:proofErr w:type="spellStart"/>
      <w:r w:rsidR="00982EF6">
        <w:rPr>
          <w:rFonts w:ascii="Book Antiqua" w:hAnsi="Book Antiqua"/>
          <w:lang w:val="en-GB"/>
        </w:rPr>
        <w:t>Fripp</w:t>
      </w:r>
      <w:proofErr w:type="spellEnd"/>
      <w:r w:rsidR="00982EF6">
        <w:rPr>
          <w:rFonts w:ascii="Book Antiqua" w:hAnsi="Book Antiqua"/>
          <w:lang w:val="en-GB"/>
        </w:rPr>
        <w:t xml:space="preserve"> submitted that the decision letter fell well short of the correct test as to significant and durable changes necessary for revocation of refugee status under paragraph 339A(v) of the Immigration Rules or article 11(2) of the Qualification Directive. </w:t>
      </w:r>
      <w:r w:rsidR="00C73C16">
        <w:rPr>
          <w:rFonts w:ascii="Book Antiqua" w:hAnsi="Book Antiqua"/>
          <w:lang w:val="en-GB"/>
        </w:rPr>
        <w:t xml:space="preserve">He argued that the respondent had not maintained that the appellant’s </w:t>
      </w:r>
      <w:r w:rsidR="001172E4">
        <w:rPr>
          <w:rFonts w:ascii="Book Antiqua" w:hAnsi="Book Antiqua"/>
          <w:lang w:val="en-GB"/>
        </w:rPr>
        <w:t xml:space="preserve">criminal </w:t>
      </w:r>
      <w:r w:rsidR="00C73C16">
        <w:rPr>
          <w:rFonts w:ascii="Book Antiqua" w:hAnsi="Book Antiqua"/>
          <w:lang w:val="en-GB"/>
        </w:rPr>
        <w:t>offen</w:t>
      </w:r>
      <w:r w:rsidR="001172E4">
        <w:rPr>
          <w:rFonts w:ascii="Book Antiqua" w:hAnsi="Book Antiqua"/>
          <w:lang w:val="en-GB"/>
        </w:rPr>
        <w:t xml:space="preserve">ding itself justified cessation and he submitted that if the appellant re-offended, it would be open to the Secretary of State to reassess the situation. </w:t>
      </w:r>
    </w:p>
    <w:p w:rsidR="001172E4" w:rsidRDefault="001172E4" w:rsidP="001172E4">
      <w:pPr>
        <w:pStyle w:val="ListParagraph"/>
        <w:rPr>
          <w:rFonts w:ascii="Book Antiqua" w:hAnsi="Book Antiqua"/>
          <w:lang w:val="en-GB"/>
        </w:rPr>
      </w:pPr>
    </w:p>
    <w:p w:rsidR="001172E4" w:rsidRDefault="001172E4" w:rsidP="0016351F">
      <w:pPr>
        <w:numPr>
          <w:ilvl w:val="0"/>
          <w:numId w:val="1"/>
        </w:numPr>
        <w:ind w:left="720" w:hanging="720"/>
        <w:jc w:val="both"/>
        <w:rPr>
          <w:rFonts w:ascii="Book Antiqua" w:hAnsi="Book Antiqua"/>
          <w:lang w:val="en-GB"/>
        </w:rPr>
      </w:pPr>
      <w:r>
        <w:rPr>
          <w:rFonts w:ascii="Book Antiqua" w:hAnsi="Book Antiqua"/>
          <w:lang w:val="en-GB"/>
        </w:rPr>
        <w:t xml:space="preserve"> </w:t>
      </w:r>
      <w:r>
        <w:rPr>
          <w:rFonts w:ascii="Book Antiqua" w:hAnsi="Book Antiqua"/>
          <w:lang w:val="en-GB"/>
        </w:rPr>
        <w:tab/>
        <w:t xml:space="preserve">Mr </w:t>
      </w:r>
      <w:proofErr w:type="spellStart"/>
      <w:r>
        <w:rPr>
          <w:rFonts w:ascii="Book Antiqua" w:hAnsi="Book Antiqua"/>
          <w:lang w:val="en-GB"/>
        </w:rPr>
        <w:t>Fripp</w:t>
      </w:r>
      <w:proofErr w:type="spellEnd"/>
      <w:r>
        <w:rPr>
          <w:rFonts w:ascii="Book Antiqua" w:hAnsi="Book Antiqua"/>
          <w:lang w:val="en-GB"/>
        </w:rPr>
        <w:t xml:space="preserve"> referred to </w:t>
      </w:r>
      <w:r w:rsidRPr="00990158">
        <w:rPr>
          <w:rFonts w:ascii="Book Antiqua" w:hAnsi="Book Antiqua"/>
          <w:u w:val="single"/>
          <w:lang w:val="en-GB"/>
        </w:rPr>
        <w:t>SB</w:t>
      </w:r>
      <w:r>
        <w:rPr>
          <w:rFonts w:ascii="Book Antiqua" w:hAnsi="Book Antiqua"/>
          <w:lang w:val="en-GB"/>
        </w:rPr>
        <w:t xml:space="preserve"> (cessation and exclusion) Haiti [2005] UKIAT 00036 (in particular to paragraphs 37 and 44), to </w:t>
      </w:r>
      <w:r w:rsidRPr="00990158">
        <w:rPr>
          <w:rFonts w:ascii="Book Antiqua" w:hAnsi="Book Antiqua"/>
          <w:u w:val="single"/>
          <w:lang w:val="en-GB"/>
        </w:rPr>
        <w:t>Abdullah</w:t>
      </w:r>
      <w:r>
        <w:rPr>
          <w:rFonts w:ascii="Book Antiqua" w:hAnsi="Book Antiqua"/>
          <w:lang w:val="en-GB"/>
        </w:rPr>
        <w:t xml:space="preserve"> and others v </w:t>
      </w:r>
      <w:proofErr w:type="spellStart"/>
      <w:r>
        <w:rPr>
          <w:rFonts w:ascii="Book Antiqua" w:hAnsi="Book Antiqua"/>
          <w:lang w:val="en-GB"/>
        </w:rPr>
        <w:t>Bundesrepublik</w:t>
      </w:r>
      <w:proofErr w:type="spellEnd"/>
      <w:r>
        <w:rPr>
          <w:rFonts w:ascii="Book Antiqua" w:hAnsi="Book Antiqua"/>
          <w:lang w:val="en-GB"/>
        </w:rPr>
        <w:t xml:space="preserve"> Deutschland [2011] QB </w:t>
      </w:r>
      <w:r w:rsidR="001D20A6">
        <w:rPr>
          <w:rFonts w:ascii="Book Antiqua" w:hAnsi="Book Antiqua"/>
          <w:lang w:val="en-GB"/>
        </w:rPr>
        <w:t xml:space="preserve">46 </w:t>
      </w:r>
      <w:r>
        <w:rPr>
          <w:rFonts w:ascii="Book Antiqua" w:hAnsi="Book Antiqua"/>
          <w:lang w:val="en-GB"/>
        </w:rPr>
        <w:t xml:space="preserve">(at 70-73) and </w:t>
      </w:r>
      <w:r w:rsidRPr="00990158">
        <w:rPr>
          <w:rFonts w:ascii="Book Antiqua" w:hAnsi="Book Antiqua"/>
          <w:u w:val="single"/>
          <w:lang w:val="en-GB"/>
        </w:rPr>
        <w:t>Dang</w:t>
      </w:r>
      <w:r>
        <w:rPr>
          <w:rFonts w:ascii="Book Antiqua" w:hAnsi="Book Antiqua"/>
          <w:lang w:val="en-GB"/>
        </w:rPr>
        <w:t xml:space="preserve"> (Refugee – query revocation – Article 3) [2013] UKUT 00043 (IAC). He submitted that the latter judgment did not apply to the appellant because he was granted status after the Qualification Directive came into force and that case involved a person granted Convention</w:t>
      </w:r>
      <w:r w:rsidR="00990158">
        <w:rPr>
          <w:rFonts w:ascii="Book Antiqua" w:hAnsi="Book Antiqua"/>
          <w:lang w:val="en-GB"/>
        </w:rPr>
        <w:t xml:space="preserve"> refugee status. </w:t>
      </w:r>
    </w:p>
    <w:p w:rsidR="00990158" w:rsidRDefault="00990158" w:rsidP="00990158">
      <w:pPr>
        <w:pStyle w:val="ListParagraph"/>
        <w:rPr>
          <w:rFonts w:ascii="Book Antiqua" w:hAnsi="Book Antiqua"/>
          <w:lang w:val="en-GB"/>
        </w:rPr>
      </w:pPr>
    </w:p>
    <w:p w:rsidR="00990158" w:rsidRDefault="00990158" w:rsidP="0016351F">
      <w:pPr>
        <w:numPr>
          <w:ilvl w:val="0"/>
          <w:numId w:val="1"/>
        </w:numPr>
        <w:ind w:left="720" w:hanging="720"/>
        <w:jc w:val="both"/>
        <w:rPr>
          <w:rFonts w:ascii="Book Antiqua" w:hAnsi="Book Antiqua"/>
          <w:lang w:val="en-GB"/>
        </w:rPr>
      </w:pPr>
      <w:r>
        <w:rPr>
          <w:rFonts w:ascii="Book Antiqua" w:hAnsi="Book Antiqua"/>
          <w:lang w:val="en-GB"/>
        </w:rPr>
        <w:t xml:space="preserve"> </w:t>
      </w:r>
      <w:r>
        <w:rPr>
          <w:rFonts w:ascii="Book Antiqua" w:hAnsi="Book Antiqua"/>
          <w:lang w:val="en-GB"/>
        </w:rPr>
        <w:tab/>
        <w:t xml:space="preserve">Mr </w:t>
      </w:r>
      <w:proofErr w:type="spellStart"/>
      <w:r>
        <w:rPr>
          <w:rFonts w:ascii="Book Antiqua" w:hAnsi="Book Antiqua"/>
          <w:lang w:val="en-GB"/>
        </w:rPr>
        <w:t>Fripp</w:t>
      </w:r>
      <w:proofErr w:type="spellEnd"/>
      <w:r>
        <w:rPr>
          <w:rFonts w:ascii="Book Antiqua" w:hAnsi="Book Antiqua"/>
          <w:lang w:val="en-GB"/>
        </w:rPr>
        <w:t xml:space="preserve"> maintained that the respondent’s reliance on the ongoing reconciliation efforts between the government and the </w:t>
      </w:r>
      <w:proofErr w:type="spellStart"/>
      <w:r>
        <w:rPr>
          <w:rFonts w:ascii="Book Antiqua" w:hAnsi="Book Antiqua"/>
          <w:lang w:val="en-GB"/>
        </w:rPr>
        <w:t>Hizb-i-</w:t>
      </w:r>
      <w:r w:rsidR="0084131B">
        <w:rPr>
          <w:rFonts w:ascii="Book Antiqua" w:hAnsi="Book Antiqua"/>
          <w:lang w:val="en-GB"/>
        </w:rPr>
        <w:t>I</w:t>
      </w:r>
      <w:r>
        <w:rPr>
          <w:rFonts w:ascii="Book Antiqua" w:hAnsi="Book Antiqua"/>
          <w:lang w:val="en-GB"/>
        </w:rPr>
        <w:t>slami</w:t>
      </w:r>
      <w:proofErr w:type="spellEnd"/>
      <w:r>
        <w:rPr>
          <w:rFonts w:ascii="Book Antiqua" w:hAnsi="Book Antiqua"/>
          <w:lang w:val="en-GB"/>
        </w:rPr>
        <w:t xml:space="preserve"> was not sufficient evidence to show that the appellant’s fear was permanently eradicated. The situation in Afghanistan continued to deteriorate and that included the appellant’s home province of </w:t>
      </w:r>
      <w:proofErr w:type="spellStart"/>
      <w:r>
        <w:rPr>
          <w:rFonts w:ascii="Book Antiqua" w:hAnsi="Book Antiqua"/>
          <w:lang w:val="en-GB"/>
        </w:rPr>
        <w:t>Nangahar</w:t>
      </w:r>
      <w:proofErr w:type="spellEnd"/>
      <w:r>
        <w:rPr>
          <w:rFonts w:ascii="Book Antiqua" w:hAnsi="Book Antiqua"/>
          <w:lang w:val="en-GB"/>
        </w:rPr>
        <w:t xml:space="preserve">. He referred me to the UN Security Council report (at 13, 23 and 25), to 5.1.3, 5.1.4, 6.1.1 and 6.1.2 of the Country Policy Information Note (CPIN) and to the opening page of the US State Department report. When the material was considered in the context of the legal test, Mr </w:t>
      </w:r>
      <w:proofErr w:type="spellStart"/>
      <w:r>
        <w:rPr>
          <w:rFonts w:ascii="Book Antiqua" w:hAnsi="Book Antiqua"/>
          <w:lang w:val="en-GB"/>
        </w:rPr>
        <w:t>Fripp</w:t>
      </w:r>
      <w:proofErr w:type="spellEnd"/>
      <w:r>
        <w:rPr>
          <w:rFonts w:ascii="Book Antiqua" w:hAnsi="Book Antiqua"/>
          <w:lang w:val="en-GB"/>
        </w:rPr>
        <w:t xml:space="preserve"> questioned whether a fundamental change had been shown and whether the fear of someone, who was linked to a person known to have been involved with the </w:t>
      </w:r>
      <w:proofErr w:type="spellStart"/>
      <w:r>
        <w:rPr>
          <w:rFonts w:ascii="Book Antiqua" w:hAnsi="Book Antiqua"/>
          <w:lang w:val="en-GB"/>
        </w:rPr>
        <w:t>Hizb-i-</w:t>
      </w:r>
      <w:r w:rsidR="0084131B">
        <w:rPr>
          <w:rFonts w:ascii="Book Antiqua" w:hAnsi="Book Antiqua"/>
          <w:lang w:val="en-GB"/>
        </w:rPr>
        <w:t>I</w:t>
      </w:r>
      <w:r>
        <w:rPr>
          <w:rFonts w:ascii="Book Antiqua" w:hAnsi="Book Antiqua"/>
          <w:lang w:val="en-GB"/>
        </w:rPr>
        <w:t>slami</w:t>
      </w:r>
      <w:proofErr w:type="spellEnd"/>
      <w:r>
        <w:rPr>
          <w:rFonts w:ascii="Book Antiqua" w:hAnsi="Book Antiqua"/>
          <w:lang w:val="en-GB"/>
        </w:rPr>
        <w:t xml:space="preserve"> and killed, </w:t>
      </w:r>
      <w:r>
        <w:rPr>
          <w:rFonts w:ascii="Book Antiqua" w:hAnsi="Book Antiqua"/>
          <w:lang w:val="en-GB"/>
        </w:rPr>
        <w:lastRenderedPageBreak/>
        <w:t xml:space="preserve">could be said to be eradicated. He submitted that the evidence did not show a significant change of a non-temporary nature. </w:t>
      </w:r>
    </w:p>
    <w:p w:rsidR="00770C3E" w:rsidRDefault="00770C3E" w:rsidP="00770C3E">
      <w:pPr>
        <w:pStyle w:val="ListParagraph"/>
        <w:rPr>
          <w:rFonts w:ascii="Book Antiqua" w:hAnsi="Book Antiqua"/>
          <w:lang w:val="en-GB"/>
        </w:rPr>
      </w:pPr>
    </w:p>
    <w:p w:rsidR="00770C3E" w:rsidRDefault="00770C3E" w:rsidP="0016351F">
      <w:pPr>
        <w:numPr>
          <w:ilvl w:val="0"/>
          <w:numId w:val="1"/>
        </w:numPr>
        <w:ind w:left="720" w:hanging="720"/>
        <w:jc w:val="both"/>
        <w:rPr>
          <w:rFonts w:ascii="Book Antiqua" w:hAnsi="Book Antiqua"/>
          <w:lang w:val="en-GB"/>
        </w:rPr>
      </w:pPr>
      <w:r>
        <w:rPr>
          <w:rFonts w:ascii="Book Antiqua" w:hAnsi="Book Antiqua"/>
          <w:lang w:val="en-GB"/>
        </w:rPr>
        <w:t xml:space="preserve"> </w:t>
      </w:r>
      <w:r>
        <w:rPr>
          <w:rFonts w:ascii="Book Antiqua" w:hAnsi="Book Antiqua"/>
          <w:lang w:val="en-GB"/>
        </w:rPr>
        <w:tab/>
        <w:t xml:space="preserve">Mr </w:t>
      </w:r>
      <w:proofErr w:type="spellStart"/>
      <w:r>
        <w:rPr>
          <w:rFonts w:ascii="Book Antiqua" w:hAnsi="Book Antiqua"/>
          <w:lang w:val="en-GB"/>
        </w:rPr>
        <w:t>Tufan</w:t>
      </w:r>
      <w:proofErr w:type="spellEnd"/>
      <w:r>
        <w:rPr>
          <w:rFonts w:ascii="Book Antiqua" w:hAnsi="Book Antiqua"/>
          <w:lang w:val="en-GB"/>
        </w:rPr>
        <w:t xml:space="preserve"> responded. He submitted that Judge Malone had found that the appellant would be at risk because of his late father’s connection to </w:t>
      </w:r>
      <w:proofErr w:type="spellStart"/>
      <w:r w:rsidR="00085681">
        <w:rPr>
          <w:rFonts w:ascii="Book Antiqua" w:hAnsi="Book Antiqua"/>
          <w:lang w:val="en-GB"/>
        </w:rPr>
        <w:t>Dadullah</w:t>
      </w:r>
      <w:proofErr w:type="spellEnd"/>
      <w:r w:rsidR="00085681">
        <w:rPr>
          <w:rFonts w:ascii="Book Antiqua" w:hAnsi="Book Antiqua"/>
          <w:lang w:val="en-GB"/>
        </w:rPr>
        <w:t xml:space="preserve"> (now deceased). He pointed out the appellant had been a child at that time and that he had remained in Afghanistan for some years after that. He submitted there was no reason why the authorities, which had made peace with </w:t>
      </w:r>
      <w:proofErr w:type="spellStart"/>
      <w:r w:rsidR="00085681">
        <w:rPr>
          <w:rFonts w:ascii="Book Antiqua" w:hAnsi="Book Antiqua"/>
          <w:lang w:val="en-GB"/>
        </w:rPr>
        <w:t>Hekmatyar</w:t>
      </w:r>
      <w:proofErr w:type="spellEnd"/>
      <w:r w:rsidR="00085681">
        <w:rPr>
          <w:rFonts w:ascii="Book Antiqua" w:hAnsi="Book Antiqua"/>
          <w:lang w:val="en-GB"/>
        </w:rPr>
        <w:t xml:space="preserve">, would have any interest in the appellant who himself had not had any political involvement. There had been a durable change. The decision of </w:t>
      </w:r>
      <w:r w:rsidR="00085681" w:rsidRPr="00F5664C">
        <w:rPr>
          <w:rFonts w:ascii="Book Antiqua" w:hAnsi="Book Antiqua"/>
          <w:u w:val="single"/>
          <w:lang w:val="en-GB"/>
        </w:rPr>
        <w:t>AS</w:t>
      </w:r>
      <w:r w:rsidR="00085681">
        <w:rPr>
          <w:rFonts w:ascii="Book Antiqua" w:hAnsi="Book Antiqua"/>
          <w:lang w:val="en-GB"/>
        </w:rPr>
        <w:t xml:space="preserve"> (Safety of Kabul) Afghanistan CG [2018] UKUT 118 (IAT) confirmed there was a sufficiency of protection in Kabul and in Afghanistan. The CPIN reported on the peace agreement between the authorities and the </w:t>
      </w:r>
      <w:proofErr w:type="spellStart"/>
      <w:r w:rsidR="00085681">
        <w:rPr>
          <w:rFonts w:ascii="Book Antiqua" w:hAnsi="Book Antiqua"/>
          <w:lang w:val="en-GB"/>
        </w:rPr>
        <w:t>Hekmatyar</w:t>
      </w:r>
      <w:proofErr w:type="spellEnd"/>
      <w:r w:rsidR="00085681">
        <w:rPr>
          <w:rFonts w:ascii="Book Antiqua" w:hAnsi="Book Antiqua"/>
          <w:lang w:val="en-GB"/>
        </w:rPr>
        <w:t xml:space="preserve"> faction and the other </w:t>
      </w:r>
      <w:proofErr w:type="spellStart"/>
      <w:r w:rsidR="00085681">
        <w:rPr>
          <w:rFonts w:ascii="Book Antiqua" w:hAnsi="Book Antiqua"/>
          <w:lang w:val="en-GB"/>
        </w:rPr>
        <w:t>Hiz</w:t>
      </w:r>
      <w:r w:rsidR="0084131B">
        <w:rPr>
          <w:rFonts w:ascii="Book Antiqua" w:hAnsi="Book Antiqua"/>
          <w:lang w:val="en-GB"/>
        </w:rPr>
        <w:t>b</w:t>
      </w:r>
      <w:r w:rsidR="00085681">
        <w:rPr>
          <w:rFonts w:ascii="Book Antiqua" w:hAnsi="Book Antiqua"/>
          <w:lang w:val="en-GB"/>
        </w:rPr>
        <w:t>-i-</w:t>
      </w:r>
      <w:r w:rsidR="0084131B">
        <w:rPr>
          <w:rFonts w:ascii="Book Antiqua" w:hAnsi="Book Antiqua"/>
          <w:lang w:val="en-GB"/>
        </w:rPr>
        <w:t>I</w:t>
      </w:r>
      <w:r w:rsidR="00085681">
        <w:rPr>
          <w:rFonts w:ascii="Book Antiqua" w:hAnsi="Book Antiqua"/>
          <w:lang w:val="en-GB"/>
        </w:rPr>
        <w:t>slami</w:t>
      </w:r>
      <w:proofErr w:type="spellEnd"/>
      <w:r w:rsidR="00085681">
        <w:rPr>
          <w:rFonts w:ascii="Book Antiqua" w:hAnsi="Book Antiqua"/>
          <w:lang w:val="en-GB"/>
        </w:rPr>
        <w:t xml:space="preserve"> factions were incorporated into the government. </w:t>
      </w:r>
      <w:proofErr w:type="spellStart"/>
      <w:r w:rsidR="00085681">
        <w:rPr>
          <w:rFonts w:ascii="Book Antiqua" w:hAnsi="Book Antiqua"/>
          <w:lang w:val="en-GB"/>
        </w:rPr>
        <w:t>Hekmatyar</w:t>
      </w:r>
      <w:proofErr w:type="spellEnd"/>
      <w:r w:rsidR="00085681">
        <w:rPr>
          <w:rFonts w:ascii="Book Antiqua" w:hAnsi="Book Antiqua"/>
          <w:lang w:val="en-GB"/>
        </w:rPr>
        <w:t xml:space="preserve"> was no longer a sanctioned individual and the higher echelons of the party were all free to move around without hindrance. In those circumstances, the appellant was no longer at risk. The country guidance also showed an improved situation.</w:t>
      </w:r>
      <w:r w:rsidR="00A02A7B">
        <w:rPr>
          <w:rFonts w:ascii="Book Antiqua" w:hAnsi="Book Antiqua"/>
          <w:lang w:val="en-GB"/>
        </w:rPr>
        <w:t xml:space="preserve"> The respondent was justified in revoking refugee status which was triggered by the deportation order made following the appellant’s persistent and serious criminality. </w:t>
      </w:r>
      <w:r w:rsidR="00A02A7B" w:rsidRPr="00A02A7B">
        <w:rPr>
          <w:rFonts w:ascii="Book Antiqua" w:hAnsi="Book Antiqua"/>
          <w:u w:val="single"/>
          <w:lang w:val="en-GB"/>
        </w:rPr>
        <w:t>Dang</w:t>
      </w:r>
      <w:r w:rsidR="00A02A7B">
        <w:rPr>
          <w:rFonts w:ascii="Book Antiqua" w:hAnsi="Book Antiqua"/>
          <w:lang w:val="en-GB"/>
        </w:rPr>
        <w:t xml:space="preserve"> was relevant in that the assessment of article 3 risk must be assessed at the date of hearing and be forward looking. </w:t>
      </w:r>
      <w:r w:rsidR="00085681">
        <w:rPr>
          <w:rFonts w:ascii="Book Antiqua" w:hAnsi="Book Antiqua"/>
          <w:lang w:val="en-GB"/>
        </w:rPr>
        <w:t xml:space="preserve"> </w:t>
      </w:r>
    </w:p>
    <w:p w:rsidR="00927450" w:rsidRDefault="00927450" w:rsidP="00927450">
      <w:pPr>
        <w:ind w:left="720"/>
        <w:jc w:val="both"/>
        <w:rPr>
          <w:rFonts w:ascii="Book Antiqua" w:hAnsi="Book Antiqua"/>
          <w:lang w:val="en-GB"/>
        </w:rPr>
      </w:pPr>
    </w:p>
    <w:p w:rsidR="00A02A7B" w:rsidRDefault="00A02A7B" w:rsidP="0016351F">
      <w:pPr>
        <w:numPr>
          <w:ilvl w:val="0"/>
          <w:numId w:val="1"/>
        </w:numPr>
        <w:ind w:left="720" w:hanging="720"/>
        <w:jc w:val="both"/>
        <w:rPr>
          <w:rFonts w:ascii="Book Antiqua" w:hAnsi="Book Antiqua"/>
          <w:lang w:val="en-GB"/>
        </w:rPr>
      </w:pPr>
      <w:r>
        <w:rPr>
          <w:rFonts w:ascii="Book Antiqua" w:hAnsi="Book Antiqua"/>
          <w:lang w:val="en-GB"/>
        </w:rPr>
        <w:t xml:space="preserve"> </w:t>
      </w:r>
      <w:r>
        <w:rPr>
          <w:rFonts w:ascii="Book Antiqua" w:hAnsi="Book Antiqua"/>
          <w:lang w:val="en-GB"/>
        </w:rPr>
        <w:tab/>
        <w:t xml:space="preserve">In response, Mr </w:t>
      </w:r>
      <w:proofErr w:type="spellStart"/>
      <w:r>
        <w:rPr>
          <w:rFonts w:ascii="Book Antiqua" w:hAnsi="Book Antiqua"/>
          <w:lang w:val="en-GB"/>
        </w:rPr>
        <w:t>Fripp</w:t>
      </w:r>
      <w:proofErr w:type="spellEnd"/>
      <w:r>
        <w:rPr>
          <w:rFonts w:ascii="Book Antiqua" w:hAnsi="Book Antiqua"/>
          <w:lang w:val="en-GB"/>
        </w:rPr>
        <w:t xml:space="preserve"> repeated that the evidence had not shown a change </w:t>
      </w:r>
      <w:r w:rsidR="00D27DD3">
        <w:rPr>
          <w:rFonts w:ascii="Book Antiqua" w:hAnsi="Book Antiqua"/>
          <w:lang w:val="en-GB"/>
        </w:rPr>
        <w:t xml:space="preserve">such as to justify cessation of status. The evidence showed a process but not an eradication of all risk to the appellant. First-tier Tribunal Judge Malone had found that the appellant would be at risk at the airport. The respondent had misunderstood the case of </w:t>
      </w:r>
      <w:r w:rsidR="00D27DD3" w:rsidRPr="00D27DD3">
        <w:rPr>
          <w:rFonts w:ascii="Book Antiqua" w:hAnsi="Book Antiqua"/>
          <w:u w:val="single"/>
          <w:lang w:val="en-GB"/>
        </w:rPr>
        <w:t>Dang</w:t>
      </w:r>
      <w:r w:rsidR="00D27DD3">
        <w:rPr>
          <w:rFonts w:ascii="Book Antiqua" w:hAnsi="Book Antiqua"/>
          <w:lang w:val="en-GB"/>
        </w:rPr>
        <w:t xml:space="preserve">. It did not apply to status granted under the Qualification Directive. </w:t>
      </w:r>
    </w:p>
    <w:p w:rsidR="00A65D5C" w:rsidRDefault="00A65D5C" w:rsidP="00A65D5C">
      <w:pPr>
        <w:pStyle w:val="ListParagraph"/>
        <w:rPr>
          <w:rFonts w:ascii="Book Antiqua" w:hAnsi="Book Antiqua"/>
          <w:lang w:val="en-GB"/>
        </w:rPr>
      </w:pPr>
    </w:p>
    <w:p w:rsidR="0016351F" w:rsidRPr="00D27DD3" w:rsidRDefault="00D27DD3" w:rsidP="0016351F">
      <w:pPr>
        <w:numPr>
          <w:ilvl w:val="0"/>
          <w:numId w:val="1"/>
        </w:numPr>
        <w:ind w:left="720" w:hanging="720"/>
        <w:jc w:val="both"/>
        <w:rPr>
          <w:rFonts w:ascii="Book Antiqua" w:hAnsi="Book Antiqua"/>
          <w:bCs/>
          <w:lang w:val="en-GB"/>
        </w:rPr>
      </w:pPr>
      <w:r w:rsidRPr="00D27DD3">
        <w:rPr>
          <w:rFonts w:ascii="Book Antiqua" w:hAnsi="Book Antiqua"/>
          <w:lang w:val="en-GB"/>
        </w:rPr>
        <w:t xml:space="preserve"> </w:t>
      </w:r>
      <w:r w:rsidRPr="00D27DD3">
        <w:rPr>
          <w:rFonts w:ascii="Book Antiqua" w:hAnsi="Book Antiqua"/>
          <w:lang w:val="en-GB"/>
        </w:rPr>
        <w:tab/>
      </w:r>
      <w:r w:rsidR="0016351F" w:rsidRPr="00D27DD3">
        <w:rPr>
          <w:rFonts w:ascii="Book Antiqua" w:hAnsi="Book Antiqua"/>
          <w:bCs/>
          <w:lang w:val="en-GB"/>
        </w:rPr>
        <w:t xml:space="preserve">That completed the submissions. I reserved my determination which I now give with reasons. </w:t>
      </w:r>
    </w:p>
    <w:p w:rsidR="0016351F" w:rsidRPr="00047360" w:rsidRDefault="0016351F" w:rsidP="0016351F">
      <w:pPr>
        <w:jc w:val="both"/>
        <w:rPr>
          <w:rFonts w:ascii="Book Antiqua" w:hAnsi="Book Antiqua"/>
          <w:b/>
          <w:bCs/>
          <w:lang w:val="en-GB"/>
        </w:rPr>
      </w:pPr>
    </w:p>
    <w:p w:rsidR="0016351F" w:rsidRPr="0050254E" w:rsidRDefault="0016351F" w:rsidP="0016351F">
      <w:pPr>
        <w:jc w:val="both"/>
        <w:rPr>
          <w:rFonts w:ascii="Book Antiqua" w:hAnsi="Book Antiqua"/>
          <w:b/>
          <w:lang w:val="en-GB"/>
        </w:rPr>
      </w:pPr>
      <w:r w:rsidRPr="0050254E">
        <w:rPr>
          <w:rFonts w:ascii="Book Antiqua" w:hAnsi="Book Antiqua"/>
          <w:b/>
          <w:lang w:val="en-GB"/>
        </w:rPr>
        <w:t>Consideration</w:t>
      </w:r>
    </w:p>
    <w:p w:rsidR="0016351F" w:rsidRDefault="0016351F" w:rsidP="0016351F">
      <w:pPr>
        <w:jc w:val="both"/>
        <w:rPr>
          <w:rFonts w:ascii="Book Antiqua" w:hAnsi="Book Antiqua"/>
          <w:lang w:val="en-GB"/>
        </w:rPr>
      </w:pPr>
    </w:p>
    <w:p w:rsidR="00D27DD3" w:rsidRPr="008428EB" w:rsidRDefault="0016351F" w:rsidP="00D27DD3">
      <w:pPr>
        <w:numPr>
          <w:ilvl w:val="0"/>
          <w:numId w:val="1"/>
        </w:numPr>
        <w:ind w:left="720" w:hanging="720"/>
        <w:jc w:val="both"/>
        <w:rPr>
          <w:rFonts w:ascii="Book Antiqua" w:hAnsi="Book Antiqua"/>
          <w:bCs/>
          <w:lang w:val="en-GB"/>
        </w:rPr>
      </w:pPr>
      <w:r>
        <w:rPr>
          <w:rFonts w:ascii="Book Antiqua" w:hAnsi="Book Antiqua"/>
          <w:lang w:val="en-GB"/>
        </w:rPr>
        <w:t xml:space="preserve">   </w:t>
      </w:r>
      <w:r>
        <w:rPr>
          <w:rFonts w:ascii="Book Antiqua" w:hAnsi="Book Antiqua"/>
          <w:lang w:val="en-GB"/>
        </w:rPr>
        <w:tab/>
      </w:r>
      <w:r w:rsidR="00D27DD3">
        <w:rPr>
          <w:rFonts w:ascii="Book Antiqua" w:hAnsi="Book Antiqua"/>
          <w:lang w:val="en-GB"/>
        </w:rPr>
        <w:t xml:space="preserve">I have considered all the evidence with care. I acknowledge that it is for the </w:t>
      </w:r>
      <w:r w:rsidR="008428EB">
        <w:rPr>
          <w:rFonts w:ascii="Book Antiqua" w:hAnsi="Book Antiqua"/>
          <w:lang w:val="en-GB"/>
        </w:rPr>
        <w:t xml:space="preserve">respondent to establish that there has been a durable and significant change such that cessation of status is justified. The relevant test is set out in the rules and in the Qualification Directive. </w:t>
      </w:r>
    </w:p>
    <w:p w:rsidR="008428EB" w:rsidRPr="008428EB" w:rsidRDefault="008428EB" w:rsidP="008428EB">
      <w:pPr>
        <w:ind w:left="720"/>
        <w:jc w:val="both"/>
        <w:rPr>
          <w:rFonts w:ascii="Book Antiqua" w:hAnsi="Book Antiqua"/>
          <w:bCs/>
          <w:lang w:val="en-GB"/>
        </w:rPr>
      </w:pPr>
    </w:p>
    <w:p w:rsidR="008428EB" w:rsidRPr="008428EB" w:rsidRDefault="008428EB" w:rsidP="00D27DD3">
      <w:pPr>
        <w:numPr>
          <w:ilvl w:val="0"/>
          <w:numId w:val="1"/>
        </w:numPr>
        <w:ind w:left="720" w:hanging="720"/>
        <w:jc w:val="both"/>
        <w:rPr>
          <w:rFonts w:ascii="Book Antiqua" w:hAnsi="Book Antiqua"/>
          <w:bCs/>
          <w:lang w:val="en-GB"/>
        </w:rPr>
      </w:pPr>
      <w:r>
        <w:rPr>
          <w:rFonts w:ascii="Book Antiqua" w:hAnsi="Book Antiqua"/>
          <w:bCs/>
          <w:lang w:val="en-GB"/>
        </w:rPr>
        <w:t xml:space="preserve"> </w:t>
      </w:r>
      <w:r>
        <w:rPr>
          <w:rFonts w:ascii="Book Antiqua" w:hAnsi="Book Antiqua"/>
          <w:bCs/>
          <w:lang w:val="en-GB"/>
        </w:rPr>
        <w:tab/>
        <w:t xml:space="preserve">The </w:t>
      </w:r>
      <w:r w:rsidRPr="008428EB">
        <w:rPr>
          <w:rFonts w:ascii="Book Antiqua" w:hAnsi="Book Antiqua"/>
          <w:bCs/>
          <w:lang w:val="en-GB"/>
        </w:rPr>
        <w:t>rules on r</w:t>
      </w:r>
      <w:r w:rsidRPr="008428EB">
        <w:rPr>
          <w:rFonts w:ascii="Book Antiqua" w:hAnsi="Book Antiqua" w:cs="Arial"/>
        </w:rPr>
        <w:t>evocation or refusal to renew a grant of asylum</w:t>
      </w:r>
      <w:r w:rsidRPr="008428EB">
        <w:rPr>
          <w:rFonts w:ascii="Book Antiqua" w:hAnsi="Book Antiqua"/>
          <w:bCs/>
          <w:lang w:val="en-GB"/>
        </w:rPr>
        <w:t xml:space="preserve"> provide</w:t>
      </w:r>
      <w:r>
        <w:rPr>
          <w:rFonts w:ascii="Book Antiqua" w:hAnsi="Book Antiqua"/>
          <w:bCs/>
          <w:lang w:val="en-GB"/>
        </w:rPr>
        <w:t>:</w:t>
      </w:r>
    </w:p>
    <w:p w:rsidR="008428EB" w:rsidRPr="00371D5E" w:rsidRDefault="008428EB" w:rsidP="008428EB">
      <w:pPr>
        <w:tabs>
          <w:tab w:val="left" w:pos="480"/>
          <w:tab w:val="left" w:pos="1134"/>
          <w:tab w:val="left" w:pos="1531"/>
          <w:tab w:val="left" w:pos="1985"/>
        </w:tabs>
        <w:ind w:left="1134" w:hanging="567"/>
        <w:jc w:val="both"/>
        <w:rPr>
          <w:rFonts w:ascii="Book Antiqua" w:hAnsi="Book Antiqua" w:cs="Arial"/>
          <w:sz w:val="20"/>
          <w:szCs w:val="20"/>
        </w:rPr>
      </w:pPr>
      <w:r>
        <w:rPr>
          <w:rFonts w:ascii="Book Antiqua" w:hAnsi="Book Antiqua" w:cs="Arial"/>
          <w:sz w:val="20"/>
          <w:szCs w:val="20"/>
        </w:rPr>
        <w:t xml:space="preserve">  </w:t>
      </w:r>
    </w:p>
    <w:p w:rsidR="008428EB" w:rsidRPr="008428EB" w:rsidRDefault="008428EB" w:rsidP="008428EB">
      <w:pPr>
        <w:tabs>
          <w:tab w:val="left" w:pos="480"/>
          <w:tab w:val="left" w:pos="1134"/>
          <w:tab w:val="left" w:pos="1531"/>
          <w:tab w:val="left" w:pos="1985"/>
        </w:tabs>
        <w:ind w:left="1985" w:hanging="1418"/>
        <w:jc w:val="both"/>
        <w:rPr>
          <w:rFonts w:ascii="Book Antiqua" w:hAnsi="Book Antiqua" w:cs="Arial"/>
          <w:i/>
        </w:rPr>
      </w:pPr>
      <w:r w:rsidRPr="00371D5E">
        <w:rPr>
          <w:rFonts w:ascii="Book Antiqua" w:hAnsi="Book Antiqua" w:cs="Arial"/>
          <w:sz w:val="20"/>
          <w:szCs w:val="20"/>
        </w:rPr>
        <w:lastRenderedPageBreak/>
        <w:tab/>
      </w:r>
      <w:r w:rsidRPr="008428EB">
        <w:rPr>
          <w:rFonts w:ascii="Book Antiqua" w:hAnsi="Book Antiqua" w:cs="Arial"/>
          <w:i/>
        </w:rPr>
        <w:t>339A.</w:t>
      </w:r>
      <w:r w:rsidRPr="008428EB">
        <w:rPr>
          <w:rFonts w:ascii="Book Antiqua" w:hAnsi="Book Antiqua" w:cs="Arial"/>
          <w:i/>
        </w:rPr>
        <w:tab/>
        <w:t>A person’s grant of asylum under paragraph 334 will be revoked or not renewed if the Secretary of State is satisfied that:</w:t>
      </w:r>
    </w:p>
    <w:p w:rsidR="008428EB" w:rsidRPr="008428EB" w:rsidRDefault="008428EB" w:rsidP="008428EB">
      <w:pPr>
        <w:tabs>
          <w:tab w:val="left" w:pos="480"/>
          <w:tab w:val="left" w:pos="1134"/>
          <w:tab w:val="left" w:pos="1531"/>
          <w:tab w:val="left" w:pos="1985"/>
          <w:tab w:val="left" w:pos="2760"/>
        </w:tabs>
        <w:ind w:left="1985" w:hanging="851"/>
        <w:jc w:val="both"/>
        <w:rPr>
          <w:rFonts w:ascii="Book Antiqua" w:hAnsi="Book Antiqua" w:cs="Arial"/>
          <w:i/>
        </w:rPr>
      </w:pPr>
    </w:p>
    <w:p w:rsidR="008428EB" w:rsidRPr="008428EB" w:rsidRDefault="008428EB" w:rsidP="008428EB">
      <w:pPr>
        <w:tabs>
          <w:tab w:val="left" w:pos="480"/>
          <w:tab w:val="left" w:pos="1134"/>
          <w:tab w:val="left" w:pos="1531"/>
          <w:tab w:val="left" w:pos="1985"/>
          <w:tab w:val="left" w:pos="2760"/>
        </w:tabs>
        <w:ind w:left="1985" w:hanging="851"/>
        <w:jc w:val="both"/>
        <w:rPr>
          <w:rFonts w:ascii="Book Antiqua" w:hAnsi="Book Antiqua" w:cs="Arial"/>
          <w:i/>
        </w:rPr>
      </w:pPr>
      <w:r w:rsidRPr="008428EB">
        <w:rPr>
          <w:rFonts w:ascii="Book Antiqua" w:hAnsi="Book Antiqua" w:cs="Arial"/>
          <w:i/>
        </w:rPr>
        <w:tab/>
      </w:r>
      <w:r w:rsidRPr="008428EB">
        <w:rPr>
          <w:rFonts w:ascii="Book Antiqua" w:hAnsi="Book Antiqua" w:cs="Arial"/>
          <w:i/>
        </w:rPr>
        <w:tab/>
        <w:t>…</w:t>
      </w:r>
    </w:p>
    <w:p w:rsidR="008428EB" w:rsidRPr="008428EB" w:rsidRDefault="008428EB" w:rsidP="008428EB">
      <w:pPr>
        <w:tabs>
          <w:tab w:val="left" w:pos="480"/>
          <w:tab w:val="left" w:pos="1134"/>
          <w:tab w:val="left" w:pos="1531"/>
          <w:tab w:val="left" w:pos="1985"/>
          <w:tab w:val="left" w:pos="2760"/>
        </w:tabs>
        <w:ind w:left="1985" w:hanging="851"/>
        <w:jc w:val="both"/>
        <w:rPr>
          <w:rFonts w:ascii="Book Antiqua" w:hAnsi="Book Antiqua" w:cs="Arial"/>
          <w:i/>
        </w:rPr>
      </w:pPr>
    </w:p>
    <w:p w:rsidR="008428EB" w:rsidRPr="008428EB" w:rsidRDefault="008428EB" w:rsidP="008428EB">
      <w:pPr>
        <w:tabs>
          <w:tab w:val="left" w:pos="480"/>
          <w:tab w:val="left" w:pos="1134"/>
          <w:tab w:val="left" w:pos="1531"/>
          <w:tab w:val="left" w:pos="1985"/>
          <w:tab w:val="left" w:pos="2760"/>
        </w:tabs>
        <w:ind w:left="2760" w:hanging="1626"/>
        <w:jc w:val="both"/>
        <w:rPr>
          <w:rFonts w:ascii="Book Antiqua" w:hAnsi="Book Antiqua" w:cs="Arial"/>
          <w:i/>
        </w:rPr>
      </w:pPr>
      <w:r w:rsidRPr="008428EB">
        <w:rPr>
          <w:rFonts w:ascii="Book Antiqua" w:hAnsi="Book Antiqua" w:cs="Arial"/>
          <w:i/>
        </w:rPr>
        <w:tab/>
      </w:r>
      <w:r w:rsidRPr="008428EB">
        <w:rPr>
          <w:rFonts w:ascii="Book Antiqua" w:hAnsi="Book Antiqua" w:cs="Arial"/>
          <w:i/>
        </w:rPr>
        <w:tab/>
        <w:t>(v)</w:t>
      </w:r>
      <w:r w:rsidRPr="008428EB">
        <w:rPr>
          <w:rFonts w:ascii="Book Antiqua" w:hAnsi="Book Antiqua" w:cs="Arial"/>
          <w:i/>
        </w:rPr>
        <w:tab/>
        <w:t xml:space="preserve">he can no longer, because the circumstances </w:t>
      </w:r>
      <w:proofErr w:type="gramStart"/>
      <w:r w:rsidRPr="008428EB">
        <w:rPr>
          <w:rFonts w:ascii="Book Antiqua" w:hAnsi="Book Antiqua" w:cs="Arial"/>
          <w:i/>
        </w:rPr>
        <w:t>in connection with</w:t>
      </w:r>
      <w:proofErr w:type="gramEnd"/>
      <w:r w:rsidRPr="008428EB">
        <w:rPr>
          <w:rFonts w:ascii="Book Antiqua" w:hAnsi="Book Antiqua" w:cs="Arial"/>
          <w:i/>
        </w:rPr>
        <w:t xml:space="preserve"> which he has been </w:t>
      </w:r>
      <w:proofErr w:type="spellStart"/>
      <w:r w:rsidRPr="008428EB">
        <w:rPr>
          <w:rFonts w:ascii="Book Antiqua" w:hAnsi="Book Antiqua" w:cs="Arial"/>
          <w:i/>
        </w:rPr>
        <w:t>recognised</w:t>
      </w:r>
      <w:proofErr w:type="spellEnd"/>
      <w:r w:rsidRPr="008428EB">
        <w:rPr>
          <w:rFonts w:ascii="Book Antiqua" w:hAnsi="Book Antiqua" w:cs="Arial"/>
          <w:i/>
        </w:rPr>
        <w:t xml:space="preserve"> as a refugee have ceased to exist, continue to refuse to avail himself of the protection of the country of nationality;</w:t>
      </w:r>
    </w:p>
    <w:p w:rsidR="008428EB" w:rsidRPr="008428EB" w:rsidRDefault="008428EB" w:rsidP="008428EB">
      <w:pPr>
        <w:tabs>
          <w:tab w:val="left" w:pos="480"/>
          <w:tab w:val="left" w:pos="1134"/>
          <w:tab w:val="left" w:pos="1531"/>
          <w:tab w:val="left" w:pos="1985"/>
          <w:tab w:val="left" w:pos="2760"/>
        </w:tabs>
        <w:ind w:left="1985" w:hanging="851"/>
        <w:jc w:val="both"/>
        <w:rPr>
          <w:rFonts w:ascii="Book Antiqua" w:hAnsi="Book Antiqua" w:cs="Arial"/>
          <w:i/>
        </w:rPr>
      </w:pPr>
    </w:p>
    <w:p w:rsidR="008428EB" w:rsidRPr="008428EB" w:rsidRDefault="008428EB" w:rsidP="008428EB">
      <w:pPr>
        <w:tabs>
          <w:tab w:val="left" w:pos="480"/>
          <w:tab w:val="left" w:pos="1134"/>
          <w:tab w:val="left" w:pos="1531"/>
          <w:tab w:val="left" w:pos="1985"/>
          <w:tab w:val="left" w:pos="2760"/>
        </w:tabs>
        <w:ind w:left="1985" w:hanging="851"/>
        <w:jc w:val="both"/>
        <w:rPr>
          <w:rFonts w:ascii="Book Antiqua" w:hAnsi="Book Antiqua" w:cs="Arial"/>
          <w:i/>
        </w:rPr>
      </w:pPr>
      <w:r w:rsidRPr="008428EB">
        <w:rPr>
          <w:rFonts w:ascii="Book Antiqua" w:hAnsi="Book Antiqua" w:cs="Arial"/>
          <w:i/>
        </w:rPr>
        <w:tab/>
      </w:r>
      <w:r w:rsidRPr="008428EB">
        <w:rPr>
          <w:rFonts w:ascii="Book Antiqua" w:hAnsi="Book Antiqua" w:cs="Arial"/>
          <w:i/>
        </w:rPr>
        <w:tab/>
        <w:t>…</w:t>
      </w:r>
    </w:p>
    <w:p w:rsidR="008428EB" w:rsidRPr="008428EB" w:rsidRDefault="008428EB" w:rsidP="008428EB">
      <w:pPr>
        <w:tabs>
          <w:tab w:val="left" w:pos="480"/>
          <w:tab w:val="left" w:pos="1134"/>
          <w:tab w:val="left" w:pos="1531"/>
          <w:tab w:val="left" w:pos="1985"/>
          <w:tab w:val="left" w:pos="2760"/>
        </w:tabs>
        <w:ind w:left="1985" w:hanging="851"/>
        <w:jc w:val="both"/>
        <w:rPr>
          <w:rFonts w:ascii="Book Antiqua" w:hAnsi="Book Antiqua" w:cs="Arial"/>
          <w:i/>
        </w:rPr>
      </w:pPr>
    </w:p>
    <w:p w:rsidR="008428EB" w:rsidRPr="008428EB" w:rsidRDefault="008428EB" w:rsidP="008428EB">
      <w:pPr>
        <w:tabs>
          <w:tab w:val="left" w:pos="480"/>
          <w:tab w:val="left" w:pos="1134"/>
          <w:tab w:val="left" w:pos="1531"/>
          <w:tab w:val="left" w:pos="1985"/>
          <w:tab w:val="left" w:pos="2760"/>
        </w:tabs>
        <w:ind w:left="2760" w:hanging="1626"/>
        <w:jc w:val="both"/>
        <w:rPr>
          <w:rFonts w:ascii="Book Antiqua" w:hAnsi="Book Antiqua" w:cs="Arial"/>
          <w:i/>
        </w:rPr>
      </w:pPr>
      <w:r w:rsidRPr="008428EB">
        <w:rPr>
          <w:rFonts w:ascii="Book Antiqua" w:hAnsi="Book Antiqua" w:cs="Arial"/>
          <w:i/>
        </w:rPr>
        <w:tab/>
      </w:r>
      <w:r w:rsidRPr="008428EB">
        <w:rPr>
          <w:rFonts w:ascii="Book Antiqua" w:hAnsi="Book Antiqua" w:cs="Arial"/>
          <w:i/>
        </w:rPr>
        <w:tab/>
        <w:t>(ix)</w:t>
      </w:r>
      <w:r w:rsidRPr="008428EB">
        <w:rPr>
          <w:rFonts w:ascii="Book Antiqua" w:hAnsi="Book Antiqua" w:cs="Arial"/>
          <w:i/>
        </w:rPr>
        <w:tab/>
        <w:t>there are reasonable grounds for regarding him as a danger to the security of the United Kingdom; or</w:t>
      </w:r>
    </w:p>
    <w:p w:rsidR="008428EB" w:rsidRPr="008428EB" w:rsidRDefault="008428EB" w:rsidP="008428EB">
      <w:pPr>
        <w:tabs>
          <w:tab w:val="left" w:pos="480"/>
          <w:tab w:val="left" w:pos="1134"/>
          <w:tab w:val="left" w:pos="1531"/>
          <w:tab w:val="left" w:pos="1985"/>
          <w:tab w:val="left" w:pos="2760"/>
        </w:tabs>
        <w:ind w:left="1985" w:hanging="851"/>
        <w:jc w:val="both"/>
        <w:rPr>
          <w:rFonts w:ascii="Book Antiqua" w:hAnsi="Book Antiqua" w:cs="Arial"/>
          <w:i/>
        </w:rPr>
      </w:pPr>
    </w:p>
    <w:p w:rsidR="008428EB" w:rsidRPr="008428EB" w:rsidRDefault="008428EB" w:rsidP="008428EB">
      <w:pPr>
        <w:tabs>
          <w:tab w:val="left" w:pos="480"/>
          <w:tab w:val="left" w:pos="1134"/>
          <w:tab w:val="left" w:pos="1531"/>
          <w:tab w:val="left" w:pos="1985"/>
          <w:tab w:val="left" w:pos="2760"/>
        </w:tabs>
        <w:ind w:left="1985" w:hanging="851"/>
        <w:jc w:val="both"/>
        <w:rPr>
          <w:rFonts w:ascii="Book Antiqua" w:hAnsi="Book Antiqua" w:cs="Arial"/>
          <w:i/>
        </w:rPr>
      </w:pPr>
      <w:r w:rsidRPr="008428EB">
        <w:rPr>
          <w:rFonts w:ascii="Book Antiqua" w:hAnsi="Book Antiqua" w:cs="Arial"/>
          <w:i/>
        </w:rPr>
        <w:tab/>
      </w:r>
      <w:r w:rsidRPr="008428EB">
        <w:rPr>
          <w:rFonts w:ascii="Book Antiqua" w:hAnsi="Book Antiqua" w:cs="Arial"/>
          <w:i/>
        </w:rPr>
        <w:tab/>
        <w:t>…</w:t>
      </w:r>
    </w:p>
    <w:p w:rsidR="008428EB" w:rsidRPr="008428EB" w:rsidRDefault="008428EB" w:rsidP="008428EB">
      <w:pPr>
        <w:tabs>
          <w:tab w:val="left" w:pos="480"/>
          <w:tab w:val="left" w:pos="1134"/>
          <w:tab w:val="left" w:pos="1531"/>
          <w:tab w:val="left" w:pos="1985"/>
          <w:tab w:val="left" w:pos="2760"/>
        </w:tabs>
        <w:ind w:left="1985" w:hanging="851"/>
        <w:jc w:val="both"/>
        <w:rPr>
          <w:rFonts w:ascii="Book Antiqua" w:hAnsi="Book Antiqua" w:cs="Arial"/>
          <w:i/>
        </w:rPr>
      </w:pPr>
    </w:p>
    <w:p w:rsidR="008428EB" w:rsidRPr="008428EB" w:rsidRDefault="008428EB" w:rsidP="008428EB">
      <w:pPr>
        <w:tabs>
          <w:tab w:val="left" w:pos="480"/>
          <w:tab w:val="left" w:pos="1134"/>
          <w:tab w:val="left" w:pos="1531"/>
          <w:tab w:val="left" w:pos="1985"/>
          <w:tab w:val="left" w:pos="2760"/>
        </w:tabs>
        <w:ind w:left="2760" w:hanging="1626"/>
        <w:jc w:val="both"/>
        <w:rPr>
          <w:rFonts w:ascii="Book Antiqua" w:hAnsi="Book Antiqua" w:cs="Arial"/>
          <w:i/>
        </w:rPr>
      </w:pPr>
      <w:r w:rsidRPr="008428EB">
        <w:rPr>
          <w:rFonts w:ascii="Book Antiqua" w:hAnsi="Book Antiqua" w:cs="Arial"/>
          <w:i/>
        </w:rPr>
        <w:tab/>
      </w:r>
      <w:r w:rsidRPr="008428EB">
        <w:rPr>
          <w:rFonts w:ascii="Book Antiqua" w:hAnsi="Book Antiqua" w:cs="Arial"/>
          <w:i/>
        </w:rPr>
        <w:tab/>
        <w:t>(x)</w:t>
      </w:r>
      <w:r w:rsidRPr="008428EB">
        <w:rPr>
          <w:rFonts w:ascii="Book Antiqua" w:hAnsi="Book Antiqua" w:cs="Arial"/>
          <w:i/>
        </w:rPr>
        <w:tab/>
        <w:t>having been convicted by a final judgment of a particularly serious crime he constitutes a danger to the community of the United Kingdom.</w:t>
      </w:r>
    </w:p>
    <w:p w:rsidR="008428EB" w:rsidRPr="008428EB" w:rsidRDefault="008428EB" w:rsidP="008428EB">
      <w:pPr>
        <w:tabs>
          <w:tab w:val="left" w:pos="480"/>
          <w:tab w:val="left" w:pos="1134"/>
          <w:tab w:val="left" w:pos="1531"/>
          <w:tab w:val="left" w:pos="1985"/>
          <w:tab w:val="left" w:pos="2760"/>
        </w:tabs>
        <w:ind w:left="1985" w:hanging="851"/>
        <w:jc w:val="both"/>
        <w:rPr>
          <w:rFonts w:ascii="Book Antiqua" w:hAnsi="Book Antiqua" w:cs="Arial"/>
          <w:i/>
        </w:rPr>
      </w:pPr>
    </w:p>
    <w:p w:rsidR="008428EB" w:rsidRPr="008428EB" w:rsidRDefault="008428EB" w:rsidP="008428EB">
      <w:pPr>
        <w:tabs>
          <w:tab w:val="left" w:pos="480"/>
          <w:tab w:val="left" w:pos="1134"/>
          <w:tab w:val="left" w:pos="1531"/>
          <w:tab w:val="left" w:pos="1985"/>
        </w:tabs>
        <w:ind w:left="1985" w:hanging="1418"/>
        <w:jc w:val="both"/>
        <w:rPr>
          <w:rFonts w:ascii="Book Antiqua" w:hAnsi="Book Antiqua" w:cs="Arial"/>
          <w:i/>
        </w:rPr>
      </w:pPr>
      <w:r w:rsidRPr="008428EB">
        <w:rPr>
          <w:rFonts w:ascii="Book Antiqua" w:hAnsi="Book Antiqua" w:cs="Arial"/>
          <w:i/>
        </w:rPr>
        <w:tab/>
      </w:r>
      <w:r w:rsidRPr="008428EB">
        <w:rPr>
          <w:rFonts w:ascii="Book Antiqua" w:hAnsi="Book Antiqua" w:cs="Arial"/>
          <w:i/>
        </w:rPr>
        <w:tab/>
      </w:r>
      <w:r w:rsidRPr="008428EB">
        <w:rPr>
          <w:rFonts w:ascii="Book Antiqua" w:hAnsi="Book Antiqua" w:cs="Arial"/>
          <w:i/>
        </w:rPr>
        <w:tab/>
        <w:t xml:space="preserve">In considering (v) and (vi), the Secretary of State shall have regard to whether the change of circumstances is of such significant and non-temporary nature that the refugee's fear of persecution can no longer be regarded as well-founded. </w:t>
      </w:r>
    </w:p>
    <w:p w:rsidR="008428EB" w:rsidRPr="008428EB" w:rsidRDefault="008428EB" w:rsidP="008428EB">
      <w:pPr>
        <w:tabs>
          <w:tab w:val="left" w:pos="480"/>
          <w:tab w:val="left" w:pos="1134"/>
          <w:tab w:val="left" w:pos="1531"/>
          <w:tab w:val="left" w:pos="1985"/>
        </w:tabs>
        <w:ind w:left="1985" w:hanging="1418"/>
        <w:jc w:val="both"/>
        <w:rPr>
          <w:rFonts w:ascii="Book Antiqua" w:hAnsi="Book Antiqua" w:cs="Arial"/>
          <w:i/>
        </w:rPr>
      </w:pPr>
    </w:p>
    <w:p w:rsidR="008428EB" w:rsidRDefault="008428EB" w:rsidP="008428EB">
      <w:pPr>
        <w:tabs>
          <w:tab w:val="left" w:pos="480"/>
          <w:tab w:val="left" w:pos="1134"/>
          <w:tab w:val="left" w:pos="1531"/>
          <w:tab w:val="left" w:pos="1985"/>
        </w:tabs>
        <w:ind w:left="1985" w:hanging="1418"/>
        <w:jc w:val="both"/>
        <w:rPr>
          <w:rFonts w:ascii="Book Antiqua" w:hAnsi="Book Antiqua" w:cs="Arial"/>
          <w:i/>
        </w:rPr>
      </w:pPr>
      <w:r w:rsidRPr="008428EB">
        <w:rPr>
          <w:rFonts w:ascii="Book Antiqua" w:hAnsi="Book Antiqua" w:cs="Arial"/>
          <w:i/>
        </w:rPr>
        <w:tab/>
      </w:r>
      <w:r w:rsidRPr="008428EB">
        <w:rPr>
          <w:rFonts w:ascii="Book Antiqua" w:hAnsi="Book Antiqua" w:cs="Arial"/>
          <w:i/>
        </w:rPr>
        <w:tab/>
      </w:r>
      <w:r w:rsidRPr="008428EB">
        <w:rPr>
          <w:rFonts w:ascii="Book Antiqua" w:hAnsi="Book Antiqua" w:cs="Arial"/>
          <w:i/>
        </w:rPr>
        <w:tab/>
        <w:t>Where an application for asylum was made on or after 21 October 2004, the    Secretary of State will revoke or refuse to renew a person's grant of asylum where he is satisfied that at least one of the provisions i</w:t>
      </w:r>
      <w:r w:rsidR="008060A4">
        <w:rPr>
          <w:rFonts w:ascii="Book Antiqua" w:hAnsi="Book Antiqua" w:cs="Arial"/>
          <w:i/>
        </w:rPr>
        <w:t>n sub-paragraph (</w:t>
      </w:r>
      <w:proofErr w:type="spellStart"/>
      <w:r w:rsidR="008060A4">
        <w:rPr>
          <w:rFonts w:ascii="Book Antiqua" w:hAnsi="Book Antiqua" w:cs="Arial"/>
          <w:i/>
        </w:rPr>
        <w:t>i</w:t>
      </w:r>
      <w:proofErr w:type="spellEnd"/>
      <w:r w:rsidR="008060A4">
        <w:rPr>
          <w:rFonts w:ascii="Book Antiqua" w:hAnsi="Book Antiqua" w:cs="Arial"/>
          <w:i/>
        </w:rPr>
        <w:t>)-(vi) apply.</w:t>
      </w:r>
    </w:p>
    <w:p w:rsidR="008060A4" w:rsidRPr="008428EB" w:rsidRDefault="008060A4" w:rsidP="008428EB">
      <w:pPr>
        <w:tabs>
          <w:tab w:val="left" w:pos="480"/>
          <w:tab w:val="left" w:pos="1134"/>
          <w:tab w:val="left" w:pos="1531"/>
          <w:tab w:val="left" w:pos="1985"/>
        </w:tabs>
        <w:ind w:left="1985" w:hanging="1418"/>
        <w:jc w:val="both"/>
        <w:rPr>
          <w:rFonts w:ascii="Book Antiqua" w:hAnsi="Book Antiqua"/>
          <w:bCs/>
          <w:lang w:val="en-GB"/>
        </w:rPr>
      </w:pPr>
    </w:p>
    <w:p w:rsidR="008060A4" w:rsidRDefault="008060A4" w:rsidP="008060A4">
      <w:pPr>
        <w:pStyle w:val="ListParagraph"/>
        <w:numPr>
          <w:ilvl w:val="0"/>
          <w:numId w:val="1"/>
        </w:numPr>
        <w:tabs>
          <w:tab w:val="left" w:pos="480"/>
          <w:tab w:val="left" w:pos="1134"/>
          <w:tab w:val="left" w:pos="1531"/>
          <w:tab w:val="left" w:pos="1985"/>
        </w:tabs>
        <w:jc w:val="both"/>
        <w:rPr>
          <w:rFonts w:ascii="Book Antiqua" w:hAnsi="Book Antiqua" w:cs="Arial"/>
          <w:sz w:val="20"/>
          <w:szCs w:val="20"/>
        </w:rPr>
      </w:pPr>
      <w:r>
        <w:rPr>
          <w:rFonts w:ascii="Book Antiqua" w:hAnsi="Book Antiqua"/>
          <w:bCs/>
          <w:lang w:val="en-GB"/>
        </w:rPr>
        <w:t xml:space="preserve"> </w:t>
      </w:r>
      <w:r>
        <w:rPr>
          <w:rFonts w:ascii="Book Antiqua" w:hAnsi="Book Antiqua"/>
          <w:bCs/>
          <w:lang w:val="en-GB"/>
        </w:rPr>
        <w:tab/>
        <w:t>The Qualification Directive (on cessation) states:</w:t>
      </w:r>
      <w:r w:rsidRPr="008060A4">
        <w:rPr>
          <w:rFonts w:ascii="Book Antiqua" w:hAnsi="Book Antiqua" w:cs="Arial"/>
          <w:sz w:val="20"/>
          <w:szCs w:val="20"/>
        </w:rPr>
        <w:t xml:space="preserve"> </w:t>
      </w:r>
    </w:p>
    <w:p w:rsidR="008060A4" w:rsidRDefault="008060A4" w:rsidP="008060A4">
      <w:pPr>
        <w:pStyle w:val="ListParagraph"/>
        <w:tabs>
          <w:tab w:val="left" w:pos="480"/>
          <w:tab w:val="left" w:pos="1134"/>
          <w:tab w:val="left" w:pos="1531"/>
          <w:tab w:val="left" w:pos="1985"/>
        </w:tabs>
        <w:ind w:left="0"/>
        <w:jc w:val="both"/>
        <w:rPr>
          <w:rFonts w:ascii="Book Antiqua" w:hAnsi="Book Antiqua" w:cs="Arial"/>
          <w:sz w:val="20"/>
          <w:szCs w:val="20"/>
        </w:rPr>
      </w:pPr>
    </w:p>
    <w:p w:rsidR="008060A4" w:rsidRPr="008060A4" w:rsidRDefault="008060A4" w:rsidP="008060A4">
      <w:pPr>
        <w:pStyle w:val="ListParagraph"/>
        <w:tabs>
          <w:tab w:val="left" w:pos="480"/>
          <w:tab w:val="left" w:pos="1134"/>
          <w:tab w:val="left" w:pos="1531"/>
          <w:tab w:val="left" w:pos="1985"/>
        </w:tabs>
        <w:ind w:left="0"/>
        <w:jc w:val="both"/>
        <w:rPr>
          <w:rFonts w:ascii="Book Antiqua" w:hAnsi="Book Antiqua" w:cs="Arial"/>
          <w:i/>
        </w:rPr>
      </w:pPr>
      <w:r>
        <w:rPr>
          <w:rFonts w:ascii="Book Antiqua" w:hAnsi="Book Antiqua" w:cs="Arial"/>
          <w:sz w:val="20"/>
          <w:szCs w:val="20"/>
        </w:rPr>
        <w:t xml:space="preserve"> </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sidRPr="008060A4">
        <w:rPr>
          <w:rFonts w:ascii="Book Antiqua" w:hAnsi="Book Antiqua" w:cs="Arial"/>
          <w:i/>
        </w:rPr>
        <w:t xml:space="preserve">Article 11 </w:t>
      </w:r>
    </w:p>
    <w:p w:rsidR="008060A4" w:rsidRPr="008060A4" w:rsidRDefault="008060A4" w:rsidP="008060A4">
      <w:pPr>
        <w:pStyle w:val="ListParagraph"/>
        <w:tabs>
          <w:tab w:val="left" w:pos="480"/>
          <w:tab w:val="left" w:pos="1134"/>
          <w:tab w:val="left" w:pos="1531"/>
          <w:tab w:val="left" w:pos="1985"/>
        </w:tabs>
        <w:ind w:left="1985" w:hanging="1985"/>
        <w:jc w:val="both"/>
        <w:rPr>
          <w:rFonts w:ascii="Book Antiqua" w:hAnsi="Book Antiqua" w:cs="Arial"/>
          <w:i/>
        </w:rPr>
      </w:pPr>
      <w:r w:rsidRPr="008060A4">
        <w:rPr>
          <w:rFonts w:ascii="Book Antiqua" w:hAnsi="Book Antiqua" w:cs="Arial"/>
          <w:i/>
        </w:rPr>
        <w:tab/>
      </w:r>
      <w:r w:rsidRPr="008060A4">
        <w:rPr>
          <w:rFonts w:ascii="Book Antiqua" w:hAnsi="Book Antiqua" w:cs="Arial"/>
          <w:i/>
        </w:rPr>
        <w:tab/>
      </w:r>
      <w:r w:rsidRPr="008060A4">
        <w:rPr>
          <w:rFonts w:ascii="Book Antiqua" w:hAnsi="Book Antiqua" w:cs="Arial"/>
          <w:i/>
        </w:rPr>
        <w:tab/>
      </w:r>
      <w:r w:rsidRPr="008060A4">
        <w:rPr>
          <w:rFonts w:ascii="Book Antiqua" w:hAnsi="Book Antiqua" w:cs="Arial"/>
          <w:i/>
        </w:rPr>
        <w:tab/>
        <w:t>1.</w:t>
      </w:r>
      <w:r>
        <w:rPr>
          <w:rFonts w:ascii="Book Antiqua" w:hAnsi="Book Antiqua" w:cs="Arial"/>
          <w:i/>
        </w:rPr>
        <w:t xml:space="preserve"> </w:t>
      </w:r>
      <w:r w:rsidRPr="008060A4">
        <w:rPr>
          <w:rFonts w:ascii="Book Antiqua" w:hAnsi="Book Antiqua" w:cs="Arial"/>
          <w:i/>
        </w:rPr>
        <w:t>A third country national or a stateless person shall cease to be a refugee, if he or she:</w:t>
      </w:r>
    </w:p>
    <w:p w:rsidR="008060A4" w:rsidRPr="008060A4" w:rsidRDefault="008060A4" w:rsidP="008060A4">
      <w:pPr>
        <w:pStyle w:val="ListParagraph"/>
        <w:tabs>
          <w:tab w:val="left" w:pos="480"/>
          <w:tab w:val="left" w:pos="1134"/>
          <w:tab w:val="left" w:pos="1531"/>
          <w:tab w:val="left" w:pos="1985"/>
        </w:tabs>
        <w:ind w:left="1985" w:hanging="480"/>
        <w:jc w:val="both"/>
        <w:rPr>
          <w:rFonts w:ascii="Book Antiqua" w:hAnsi="Book Antiqua" w:cs="Arial"/>
          <w:i/>
        </w:rPr>
      </w:pPr>
      <w:r w:rsidRPr="008060A4">
        <w:rPr>
          <w:rFonts w:ascii="Book Antiqua" w:hAnsi="Book Antiqua" w:cs="Arial"/>
          <w:i/>
        </w:rPr>
        <w:tab/>
      </w:r>
      <w:r w:rsidRPr="008060A4">
        <w:rPr>
          <w:rFonts w:ascii="Book Antiqua" w:hAnsi="Book Antiqua" w:cs="Arial"/>
          <w:i/>
        </w:rPr>
        <w:tab/>
        <w:t xml:space="preserve">(e) can no longer, because the circumstances </w:t>
      </w:r>
      <w:proofErr w:type="gramStart"/>
      <w:r w:rsidRPr="008060A4">
        <w:rPr>
          <w:rFonts w:ascii="Book Antiqua" w:hAnsi="Book Antiqua" w:cs="Arial"/>
          <w:i/>
        </w:rPr>
        <w:t>in connection with</w:t>
      </w:r>
      <w:proofErr w:type="gramEnd"/>
      <w:r w:rsidRPr="008060A4">
        <w:rPr>
          <w:rFonts w:ascii="Book Antiqua" w:hAnsi="Book Antiqua" w:cs="Arial"/>
          <w:i/>
        </w:rPr>
        <w:t xml:space="preserve"> which he or she has been </w:t>
      </w:r>
      <w:proofErr w:type="spellStart"/>
      <w:r w:rsidRPr="008060A4">
        <w:rPr>
          <w:rFonts w:ascii="Book Antiqua" w:hAnsi="Book Antiqua" w:cs="Arial"/>
          <w:i/>
        </w:rPr>
        <w:t>recognised</w:t>
      </w:r>
      <w:proofErr w:type="spellEnd"/>
      <w:r w:rsidRPr="008060A4">
        <w:rPr>
          <w:rFonts w:ascii="Book Antiqua" w:hAnsi="Book Antiqua" w:cs="Arial"/>
          <w:i/>
        </w:rPr>
        <w:t xml:space="preserve"> as a refugee have ceased to exist, continue to refuse to avail himself or herself of the protection of the country of nationality;</w:t>
      </w:r>
    </w:p>
    <w:p w:rsidR="008060A4" w:rsidRPr="008060A4" w:rsidRDefault="008060A4" w:rsidP="008060A4">
      <w:pPr>
        <w:pStyle w:val="ListParagraph"/>
        <w:tabs>
          <w:tab w:val="left" w:pos="480"/>
          <w:tab w:val="left" w:pos="1134"/>
          <w:tab w:val="left" w:pos="1531"/>
          <w:tab w:val="left" w:pos="1985"/>
        </w:tabs>
        <w:ind w:left="0"/>
        <w:jc w:val="both"/>
        <w:rPr>
          <w:rFonts w:ascii="Book Antiqua" w:hAnsi="Book Antiqua" w:cs="Arial"/>
          <w:i/>
        </w:rPr>
      </w:pPr>
    </w:p>
    <w:p w:rsidR="008428EB" w:rsidRPr="008060A4" w:rsidRDefault="008060A4" w:rsidP="008060A4">
      <w:pPr>
        <w:ind w:left="1980"/>
        <w:jc w:val="both"/>
        <w:rPr>
          <w:rFonts w:ascii="Book Antiqua" w:hAnsi="Book Antiqua"/>
          <w:bCs/>
          <w:i/>
          <w:lang w:val="en-GB"/>
        </w:rPr>
      </w:pPr>
      <w:r w:rsidRPr="008060A4">
        <w:rPr>
          <w:rFonts w:ascii="Book Antiqua" w:hAnsi="Book Antiqua" w:cs="Arial"/>
          <w:i/>
        </w:rPr>
        <w:t>2.</w:t>
      </w:r>
      <w:r>
        <w:rPr>
          <w:rFonts w:ascii="Book Antiqua" w:hAnsi="Book Antiqua" w:cs="Arial"/>
          <w:i/>
        </w:rPr>
        <w:t xml:space="preserve"> </w:t>
      </w:r>
      <w:r w:rsidRPr="008060A4">
        <w:rPr>
          <w:rFonts w:ascii="Book Antiqua" w:hAnsi="Book Antiqua" w:cs="Arial"/>
          <w:i/>
        </w:rPr>
        <w:t xml:space="preserve">In considering points (e) and (f) of paragraph 1, Member States shall have regard to whether the change of circumstances is of such a </w:t>
      </w:r>
      <w:r w:rsidRPr="008060A4">
        <w:rPr>
          <w:rFonts w:ascii="Book Antiqua" w:hAnsi="Book Antiqua" w:cs="Arial"/>
          <w:i/>
        </w:rPr>
        <w:lastRenderedPageBreak/>
        <w:t>significant and non-temporary nature that the refugee’s fear of persecution can no longer be regarded as well-founded.</w:t>
      </w:r>
    </w:p>
    <w:p w:rsidR="008060A4" w:rsidRPr="008060A4" w:rsidRDefault="008060A4" w:rsidP="008060A4">
      <w:pPr>
        <w:ind w:left="720"/>
        <w:jc w:val="both"/>
        <w:rPr>
          <w:rFonts w:ascii="Book Antiqua" w:hAnsi="Book Antiqua"/>
          <w:bCs/>
          <w:i/>
          <w:lang w:val="en-GB"/>
        </w:rPr>
      </w:pPr>
    </w:p>
    <w:p w:rsidR="008060A4" w:rsidRPr="008060A4" w:rsidRDefault="008060A4" w:rsidP="00D27DD3">
      <w:pPr>
        <w:numPr>
          <w:ilvl w:val="0"/>
          <w:numId w:val="1"/>
        </w:numPr>
        <w:ind w:left="720" w:hanging="720"/>
        <w:jc w:val="both"/>
        <w:rPr>
          <w:rFonts w:ascii="Book Antiqua" w:hAnsi="Book Antiqua"/>
          <w:bCs/>
          <w:lang w:val="en-GB"/>
        </w:rPr>
      </w:pPr>
      <w:r>
        <w:rPr>
          <w:rFonts w:ascii="Book Antiqua" w:hAnsi="Book Antiqua"/>
          <w:lang w:val="en-GB"/>
        </w:rPr>
        <w:t xml:space="preserve"> </w:t>
      </w:r>
      <w:r>
        <w:rPr>
          <w:rFonts w:ascii="Book Antiqua" w:hAnsi="Book Antiqua"/>
          <w:lang w:val="en-GB"/>
        </w:rPr>
        <w:tab/>
        <w:t xml:space="preserve">The appellant’s appeal before Judge Malone was heard and determined in August and September 2010 respectively. At that time, as the judge found, the evidence pointed to great hostility between the </w:t>
      </w:r>
      <w:proofErr w:type="spellStart"/>
      <w:r>
        <w:rPr>
          <w:rFonts w:ascii="Book Antiqua" w:hAnsi="Book Antiqua"/>
          <w:lang w:val="en-GB"/>
        </w:rPr>
        <w:t>Hizb-i-</w:t>
      </w:r>
      <w:r w:rsidR="0084131B">
        <w:rPr>
          <w:rFonts w:ascii="Book Antiqua" w:hAnsi="Book Antiqua"/>
          <w:lang w:val="en-GB"/>
        </w:rPr>
        <w:t>I</w:t>
      </w:r>
      <w:r>
        <w:rPr>
          <w:rFonts w:ascii="Book Antiqua" w:hAnsi="Book Antiqua"/>
          <w:lang w:val="en-GB"/>
        </w:rPr>
        <w:t>slami</w:t>
      </w:r>
      <w:proofErr w:type="spellEnd"/>
      <w:r>
        <w:rPr>
          <w:rFonts w:ascii="Book Antiqua" w:hAnsi="Book Antiqua"/>
          <w:lang w:val="en-GB"/>
        </w:rPr>
        <w:t xml:space="preserve"> and the Afghan government with former commanders frequently being targeted as insurgency began to penetrate Kabul and because they were suspected of supporting the terrorist activities of Mullah </w:t>
      </w:r>
      <w:proofErr w:type="spellStart"/>
      <w:r>
        <w:rPr>
          <w:rFonts w:ascii="Book Antiqua" w:hAnsi="Book Antiqua"/>
          <w:lang w:val="en-GB"/>
        </w:rPr>
        <w:t>Dadullah</w:t>
      </w:r>
      <w:proofErr w:type="spellEnd"/>
      <w:r>
        <w:rPr>
          <w:rFonts w:ascii="Book Antiqua" w:hAnsi="Book Antiqua"/>
          <w:lang w:val="en-GB"/>
        </w:rPr>
        <w:t xml:space="preserve"> (examples for 2005 and 2007 are cited). The mullah died in 2007.  </w:t>
      </w:r>
      <w:r w:rsidR="00AF49DE">
        <w:rPr>
          <w:rFonts w:ascii="Book Antiqua" w:hAnsi="Book Antiqua"/>
          <w:lang w:val="en-GB"/>
        </w:rPr>
        <w:t xml:space="preserve">The Taliban were also suspected of insurgency at that time. The judge took account of the prevailing country guidance which found that relocation outside Kabul (where the appellant was said to have lived) was not possible. He found that as the appellant feared the authorities, relocation was not an option and that he would be at risk at the airport. </w:t>
      </w:r>
    </w:p>
    <w:p w:rsidR="008060A4" w:rsidRPr="008060A4" w:rsidRDefault="008060A4" w:rsidP="00927450">
      <w:pPr>
        <w:ind w:left="720"/>
        <w:jc w:val="both"/>
        <w:rPr>
          <w:rFonts w:ascii="Book Antiqua" w:hAnsi="Book Antiqua"/>
          <w:bCs/>
          <w:lang w:val="en-GB"/>
        </w:rPr>
      </w:pPr>
    </w:p>
    <w:p w:rsidR="00927450" w:rsidRPr="00927450" w:rsidRDefault="00927450" w:rsidP="00D27DD3">
      <w:pPr>
        <w:numPr>
          <w:ilvl w:val="0"/>
          <w:numId w:val="1"/>
        </w:numPr>
        <w:ind w:left="720" w:hanging="720"/>
        <w:jc w:val="both"/>
        <w:rPr>
          <w:rFonts w:ascii="Book Antiqua" w:hAnsi="Book Antiqua"/>
          <w:bCs/>
          <w:lang w:val="en-GB"/>
        </w:rPr>
      </w:pPr>
      <w:r>
        <w:rPr>
          <w:rFonts w:ascii="Book Antiqua" w:hAnsi="Book Antiqua"/>
          <w:lang w:val="en-GB"/>
        </w:rPr>
        <w:t xml:space="preserve"> </w:t>
      </w:r>
      <w:r>
        <w:rPr>
          <w:rFonts w:ascii="Book Antiqua" w:hAnsi="Book Antiqua"/>
          <w:lang w:val="en-GB"/>
        </w:rPr>
        <w:tab/>
        <w:t>T</w:t>
      </w:r>
      <w:r w:rsidR="0016351F">
        <w:rPr>
          <w:rFonts w:ascii="Book Antiqua" w:hAnsi="Book Antiqua"/>
          <w:lang w:val="en-GB"/>
        </w:rPr>
        <w:t>he respondent</w:t>
      </w:r>
      <w:r>
        <w:rPr>
          <w:rFonts w:ascii="Book Antiqua" w:hAnsi="Book Antiqua"/>
          <w:lang w:val="en-GB"/>
        </w:rPr>
        <w:t>’s claim is</w:t>
      </w:r>
      <w:r w:rsidR="0016351F">
        <w:rPr>
          <w:rFonts w:ascii="Book Antiqua" w:hAnsi="Book Antiqua"/>
          <w:lang w:val="en-GB"/>
        </w:rPr>
        <w:t xml:space="preserve"> that the situation in Afghanistan ha</w:t>
      </w:r>
      <w:r>
        <w:rPr>
          <w:rFonts w:ascii="Book Antiqua" w:hAnsi="Book Antiqua"/>
          <w:lang w:val="en-GB"/>
        </w:rPr>
        <w:t>s</w:t>
      </w:r>
      <w:r w:rsidR="0016351F">
        <w:rPr>
          <w:rFonts w:ascii="Book Antiqua" w:hAnsi="Book Antiqua"/>
          <w:lang w:val="en-GB"/>
        </w:rPr>
        <w:t xml:space="preserve"> significantly altered since the grant of status to the appellant and that due to those changes he would no longer be at risk. </w:t>
      </w:r>
      <w:r>
        <w:rPr>
          <w:rFonts w:ascii="Book Antiqua" w:hAnsi="Book Antiqua"/>
          <w:lang w:val="en-GB"/>
        </w:rPr>
        <w:t xml:space="preserve">Whilst Mr </w:t>
      </w:r>
      <w:proofErr w:type="spellStart"/>
      <w:r>
        <w:rPr>
          <w:rFonts w:ascii="Book Antiqua" w:hAnsi="Book Antiqua"/>
          <w:lang w:val="en-GB"/>
        </w:rPr>
        <w:t>Fripp</w:t>
      </w:r>
      <w:proofErr w:type="spellEnd"/>
      <w:r>
        <w:rPr>
          <w:rFonts w:ascii="Book Antiqua" w:hAnsi="Book Antiqua"/>
          <w:lang w:val="en-GB"/>
        </w:rPr>
        <w:t xml:space="preserve"> made lengthy submissions criticizing the test applied by the respondent, it is not correct to say that the respondent did not have regard to the requirement</w:t>
      </w:r>
      <w:r w:rsidR="0084131B">
        <w:rPr>
          <w:rFonts w:ascii="Book Antiqua" w:hAnsi="Book Antiqua"/>
          <w:lang w:val="en-GB"/>
        </w:rPr>
        <w:t xml:space="preserve"> that </w:t>
      </w:r>
      <w:r>
        <w:rPr>
          <w:rFonts w:ascii="Book Antiqua" w:hAnsi="Book Antiqua"/>
          <w:lang w:val="en-GB"/>
        </w:rPr>
        <w:t>changes ha</w:t>
      </w:r>
      <w:r w:rsidR="0084131B">
        <w:rPr>
          <w:rFonts w:ascii="Book Antiqua" w:hAnsi="Book Antiqua"/>
          <w:lang w:val="en-GB"/>
        </w:rPr>
        <w:t>d</w:t>
      </w:r>
      <w:r>
        <w:rPr>
          <w:rFonts w:ascii="Book Antiqua" w:hAnsi="Book Antiqua"/>
          <w:lang w:val="en-GB"/>
        </w:rPr>
        <w:t xml:space="preserve"> to be significant and non-temporary. Both </w:t>
      </w:r>
      <w:r w:rsidR="0084131B">
        <w:rPr>
          <w:rFonts w:ascii="Book Antiqua" w:hAnsi="Book Antiqua"/>
          <w:lang w:val="en-GB"/>
        </w:rPr>
        <w:t xml:space="preserve">these caveats </w:t>
      </w:r>
      <w:r>
        <w:rPr>
          <w:rFonts w:ascii="Book Antiqua" w:hAnsi="Book Antiqua"/>
          <w:lang w:val="en-GB"/>
        </w:rPr>
        <w:t xml:space="preserve">are </w:t>
      </w:r>
      <w:r w:rsidR="0084131B">
        <w:rPr>
          <w:rFonts w:ascii="Book Antiqua" w:hAnsi="Book Antiqua"/>
          <w:lang w:val="en-GB"/>
        </w:rPr>
        <w:t>repeatedly considered</w:t>
      </w:r>
      <w:r>
        <w:rPr>
          <w:rFonts w:ascii="Book Antiqua" w:hAnsi="Book Antiqua"/>
          <w:lang w:val="en-GB"/>
        </w:rPr>
        <w:t xml:space="preserve"> and assessed in t</w:t>
      </w:r>
      <w:r w:rsidR="006C5512">
        <w:rPr>
          <w:rFonts w:ascii="Book Antiqua" w:hAnsi="Book Antiqua"/>
          <w:lang w:val="en-GB"/>
        </w:rPr>
        <w:t>h</w:t>
      </w:r>
      <w:r>
        <w:rPr>
          <w:rFonts w:ascii="Book Antiqua" w:hAnsi="Book Antiqua"/>
          <w:lang w:val="en-GB"/>
        </w:rPr>
        <w:t>e April 2016 letter where cessation was considered</w:t>
      </w:r>
      <w:r w:rsidR="006C5512">
        <w:rPr>
          <w:rFonts w:ascii="Book Antiqua" w:hAnsi="Book Antiqua"/>
          <w:lang w:val="en-GB"/>
        </w:rPr>
        <w:t xml:space="preserve"> (at F2-3)</w:t>
      </w:r>
      <w:r w:rsidR="00207808">
        <w:rPr>
          <w:rFonts w:ascii="Book Antiqua" w:hAnsi="Book Antiqua"/>
          <w:lang w:val="en-GB"/>
        </w:rPr>
        <w:t xml:space="preserve"> and in the more recent October 2017 decision </w:t>
      </w:r>
      <w:r w:rsidR="0084131B">
        <w:rPr>
          <w:rFonts w:ascii="Book Antiqua" w:hAnsi="Book Antiqua"/>
          <w:lang w:val="en-GB"/>
        </w:rPr>
        <w:t xml:space="preserve">letter </w:t>
      </w:r>
      <w:r w:rsidR="00207808">
        <w:rPr>
          <w:rFonts w:ascii="Book Antiqua" w:hAnsi="Book Antiqua"/>
          <w:lang w:val="en-GB"/>
        </w:rPr>
        <w:t>(J</w:t>
      </w:r>
      <w:r w:rsidR="0084131B">
        <w:rPr>
          <w:rFonts w:ascii="Book Antiqua" w:hAnsi="Book Antiqua"/>
          <w:lang w:val="en-GB"/>
        </w:rPr>
        <w:t>1</w:t>
      </w:r>
      <w:r w:rsidR="00207808">
        <w:rPr>
          <w:rFonts w:ascii="Book Antiqua" w:hAnsi="Book Antiqua"/>
          <w:lang w:val="en-GB"/>
        </w:rPr>
        <w:t xml:space="preserve"> and J4)</w:t>
      </w:r>
      <w:r w:rsidR="006C5512">
        <w:rPr>
          <w:rFonts w:ascii="Book Antiqua" w:hAnsi="Book Antiqua"/>
          <w:lang w:val="en-GB"/>
        </w:rPr>
        <w:t xml:space="preserve">. Then, as now, the respondent considered that the security landscape in Afghanistan had much improved and that the circumstances leading to the grant of refugee status had fundamentally and durably changed. Although Mr </w:t>
      </w:r>
      <w:proofErr w:type="spellStart"/>
      <w:r w:rsidR="006C5512">
        <w:rPr>
          <w:rFonts w:ascii="Book Antiqua" w:hAnsi="Book Antiqua"/>
          <w:lang w:val="en-GB"/>
        </w:rPr>
        <w:t>Fripp</w:t>
      </w:r>
      <w:proofErr w:type="spellEnd"/>
      <w:r w:rsidR="006C5512">
        <w:rPr>
          <w:rFonts w:ascii="Book Antiqua" w:hAnsi="Book Antiqua"/>
          <w:lang w:val="en-GB"/>
        </w:rPr>
        <w:t xml:space="preserve"> submitted that the appellant’s home area was </w:t>
      </w:r>
      <w:proofErr w:type="spellStart"/>
      <w:r w:rsidR="006C5512">
        <w:rPr>
          <w:rFonts w:ascii="Book Antiqua" w:hAnsi="Book Antiqua"/>
          <w:lang w:val="en-GB"/>
        </w:rPr>
        <w:t>Nangarhar</w:t>
      </w:r>
      <w:proofErr w:type="spellEnd"/>
      <w:r w:rsidR="006C5512">
        <w:rPr>
          <w:rFonts w:ascii="Book Antiqua" w:hAnsi="Book Antiqua"/>
          <w:lang w:val="en-GB"/>
        </w:rPr>
        <w:t xml:space="preserve">, it appears from the appellant’s own evidence that he was from Kabul where he lived. </w:t>
      </w:r>
      <w:r w:rsidR="00207808">
        <w:rPr>
          <w:rFonts w:ascii="Book Antiqua" w:hAnsi="Book Antiqua"/>
          <w:lang w:val="en-GB"/>
        </w:rPr>
        <w:t xml:space="preserve">The respondent considered the situation </w:t>
      </w:r>
      <w:r w:rsidR="0084131B">
        <w:rPr>
          <w:rFonts w:ascii="Book Antiqua" w:hAnsi="Book Antiqua"/>
          <w:lang w:val="en-GB"/>
        </w:rPr>
        <w:t xml:space="preserve">in Kabul </w:t>
      </w:r>
      <w:r w:rsidR="00207808">
        <w:rPr>
          <w:rFonts w:ascii="Book Antiqua" w:hAnsi="Book Antiqua"/>
          <w:lang w:val="en-GB"/>
        </w:rPr>
        <w:t xml:space="preserve">at length (F3-4 and J2-4). </w:t>
      </w:r>
    </w:p>
    <w:p w:rsidR="00927450" w:rsidRDefault="00927450" w:rsidP="00927450">
      <w:pPr>
        <w:pStyle w:val="ListParagraph"/>
        <w:rPr>
          <w:rFonts w:ascii="Book Antiqua" w:hAnsi="Book Antiqua"/>
          <w:bCs/>
          <w:lang w:val="en-GB"/>
        </w:rPr>
      </w:pPr>
    </w:p>
    <w:p w:rsidR="00927450" w:rsidRDefault="00207808" w:rsidP="00D27DD3">
      <w:pPr>
        <w:numPr>
          <w:ilvl w:val="0"/>
          <w:numId w:val="1"/>
        </w:numPr>
        <w:ind w:left="720" w:hanging="720"/>
        <w:jc w:val="both"/>
        <w:rPr>
          <w:rFonts w:ascii="Book Antiqua" w:hAnsi="Book Antiqua"/>
          <w:bCs/>
          <w:lang w:val="en-GB"/>
        </w:rPr>
      </w:pPr>
      <w:r>
        <w:rPr>
          <w:rFonts w:ascii="Book Antiqua" w:hAnsi="Book Antiqua"/>
          <w:bCs/>
          <w:lang w:val="en-GB"/>
        </w:rPr>
        <w:t xml:space="preserve"> </w:t>
      </w:r>
      <w:r>
        <w:rPr>
          <w:rFonts w:ascii="Book Antiqua" w:hAnsi="Book Antiqua"/>
          <w:bCs/>
          <w:lang w:val="en-GB"/>
        </w:rPr>
        <w:tab/>
        <w:t>As required</w:t>
      </w:r>
      <w:r w:rsidR="0084131B">
        <w:rPr>
          <w:rFonts w:ascii="Book Antiqua" w:hAnsi="Book Antiqua"/>
          <w:bCs/>
          <w:lang w:val="en-GB"/>
        </w:rPr>
        <w:t>,</w:t>
      </w:r>
      <w:r>
        <w:rPr>
          <w:rFonts w:ascii="Book Antiqua" w:hAnsi="Book Antiqua"/>
          <w:bCs/>
          <w:lang w:val="en-GB"/>
        </w:rPr>
        <w:t xml:space="preserve"> I now assess the evidence with a view to determining whether it is sufficient to meet the legal test.</w:t>
      </w:r>
    </w:p>
    <w:p w:rsidR="00207808" w:rsidRDefault="00207808" w:rsidP="00207808">
      <w:pPr>
        <w:pStyle w:val="ListParagraph"/>
        <w:rPr>
          <w:rFonts w:ascii="Book Antiqua" w:hAnsi="Book Antiqua"/>
          <w:bCs/>
          <w:lang w:val="en-GB"/>
        </w:rPr>
      </w:pPr>
    </w:p>
    <w:p w:rsidR="00460F7F" w:rsidRDefault="00207808" w:rsidP="00D27DD3">
      <w:pPr>
        <w:numPr>
          <w:ilvl w:val="0"/>
          <w:numId w:val="1"/>
        </w:numPr>
        <w:ind w:left="720" w:hanging="720"/>
        <w:jc w:val="both"/>
        <w:rPr>
          <w:rFonts w:ascii="Book Antiqua" w:hAnsi="Book Antiqua"/>
          <w:bCs/>
          <w:lang w:val="en-GB"/>
        </w:rPr>
      </w:pPr>
      <w:r>
        <w:rPr>
          <w:rFonts w:ascii="Book Antiqua" w:hAnsi="Book Antiqua"/>
          <w:bCs/>
          <w:lang w:val="en-GB"/>
        </w:rPr>
        <w:t xml:space="preserve"> </w:t>
      </w:r>
      <w:r>
        <w:rPr>
          <w:rFonts w:ascii="Book Antiqua" w:hAnsi="Book Antiqua"/>
          <w:bCs/>
          <w:lang w:val="en-GB"/>
        </w:rPr>
        <w:tab/>
      </w:r>
      <w:r w:rsidR="00403E0B">
        <w:rPr>
          <w:rFonts w:ascii="Book Antiqua" w:hAnsi="Book Antiqua"/>
          <w:bCs/>
          <w:lang w:val="en-GB"/>
        </w:rPr>
        <w:t xml:space="preserve">The UN Security Council report of March 2017 records the implementation of the peace agreement with </w:t>
      </w:r>
      <w:proofErr w:type="spellStart"/>
      <w:r w:rsidR="00403E0B">
        <w:rPr>
          <w:rFonts w:ascii="Book Antiqua" w:hAnsi="Book Antiqua"/>
          <w:bCs/>
          <w:lang w:val="en-GB"/>
        </w:rPr>
        <w:t>Hizb-i-</w:t>
      </w:r>
      <w:r w:rsidR="0084131B">
        <w:rPr>
          <w:rFonts w:ascii="Book Antiqua" w:hAnsi="Book Antiqua"/>
          <w:bCs/>
          <w:lang w:val="en-GB"/>
        </w:rPr>
        <w:t>I</w:t>
      </w:r>
      <w:r w:rsidR="00403E0B">
        <w:rPr>
          <w:rFonts w:ascii="Book Antiqua" w:hAnsi="Book Antiqua"/>
          <w:bCs/>
          <w:lang w:val="en-GB"/>
        </w:rPr>
        <w:t>slami</w:t>
      </w:r>
      <w:proofErr w:type="spellEnd"/>
      <w:r w:rsidR="00403E0B">
        <w:rPr>
          <w:rFonts w:ascii="Book Antiqua" w:hAnsi="Book Antiqua"/>
          <w:bCs/>
          <w:lang w:val="en-GB"/>
        </w:rPr>
        <w:t xml:space="preserve"> in September 2016 and the lifting of sanctions against </w:t>
      </w:r>
      <w:proofErr w:type="spellStart"/>
      <w:r w:rsidR="00403E0B">
        <w:rPr>
          <w:rFonts w:ascii="Book Antiqua" w:hAnsi="Book Antiqua"/>
          <w:bCs/>
          <w:lang w:val="en-GB"/>
        </w:rPr>
        <w:t>Hekmatyar</w:t>
      </w:r>
      <w:proofErr w:type="spellEnd"/>
      <w:r w:rsidR="00403E0B">
        <w:rPr>
          <w:rFonts w:ascii="Book Antiqua" w:hAnsi="Book Antiqua"/>
          <w:bCs/>
          <w:lang w:val="en-GB"/>
        </w:rPr>
        <w:t xml:space="preserve"> in February 2017 (at paragraphs 3</w:t>
      </w:r>
      <w:r w:rsidR="00460F7F">
        <w:rPr>
          <w:rFonts w:ascii="Book Antiqua" w:hAnsi="Book Antiqua"/>
          <w:bCs/>
          <w:lang w:val="en-GB"/>
        </w:rPr>
        <w:t>, 9</w:t>
      </w:r>
      <w:r w:rsidR="00403E0B">
        <w:rPr>
          <w:rFonts w:ascii="Book Antiqua" w:hAnsi="Book Antiqua"/>
          <w:bCs/>
          <w:lang w:val="en-GB"/>
        </w:rPr>
        <w:t xml:space="preserve"> and </w:t>
      </w:r>
      <w:r w:rsidR="00460F7F">
        <w:rPr>
          <w:rFonts w:ascii="Book Antiqua" w:hAnsi="Book Antiqua"/>
          <w:bCs/>
          <w:lang w:val="en-GB"/>
        </w:rPr>
        <w:t>60</w:t>
      </w:r>
      <w:r w:rsidR="00403E0B">
        <w:rPr>
          <w:rFonts w:ascii="Book Antiqua" w:hAnsi="Book Antiqua"/>
          <w:bCs/>
          <w:lang w:val="en-GB"/>
        </w:rPr>
        <w:t xml:space="preserve">). It is reported that negotiations took place on issues such as the release of prisoners and accommodation arrangements for affiliates expected to return from Pakistan (at 9). I was referred to the deterioration in the overall security situation in 2016 and the beginning of 2017 but the areas seeing most of the conflict excludes Kabul where the appellant would be returning. </w:t>
      </w:r>
      <w:r w:rsidR="00403E0B">
        <w:rPr>
          <w:rFonts w:ascii="Book Antiqua" w:hAnsi="Book Antiqua"/>
          <w:bCs/>
          <w:lang w:val="en-GB"/>
        </w:rPr>
        <w:lastRenderedPageBreak/>
        <w:t>Ref</w:t>
      </w:r>
      <w:r w:rsidR="00360725">
        <w:rPr>
          <w:rFonts w:ascii="Book Antiqua" w:hAnsi="Book Antiqua"/>
          <w:bCs/>
          <w:lang w:val="en-GB"/>
        </w:rPr>
        <w:t>e</w:t>
      </w:r>
      <w:r w:rsidR="00403E0B">
        <w:rPr>
          <w:rFonts w:ascii="Book Antiqua" w:hAnsi="Book Antiqua"/>
          <w:bCs/>
          <w:lang w:val="en-GB"/>
        </w:rPr>
        <w:t xml:space="preserve">rence to </w:t>
      </w:r>
      <w:proofErr w:type="spellStart"/>
      <w:r w:rsidR="00403E0B">
        <w:rPr>
          <w:rFonts w:ascii="Book Antiqua" w:hAnsi="Book Antiqua"/>
          <w:bCs/>
          <w:lang w:val="en-GB"/>
        </w:rPr>
        <w:t>Nangarhar</w:t>
      </w:r>
      <w:proofErr w:type="spellEnd"/>
      <w:r w:rsidR="00403E0B">
        <w:rPr>
          <w:rFonts w:ascii="Book Antiqua" w:hAnsi="Book Antiqua"/>
          <w:bCs/>
          <w:lang w:val="en-GB"/>
        </w:rPr>
        <w:t xml:space="preserve"> </w:t>
      </w:r>
      <w:r w:rsidR="00360725">
        <w:rPr>
          <w:rFonts w:ascii="Book Antiqua" w:hAnsi="Book Antiqua"/>
          <w:bCs/>
          <w:lang w:val="en-GB"/>
        </w:rPr>
        <w:t xml:space="preserve">(at 13) </w:t>
      </w:r>
      <w:r w:rsidR="00403E0B">
        <w:rPr>
          <w:rFonts w:ascii="Book Antiqua" w:hAnsi="Book Antiqua"/>
          <w:bCs/>
          <w:lang w:val="en-GB"/>
        </w:rPr>
        <w:t xml:space="preserve">is not relevant </w:t>
      </w:r>
      <w:r w:rsidR="00360725">
        <w:rPr>
          <w:rFonts w:ascii="Book Antiqua" w:hAnsi="Book Antiqua"/>
          <w:bCs/>
          <w:lang w:val="en-GB"/>
        </w:rPr>
        <w:t xml:space="preserve">as I can see nothing to support Mr </w:t>
      </w:r>
      <w:proofErr w:type="spellStart"/>
      <w:r w:rsidR="00360725">
        <w:rPr>
          <w:rFonts w:ascii="Book Antiqua" w:hAnsi="Book Antiqua"/>
          <w:bCs/>
          <w:lang w:val="en-GB"/>
        </w:rPr>
        <w:t>Fripp’s</w:t>
      </w:r>
      <w:proofErr w:type="spellEnd"/>
      <w:r w:rsidR="00360725">
        <w:rPr>
          <w:rFonts w:ascii="Book Antiqua" w:hAnsi="Book Antiqua"/>
          <w:bCs/>
          <w:lang w:val="en-GB"/>
        </w:rPr>
        <w:t xml:space="preserve"> submission that that is the appellant’s home area. Indeed, none of the paragraphs on security refer to Kabul (13-18). The attacks recorded in paragraphs 23-31 appear to be largely against women, </w:t>
      </w:r>
      <w:proofErr w:type="spellStart"/>
      <w:r w:rsidR="00360725">
        <w:rPr>
          <w:rFonts w:ascii="Book Antiqua" w:hAnsi="Book Antiqua"/>
          <w:bCs/>
          <w:lang w:val="en-GB"/>
        </w:rPr>
        <w:t>Shia’a</w:t>
      </w:r>
      <w:proofErr w:type="spellEnd"/>
      <w:r w:rsidR="00360725">
        <w:rPr>
          <w:rFonts w:ascii="Book Antiqua" w:hAnsi="Book Antiqua"/>
          <w:bCs/>
          <w:lang w:val="en-GB"/>
        </w:rPr>
        <w:t xml:space="preserve"> Muslims, government officials, health and educational workers. </w:t>
      </w:r>
      <w:r w:rsidR="00460F7F">
        <w:rPr>
          <w:rFonts w:ascii="Book Antiqua" w:hAnsi="Book Antiqua"/>
          <w:bCs/>
          <w:lang w:val="en-GB"/>
        </w:rPr>
        <w:t xml:space="preserve">Children have suffered disproportionately from violence. </w:t>
      </w:r>
      <w:r w:rsidR="00360725">
        <w:rPr>
          <w:rFonts w:ascii="Book Antiqua" w:hAnsi="Book Antiqua"/>
          <w:bCs/>
          <w:lang w:val="en-GB"/>
        </w:rPr>
        <w:t>There appears to be a largescale return of Afghans from other countries and a substantial decrease in Afghans leaving the country</w:t>
      </w:r>
      <w:r w:rsidR="00460F7F">
        <w:rPr>
          <w:rFonts w:ascii="Book Antiqua" w:hAnsi="Book Antiqua"/>
          <w:bCs/>
          <w:lang w:val="en-GB"/>
        </w:rPr>
        <w:t xml:space="preserve">. </w:t>
      </w:r>
      <w:r w:rsidR="00360725">
        <w:rPr>
          <w:rFonts w:ascii="Book Antiqua" w:hAnsi="Book Antiqua"/>
          <w:bCs/>
          <w:lang w:val="en-GB"/>
        </w:rPr>
        <w:t xml:space="preserve"> </w:t>
      </w:r>
    </w:p>
    <w:p w:rsidR="00207808" w:rsidRDefault="00360725" w:rsidP="00460F7F">
      <w:pPr>
        <w:ind w:left="720"/>
        <w:jc w:val="both"/>
        <w:rPr>
          <w:rFonts w:ascii="Book Antiqua" w:hAnsi="Book Antiqua"/>
          <w:bCs/>
          <w:lang w:val="en-GB"/>
        </w:rPr>
      </w:pPr>
      <w:r>
        <w:rPr>
          <w:rFonts w:ascii="Book Antiqua" w:hAnsi="Book Antiqua"/>
          <w:bCs/>
          <w:lang w:val="en-GB"/>
        </w:rPr>
        <w:t xml:space="preserve"> </w:t>
      </w:r>
    </w:p>
    <w:p w:rsidR="00460F7F" w:rsidRDefault="00460F7F" w:rsidP="00D27DD3">
      <w:pPr>
        <w:numPr>
          <w:ilvl w:val="0"/>
          <w:numId w:val="1"/>
        </w:numPr>
        <w:ind w:left="720" w:hanging="720"/>
        <w:jc w:val="both"/>
        <w:rPr>
          <w:rFonts w:ascii="Book Antiqua" w:hAnsi="Book Antiqua"/>
          <w:bCs/>
          <w:lang w:val="en-GB"/>
        </w:rPr>
      </w:pPr>
      <w:r>
        <w:rPr>
          <w:rFonts w:ascii="Book Antiqua" w:hAnsi="Book Antiqua"/>
          <w:bCs/>
          <w:lang w:val="en-GB"/>
        </w:rPr>
        <w:t xml:space="preserve"> </w:t>
      </w:r>
      <w:r>
        <w:rPr>
          <w:rFonts w:ascii="Book Antiqua" w:hAnsi="Book Antiqua"/>
          <w:bCs/>
          <w:lang w:val="en-GB"/>
        </w:rPr>
        <w:tab/>
        <w:t xml:space="preserve">The Security Council June 2017 monthly forecast also reports on the reconciliation agreement between the government and </w:t>
      </w:r>
      <w:proofErr w:type="spellStart"/>
      <w:r>
        <w:rPr>
          <w:rFonts w:ascii="Book Antiqua" w:hAnsi="Book Antiqua"/>
          <w:bCs/>
          <w:lang w:val="en-GB"/>
        </w:rPr>
        <w:t>Hekmatyar</w:t>
      </w:r>
      <w:proofErr w:type="spellEnd"/>
      <w:r>
        <w:rPr>
          <w:rFonts w:ascii="Book Antiqua" w:hAnsi="Book Antiqua"/>
          <w:bCs/>
          <w:lang w:val="en-GB"/>
        </w:rPr>
        <w:t xml:space="preserve"> who came out of hiding and in April 2017 made his first public appearance in twenty years when addressing a rally of his supporters. He called upon other opposition groups to join in the peace and repeated the message in May </w:t>
      </w:r>
      <w:r w:rsidR="00F40208">
        <w:rPr>
          <w:rFonts w:ascii="Book Antiqua" w:hAnsi="Book Antiqua"/>
          <w:bCs/>
          <w:lang w:val="en-GB"/>
        </w:rPr>
        <w:t xml:space="preserve">2017 at the presidential palace. He also met with the UN Secretary General’s Special Representative who expressed his appreciation for </w:t>
      </w:r>
      <w:proofErr w:type="spellStart"/>
      <w:r w:rsidR="00F40208">
        <w:rPr>
          <w:rFonts w:ascii="Book Antiqua" w:hAnsi="Book Antiqua"/>
          <w:bCs/>
          <w:lang w:val="en-GB"/>
        </w:rPr>
        <w:t>Hekmatyar’s</w:t>
      </w:r>
      <w:proofErr w:type="spellEnd"/>
      <w:r w:rsidR="00F40208">
        <w:rPr>
          <w:rFonts w:ascii="Book Antiqua" w:hAnsi="Book Antiqua"/>
          <w:bCs/>
          <w:lang w:val="en-GB"/>
        </w:rPr>
        <w:t xml:space="preserve"> commitment to peace</w:t>
      </w:r>
      <w:r w:rsidR="00E476C4">
        <w:rPr>
          <w:rFonts w:ascii="Book Antiqua" w:hAnsi="Book Antiqua"/>
          <w:bCs/>
          <w:lang w:val="en-GB"/>
        </w:rPr>
        <w:t>.</w:t>
      </w:r>
    </w:p>
    <w:p w:rsidR="00E476C4" w:rsidRDefault="00E476C4" w:rsidP="00E476C4">
      <w:pPr>
        <w:pStyle w:val="ListParagraph"/>
        <w:rPr>
          <w:rFonts w:ascii="Book Antiqua" w:hAnsi="Book Antiqua"/>
          <w:bCs/>
          <w:lang w:val="en-GB"/>
        </w:rPr>
      </w:pPr>
    </w:p>
    <w:p w:rsidR="00E476C4" w:rsidRDefault="00E476C4" w:rsidP="00D27DD3">
      <w:pPr>
        <w:numPr>
          <w:ilvl w:val="0"/>
          <w:numId w:val="1"/>
        </w:numPr>
        <w:ind w:left="720" w:hanging="720"/>
        <w:jc w:val="both"/>
        <w:rPr>
          <w:rFonts w:ascii="Book Antiqua" w:hAnsi="Book Antiqua"/>
          <w:bCs/>
          <w:lang w:val="en-GB"/>
        </w:rPr>
      </w:pPr>
      <w:r>
        <w:rPr>
          <w:rFonts w:ascii="Book Antiqua" w:hAnsi="Book Antiqua"/>
          <w:bCs/>
          <w:lang w:val="en-GB"/>
        </w:rPr>
        <w:t xml:space="preserve"> </w:t>
      </w:r>
      <w:r>
        <w:rPr>
          <w:rFonts w:ascii="Book Antiqua" w:hAnsi="Book Antiqua"/>
          <w:bCs/>
          <w:lang w:val="en-GB"/>
        </w:rPr>
        <w:tab/>
        <w:t xml:space="preserve">The CPIN </w:t>
      </w:r>
      <w:r w:rsidR="00D472F5">
        <w:rPr>
          <w:rFonts w:ascii="Book Antiqua" w:hAnsi="Book Antiqua"/>
          <w:bCs/>
          <w:lang w:val="en-GB"/>
        </w:rPr>
        <w:t xml:space="preserve">of April 2018 </w:t>
      </w:r>
      <w:r>
        <w:rPr>
          <w:rFonts w:ascii="Book Antiqua" w:hAnsi="Book Antiqua"/>
          <w:bCs/>
          <w:lang w:val="en-GB"/>
        </w:rPr>
        <w:t>cites the extracts from the UN document to which I have already referred above (at 32). It also reports on the volatile security situation and rivalry within political leadership leading to internal conflicts. Most civilian casualties are attributable to the Taliban and IEDs.</w:t>
      </w:r>
    </w:p>
    <w:p w:rsidR="00E476C4" w:rsidRDefault="00E476C4" w:rsidP="00E476C4">
      <w:pPr>
        <w:pStyle w:val="ListParagraph"/>
        <w:rPr>
          <w:rFonts w:ascii="Book Antiqua" w:hAnsi="Book Antiqua"/>
          <w:bCs/>
          <w:lang w:val="en-GB"/>
        </w:rPr>
      </w:pPr>
    </w:p>
    <w:p w:rsidR="00E476C4" w:rsidRDefault="00E476C4" w:rsidP="00D27DD3">
      <w:pPr>
        <w:numPr>
          <w:ilvl w:val="0"/>
          <w:numId w:val="1"/>
        </w:numPr>
        <w:ind w:left="720" w:hanging="720"/>
        <w:jc w:val="both"/>
        <w:rPr>
          <w:rFonts w:ascii="Book Antiqua" w:hAnsi="Book Antiqua"/>
          <w:bCs/>
          <w:lang w:val="en-GB"/>
        </w:rPr>
      </w:pPr>
      <w:r>
        <w:rPr>
          <w:rFonts w:ascii="Book Antiqua" w:hAnsi="Book Antiqua"/>
          <w:bCs/>
          <w:lang w:val="en-GB"/>
        </w:rPr>
        <w:t xml:space="preserve"> </w:t>
      </w:r>
      <w:r>
        <w:rPr>
          <w:rFonts w:ascii="Book Antiqua" w:hAnsi="Book Antiqua"/>
          <w:bCs/>
          <w:lang w:val="en-GB"/>
        </w:rPr>
        <w:tab/>
        <w:t xml:space="preserve">I was only referred to the first page of the US State Department report of 2017 which provides information on general problems of violence including attacks by insurgent groups and the Taliban. There is no reference in that report to the </w:t>
      </w:r>
      <w:proofErr w:type="spellStart"/>
      <w:r>
        <w:rPr>
          <w:rFonts w:ascii="Book Antiqua" w:hAnsi="Book Antiqua"/>
          <w:bCs/>
          <w:lang w:val="en-GB"/>
        </w:rPr>
        <w:t>Hizb-i-</w:t>
      </w:r>
      <w:r w:rsidR="0084131B">
        <w:rPr>
          <w:rFonts w:ascii="Book Antiqua" w:hAnsi="Book Antiqua"/>
          <w:bCs/>
          <w:lang w:val="en-GB"/>
        </w:rPr>
        <w:t>I</w:t>
      </w:r>
      <w:r>
        <w:rPr>
          <w:rFonts w:ascii="Book Antiqua" w:hAnsi="Book Antiqua"/>
          <w:bCs/>
          <w:lang w:val="en-GB"/>
        </w:rPr>
        <w:t>slami</w:t>
      </w:r>
      <w:proofErr w:type="spellEnd"/>
      <w:r>
        <w:rPr>
          <w:rFonts w:ascii="Book Antiqua" w:hAnsi="Book Antiqua"/>
          <w:bCs/>
          <w:lang w:val="en-GB"/>
        </w:rPr>
        <w:t>.</w:t>
      </w:r>
    </w:p>
    <w:p w:rsidR="00D472F5" w:rsidRDefault="00D472F5" w:rsidP="00D472F5">
      <w:pPr>
        <w:pStyle w:val="ListParagraph"/>
        <w:rPr>
          <w:rFonts w:ascii="Book Antiqua" w:hAnsi="Book Antiqua"/>
          <w:bCs/>
          <w:lang w:val="en-GB"/>
        </w:rPr>
      </w:pPr>
    </w:p>
    <w:p w:rsidR="00D472F5" w:rsidRDefault="00D472F5" w:rsidP="00D27DD3">
      <w:pPr>
        <w:numPr>
          <w:ilvl w:val="0"/>
          <w:numId w:val="1"/>
        </w:numPr>
        <w:ind w:left="720" w:hanging="720"/>
        <w:jc w:val="both"/>
        <w:rPr>
          <w:rFonts w:ascii="Book Antiqua" w:hAnsi="Book Antiqua"/>
          <w:bCs/>
          <w:lang w:val="en-GB"/>
        </w:rPr>
      </w:pPr>
      <w:r>
        <w:rPr>
          <w:rFonts w:ascii="Book Antiqua" w:hAnsi="Book Antiqua"/>
          <w:bCs/>
          <w:lang w:val="en-GB"/>
        </w:rPr>
        <w:t xml:space="preserve"> </w:t>
      </w:r>
      <w:r>
        <w:rPr>
          <w:rFonts w:ascii="Book Antiqua" w:hAnsi="Book Antiqua"/>
          <w:bCs/>
          <w:lang w:val="en-GB"/>
        </w:rPr>
        <w:tab/>
        <w:t xml:space="preserve">I have also considered the judgments that I was given. </w:t>
      </w:r>
      <w:r w:rsidRPr="0084131B">
        <w:rPr>
          <w:rFonts w:ascii="Book Antiqua" w:hAnsi="Book Antiqua"/>
          <w:bCs/>
          <w:u w:val="single"/>
          <w:lang w:val="en-GB"/>
        </w:rPr>
        <w:t>AS</w:t>
      </w:r>
      <w:r>
        <w:rPr>
          <w:rFonts w:ascii="Book Antiqua" w:hAnsi="Book Antiqua"/>
          <w:bCs/>
          <w:lang w:val="en-GB"/>
        </w:rPr>
        <w:t xml:space="preserve"> (Safety of Kabul) Afghanistan CG [2018] UKUT 118 (IAC)</w:t>
      </w:r>
      <w:r w:rsidR="009B7E69">
        <w:rPr>
          <w:rFonts w:ascii="Book Antiqua" w:hAnsi="Book Antiqua"/>
          <w:bCs/>
          <w:lang w:val="en-GB"/>
        </w:rPr>
        <w:t xml:space="preserve"> discusses the security situation in Kabul.</w:t>
      </w:r>
      <w:r w:rsidR="0084131B">
        <w:rPr>
          <w:rFonts w:ascii="Book Antiqua" w:hAnsi="Book Antiqua"/>
          <w:bCs/>
          <w:lang w:val="en-GB"/>
        </w:rPr>
        <w:t xml:space="preserve"> The following headnotes are relevant:</w:t>
      </w:r>
    </w:p>
    <w:p w:rsidR="009B7E69" w:rsidRDefault="009B7E69" w:rsidP="009B7E69">
      <w:pPr>
        <w:pStyle w:val="ListParagraph"/>
        <w:rPr>
          <w:rFonts w:ascii="Book Antiqua" w:hAnsi="Book Antiqua"/>
          <w:bCs/>
          <w:lang w:val="en-GB"/>
        </w:rPr>
      </w:pPr>
    </w:p>
    <w:p w:rsidR="009B7E69" w:rsidRPr="0084131B" w:rsidRDefault="009B7E69" w:rsidP="0084131B">
      <w:pPr>
        <w:pStyle w:val="NormalWeb"/>
        <w:shd w:val="clear" w:color="auto" w:fill="FFFFFF"/>
        <w:spacing w:before="0" w:beforeAutospacing="0" w:after="150" w:afterAutospacing="0"/>
        <w:ind w:firstLine="720"/>
        <w:jc w:val="both"/>
        <w:rPr>
          <w:rFonts w:ascii="Book Antiqua" w:hAnsi="Book Antiqua"/>
          <w:i/>
          <w:color w:val="3F3F3F"/>
        </w:rPr>
      </w:pPr>
      <w:r w:rsidRPr="0084131B">
        <w:rPr>
          <w:rStyle w:val="Emphasis"/>
          <w:rFonts w:ascii="Book Antiqua" w:hAnsi="Book Antiqua"/>
          <w:color w:val="3F3F3F"/>
        </w:rPr>
        <w:t>Risk on return to Kabul from the Taliban</w:t>
      </w:r>
    </w:p>
    <w:p w:rsidR="009B7E69" w:rsidRPr="0084131B" w:rsidRDefault="0084131B" w:rsidP="0084131B">
      <w:pPr>
        <w:pStyle w:val="NormalWeb"/>
        <w:shd w:val="clear" w:color="auto" w:fill="FFFFFF"/>
        <w:spacing w:before="0" w:beforeAutospacing="0" w:after="150" w:afterAutospacing="0"/>
        <w:ind w:left="720"/>
        <w:jc w:val="both"/>
        <w:rPr>
          <w:rFonts w:ascii="Book Antiqua" w:hAnsi="Book Antiqua"/>
          <w:i/>
          <w:color w:val="3F3F3F"/>
        </w:rPr>
      </w:pPr>
      <w:r>
        <w:rPr>
          <w:rFonts w:ascii="Book Antiqua" w:hAnsi="Book Antiqua"/>
          <w:i/>
          <w:color w:val="3F3F3F"/>
        </w:rPr>
        <w:t>1.</w:t>
      </w:r>
      <w:r w:rsidRPr="0084131B">
        <w:rPr>
          <w:rStyle w:val="Emphasis"/>
          <w:rFonts w:ascii="Book Antiqua" w:hAnsi="Book Antiqua"/>
          <w:color w:val="3F3F3F"/>
        </w:rPr>
        <w:t xml:space="preserve">  </w:t>
      </w:r>
      <w:r w:rsidR="009B7E69" w:rsidRPr="0084131B">
        <w:rPr>
          <w:rStyle w:val="Emphasis"/>
          <w:rFonts w:ascii="Book Antiqua" w:hAnsi="Book Antiqua"/>
          <w:color w:val="3F3F3F"/>
        </w:rPr>
        <w:t>A person who is of lower-level interest for the Taliban (i.e. not a senior government or security services official, or a spy) is not at real risk of persecution from the Taliban in Kabul.</w:t>
      </w:r>
    </w:p>
    <w:p w:rsidR="009B7E69" w:rsidRPr="0084131B" w:rsidRDefault="009B7E69" w:rsidP="0084131B">
      <w:pPr>
        <w:pStyle w:val="NormalWeb"/>
        <w:shd w:val="clear" w:color="auto" w:fill="FFFFFF"/>
        <w:spacing w:before="0" w:beforeAutospacing="0" w:after="150" w:afterAutospacing="0"/>
        <w:jc w:val="both"/>
        <w:rPr>
          <w:rFonts w:ascii="Book Antiqua" w:hAnsi="Book Antiqua"/>
          <w:i/>
          <w:color w:val="3F3F3F"/>
        </w:rPr>
      </w:pPr>
      <w:r w:rsidRPr="0084131B">
        <w:rPr>
          <w:rFonts w:ascii="Book Antiqua" w:hAnsi="Book Antiqua"/>
          <w:i/>
          <w:color w:val="3F3F3F"/>
        </w:rPr>
        <w:t> </w:t>
      </w:r>
      <w:r w:rsidR="0084131B">
        <w:rPr>
          <w:rFonts w:ascii="Book Antiqua" w:hAnsi="Book Antiqua"/>
          <w:i/>
          <w:color w:val="3F3F3F"/>
        </w:rPr>
        <w:tab/>
      </w:r>
      <w:r w:rsidRPr="0084131B">
        <w:rPr>
          <w:rStyle w:val="Emphasis"/>
          <w:rFonts w:ascii="Book Antiqua" w:hAnsi="Book Antiqua"/>
          <w:color w:val="3F3F3F"/>
        </w:rPr>
        <w:t>Internal relocation to Kabul</w:t>
      </w:r>
    </w:p>
    <w:p w:rsidR="009B7E69" w:rsidRPr="0084131B" w:rsidRDefault="0084131B" w:rsidP="0084131B">
      <w:pPr>
        <w:pStyle w:val="NormalWeb"/>
        <w:shd w:val="clear" w:color="auto" w:fill="FFFFFF"/>
        <w:spacing w:before="0" w:beforeAutospacing="0" w:after="150" w:afterAutospacing="0"/>
        <w:ind w:left="720"/>
        <w:jc w:val="both"/>
        <w:rPr>
          <w:rFonts w:ascii="Book Antiqua" w:hAnsi="Book Antiqua"/>
          <w:i/>
          <w:color w:val="3F3F3F"/>
        </w:rPr>
      </w:pPr>
      <w:r>
        <w:rPr>
          <w:rFonts w:ascii="Book Antiqua" w:hAnsi="Book Antiqua"/>
          <w:i/>
          <w:color w:val="3F3F3F"/>
        </w:rPr>
        <w:t>2. H</w:t>
      </w:r>
      <w:r w:rsidR="009B7E69" w:rsidRPr="0084131B">
        <w:rPr>
          <w:rStyle w:val="Emphasis"/>
          <w:rFonts w:ascii="Book Antiqua" w:hAnsi="Book Antiqua"/>
          <w:color w:val="3F3F3F"/>
        </w:rPr>
        <w:t xml:space="preserve">aving regard to the security and humanitarian situation in Kabul as well as the difficulties faced by the population living there (primarily the urban poor but also IDPs and other returnees, which are not dissimilar to the conditions faced throughout may other parts of Afghanistan); it will not, in general be unreasonable </w:t>
      </w:r>
      <w:r w:rsidR="009B7E69" w:rsidRPr="0084131B">
        <w:rPr>
          <w:rStyle w:val="Emphasis"/>
          <w:rFonts w:ascii="Book Antiqua" w:hAnsi="Book Antiqua"/>
          <w:color w:val="3F3F3F"/>
        </w:rPr>
        <w:lastRenderedPageBreak/>
        <w:t>or unduly harsh for a single adult male in good health to relocate to Kabul even if he does not have any specific connections or support network in Kabul.</w:t>
      </w:r>
    </w:p>
    <w:p w:rsidR="009B7E69" w:rsidRPr="0084131B" w:rsidRDefault="0084131B" w:rsidP="0084131B">
      <w:pPr>
        <w:pStyle w:val="NormalWeb"/>
        <w:shd w:val="clear" w:color="auto" w:fill="FFFFFF"/>
        <w:spacing w:before="0" w:beforeAutospacing="0" w:after="150" w:afterAutospacing="0"/>
        <w:ind w:left="720"/>
        <w:jc w:val="both"/>
        <w:rPr>
          <w:rFonts w:ascii="Book Antiqua" w:hAnsi="Book Antiqua"/>
          <w:i/>
          <w:color w:val="3F3F3F"/>
        </w:rPr>
      </w:pPr>
      <w:r>
        <w:rPr>
          <w:rFonts w:ascii="Book Antiqua" w:hAnsi="Book Antiqua"/>
          <w:i/>
          <w:color w:val="3F3F3F"/>
        </w:rPr>
        <w:t xml:space="preserve">3. </w:t>
      </w:r>
      <w:r w:rsidR="009B7E69" w:rsidRPr="0084131B">
        <w:rPr>
          <w:rStyle w:val="Emphasis"/>
          <w:rFonts w:ascii="Book Antiqua" w:hAnsi="Book Antiqua"/>
          <w:color w:val="3F3F3F"/>
        </w:rPr>
        <w:t>However, the particular circumstances of an individual applicant must be taken into account in the context of conditions in the place of relocation, including a person's age, nature and quality of support network/connections with Kabul/Afghanistan, their physical and mental health, and their language, education and vocational skills when determining whether a person falls within the general position set out above.</w:t>
      </w:r>
    </w:p>
    <w:p w:rsidR="009B7E69" w:rsidRPr="0084131B" w:rsidRDefault="0084131B" w:rsidP="0084131B">
      <w:pPr>
        <w:pStyle w:val="NormalWeb"/>
        <w:shd w:val="clear" w:color="auto" w:fill="FFFFFF"/>
        <w:spacing w:before="0" w:beforeAutospacing="0" w:after="150" w:afterAutospacing="0"/>
        <w:ind w:left="720"/>
        <w:jc w:val="both"/>
        <w:rPr>
          <w:rFonts w:ascii="Book Antiqua" w:hAnsi="Book Antiqua"/>
          <w:i/>
          <w:color w:val="3F3F3F"/>
        </w:rPr>
      </w:pPr>
      <w:r>
        <w:rPr>
          <w:rFonts w:ascii="Book Antiqua" w:hAnsi="Book Antiqua"/>
          <w:i/>
          <w:color w:val="3F3F3F"/>
        </w:rPr>
        <w:t xml:space="preserve">4. </w:t>
      </w:r>
      <w:r w:rsidR="009B7E69" w:rsidRPr="0084131B">
        <w:rPr>
          <w:rStyle w:val="Emphasis"/>
          <w:rFonts w:ascii="Book Antiqua" w:hAnsi="Book Antiqua"/>
          <w:color w:val="3F3F3F"/>
        </w:rPr>
        <w:t>A person with a support network or specific connections in Kabul is likely to be in a more advantageous position on return, which may counter a particular vulnerability of an individual on return.</w:t>
      </w:r>
    </w:p>
    <w:p w:rsidR="009B7E69" w:rsidRPr="0084131B" w:rsidRDefault="0084131B" w:rsidP="0084131B">
      <w:pPr>
        <w:pStyle w:val="NormalWeb"/>
        <w:shd w:val="clear" w:color="auto" w:fill="FFFFFF"/>
        <w:spacing w:before="0" w:beforeAutospacing="0" w:after="150" w:afterAutospacing="0"/>
        <w:ind w:left="720"/>
        <w:jc w:val="both"/>
        <w:rPr>
          <w:rFonts w:ascii="Book Antiqua" w:hAnsi="Book Antiqua"/>
          <w:i/>
          <w:color w:val="3F3F3F"/>
        </w:rPr>
      </w:pPr>
      <w:r>
        <w:rPr>
          <w:rFonts w:ascii="Book Antiqua" w:hAnsi="Book Antiqua"/>
          <w:i/>
          <w:color w:val="3F3F3F"/>
        </w:rPr>
        <w:t xml:space="preserve">5. </w:t>
      </w:r>
      <w:r w:rsidR="009B7E69" w:rsidRPr="0084131B">
        <w:rPr>
          <w:rStyle w:val="Emphasis"/>
          <w:rFonts w:ascii="Book Antiqua" w:hAnsi="Book Antiqua"/>
          <w:color w:val="3F3F3F"/>
        </w:rPr>
        <w:t>Although Kabul suffered the highest number of civilian casualties (in the latest UNAMA figures from 2017) and the number of security incidents is increasing, the proportion of the population directly affected by the security situation is tiny.  The current security situation in Kabul is not at such a level as to render internal relocation unreasonable or unduly harsh.</w:t>
      </w:r>
    </w:p>
    <w:p w:rsidR="009B7E69" w:rsidRPr="0084131B" w:rsidRDefault="009B7E69" w:rsidP="0084131B">
      <w:pPr>
        <w:pStyle w:val="NormalWeb"/>
        <w:shd w:val="clear" w:color="auto" w:fill="FFFFFF"/>
        <w:spacing w:before="0" w:beforeAutospacing="0" w:after="150" w:afterAutospacing="0"/>
        <w:jc w:val="both"/>
        <w:rPr>
          <w:rFonts w:ascii="Book Antiqua" w:hAnsi="Book Antiqua"/>
          <w:i/>
          <w:color w:val="3F3F3F"/>
        </w:rPr>
      </w:pPr>
      <w:r w:rsidRPr="0084131B">
        <w:rPr>
          <w:rFonts w:ascii="Book Antiqua" w:hAnsi="Book Antiqua"/>
          <w:i/>
          <w:color w:val="3F3F3F"/>
        </w:rPr>
        <w:t> </w:t>
      </w:r>
      <w:r w:rsidR="0084131B">
        <w:rPr>
          <w:rFonts w:ascii="Book Antiqua" w:hAnsi="Book Antiqua"/>
          <w:i/>
          <w:color w:val="3F3F3F"/>
        </w:rPr>
        <w:tab/>
      </w:r>
      <w:r w:rsidRPr="0084131B">
        <w:rPr>
          <w:rStyle w:val="Emphasis"/>
          <w:rFonts w:ascii="Book Antiqua" w:hAnsi="Book Antiqua"/>
          <w:color w:val="3F3F3F"/>
        </w:rPr>
        <w:t>Previous Country Guidance</w:t>
      </w:r>
    </w:p>
    <w:p w:rsidR="009B7E69" w:rsidRPr="0084131B" w:rsidRDefault="0084131B" w:rsidP="0084131B">
      <w:pPr>
        <w:pStyle w:val="NormalWeb"/>
        <w:shd w:val="clear" w:color="auto" w:fill="FFFFFF"/>
        <w:spacing w:before="0" w:beforeAutospacing="0" w:after="150" w:afterAutospacing="0"/>
        <w:ind w:left="720"/>
        <w:jc w:val="both"/>
        <w:rPr>
          <w:rFonts w:ascii="Book Antiqua" w:hAnsi="Book Antiqua"/>
          <w:i/>
          <w:color w:val="3F3F3F"/>
        </w:rPr>
      </w:pPr>
      <w:r>
        <w:rPr>
          <w:rFonts w:ascii="Book Antiqua" w:hAnsi="Book Antiqua"/>
          <w:i/>
          <w:color w:val="3F3F3F"/>
        </w:rPr>
        <w:t xml:space="preserve">6. </w:t>
      </w:r>
      <w:r w:rsidR="009B7E69" w:rsidRPr="0084131B">
        <w:rPr>
          <w:rStyle w:val="Emphasis"/>
          <w:rFonts w:ascii="Book Antiqua" w:hAnsi="Book Antiqua"/>
          <w:color w:val="3F3F3F"/>
        </w:rPr>
        <w:t>The country guidance in </w:t>
      </w:r>
      <w:r w:rsidR="009B7E69" w:rsidRPr="0084131B">
        <w:rPr>
          <w:rStyle w:val="Emphasis"/>
          <w:rFonts w:ascii="Book Antiqua" w:hAnsi="Book Antiqua"/>
          <w:color w:val="3F3F3F"/>
          <w:u w:val="single"/>
        </w:rPr>
        <w:t>AK (Article 15(c)) Afghanistan</w:t>
      </w:r>
      <w:r w:rsidR="009B7E69" w:rsidRPr="0084131B">
        <w:rPr>
          <w:rStyle w:val="Emphasis"/>
          <w:rFonts w:ascii="Book Antiqua" w:hAnsi="Book Antiqua"/>
          <w:color w:val="3F3F3F"/>
        </w:rPr>
        <w:t> CG [2012] UKUT 163 (IAC) in relation to Article 15(c) of the Qualification Directive remains unaffected by this decision.</w:t>
      </w:r>
    </w:p>
    <w:p w:rsidR="009B7E69" w:rsidRPr="0084131B" w:rsidRDefault="0025779A" w:rsidP="0025779A">
      <w:pPr>
        <w:pStyle w:val="NormalWeb"/>
        <w:shd w:val="clear" w:color="auto" w:fill="FFFFFF"/>
        <w:spacing w:before="0" w:beforeAutospacing="0" w:after="150" w:afterAutospacing="0"/>
        <w:ind w:left="720"/>
        <w:jc w:val="both"/>
        <w:rPr>
          <w:rFonts w:ascii="Book Antiqua" w:hAnsi="Book Antiqua"/>
          <w:i/>
          <w:color w:val="3F3F3F"/>
        </w:rPr>
      </w:pPr>
      <w:r>
        <w:rPr>
          <w:rFonts w:ascii="Book Antiqua" w:hAnsi="Book Antiqua"/>
          <w:i/>
          <w:color w:val="3F3F3F"/>
        </w:rPr>
        <w:t xml:space="preserve">7. </w:t>
      </w:r>
      <w:r w:rsidR="009B7E69" w:rsidRPr="0084131B">
        <w:rPr>
          <w:rStyle w:val="Emphasis"/>
          <w:rFonts w:ascii="Book Antiqua" w:hAnsi="Book Antiqua"/>
          <w:color w:val="3F3F3F"/>
        </w:rPr>
        <w:t>The country guidance in </w:t>
      </w:r>
      <w:r w:rsidR="009B7E69" w:rsidRPr="0084131B">
        <w:rPr>
          <w:rStyle w:val="Emphasis"/>
          <w:rFonts w:ascii="Book Antiqua" w:hAnsi="Book Antiqua"/>
          <w:color w:val="3F3F3F"/>
          <w:u w:val="single"/>
        </w:rPr>
        <w:t>AK (Article 15(c)) Afghanistan</w:t>
      </w:r>
      <w:r w:rsidR="009B7E69" w:rsidRPr="0084131B">
        <w:rPr>
          <w:rStyle w:val="Emphasis"/>
          <w:rFonts w:ascii="Book Antiqua" w:hAnsi="Book Antiqua"/>
          <w:color w:val="3F3F3F"/>
        </w:rPr>
        <w:t> CG [2012] UKUT 163 (IAC) in relation to the (un)reasonableness of internal relocation to Kabul (and other potential places of internal relocation) for certain categories of women remains unaffected by this decision.</w:t>
      </w:r>
    </w:p>
    <w:p w:rsidR="009B7E69" w:rsidRPr="0084131B" w:rsidRDefault="009B7E69" w:rsidP="0084131B">
      <w:pPr>
        <w:pStyle w:val="NormalWeb"/>
        <w:shd w:val="clear" w:color="auto" w:fill="FFFFFF"/>
        <w:spacing w:before="0" w:beforeAutospacing="0" w:after="150" w:afterAutospacing="0"/>
        <w:jc w:val="both"/>
        <w:rPr>
          <w:rFonts w:ascii="Book Antiqua" w:hAnsi="Book Antiqua"/>
          <w:i/>
          <w:color w:val="3F3F3F"/>
        </w:rPr>
      </w:pPr>
      <w:r w:rsidRPr="0084131B">
        <w:rPr>
          <w:rFonts w:ascii="Book Antiqua" w:hAnsi="Book Antiqua"/>
          <w:i/>
          <w:color w:val="3F3F3F"/>
        </w:rPr>
        <w:t> </w:t>
      </w:r>
    </w:p>
    <w:p w:rsidR="009B7E69" w:rsidRPr="0025779A" w:rsidRDefault="0025779A" w:rsidP="00D27DD3">
      <w:pPr>
        <w:numPr>
          <w:ilvl w:val="0"/>
          <w:numId w:val="1"/>
        </w:numPr>
        <w:ind w:left="720" w:hanging="720"/>
        <w:jc w:val="both"/>
        <w:rPr>
          <w:rFonts w:ascii="Book Antiqua" w:hAnsi="Book Antiqua"/>
          <w:bCs/>
          <w:lang w:val="en-GB"/>
        </w:rPr>
      </w:pPr>
      <w:r>
        <w:rPr>
          <w:rFonts w:ascii="Book Antiqua" w:hAnsi="Book Antiqua" w:cs="Arial"/>
          <w:color w:val="000000"/>
        </w:rPr>
        <w:t xml:space="preserve"> </w:t>
      </w:r>
      <w:r>
        <w:rPr>
          <w:rFonts w:ascii="Book Antiqua" w:hAnsi="Book Antiqua" w:cs="Arial"/>
          <w:color w:val="000000"/>
        </w:rPr>
        <w:tab/>
        <w:t xml:space="preserve">The relevant headnotes in </w:t>
      </w:r>
      <w:r w:rsidR="009B7E69" w:rsidRPr="0025779A">
        <w:rPr>
          <w:rFonts w:ascii="Book Antiqua" w:hAnsi="Book Antiqua" w:cs="Arial"/>
          <w:color w:val="000000"/>
          <w:u w:val="single"/>
        </w:rPr>
        <w:t>AK</w:t>
      </w:r>
      <w:r w:rsidR="009B7E69">
        <w:rPr>
          <w:rFonts w:ascii="Book Antiqua" w:hAnsi="Book Antiqua" w:cs="Arial"/>
          <w:color w:val="000000"/>
        </w:rPr>
        <w:t xml:space="preserve"> (Article 15(c)) Afghanistan CG [2012] UKUT 00163(IAC)</w:t>
      </w:r>
      <w:r>
        <w:rPr>
          <w:rFonts w:ascii="Book Antiqua" w:hAnsi="Book Antiqua" w:cs="Arial"/>
          <w:color w:val="000000"/>
        </w:rPr>
        <w:t xml:space="preserve"> are:</w:t>
      </w:r>
    </w:p>
    <w:p w:rsidR="0025779A" w:rsidRPr="009B7E69" w:rsidRDefault="0025779A" w:rsidP="0025779A">
      <w:pPr>
        <w:pStyle w:val="ListParagraph"/>
        <w:spacing w:before="240"/>
        <w:jc w:val="both"/>
        <w:rPr>
          <w:rFonts w:ascii="Book Antiqua" w:hAnsi="Book Antiqua" w:cs="Arial"/>
          <w:i/>
        </w:rPr>
      </w:pPr>
      <w:r w:rsidRPr="009B7E69">
        <w:rPr>
          <w:rFonts w:ascii="Book Antiqua" w:hAnsi="Book Antiqua" w:cs="Arial"/>
          <w:i/>
        </w:rPr>
        <w:t xml:space="preserve">(ii) Despite a rise in the number of civilian deaths and casualties and (particularly in the 2010-2011 period) an expansion of the geographical scope of the armed conflict in Afghanistan, the level of indiscriminate violence in that country taken </w:t>
      </w:r>
      <w:proofErr w:type="gramStart"/>
      <w:r w:rsidRPr="009B7E69">
        <w:rPr>
          <w:rFonts w:ascii="Book Antiqua" w:hAnsi="Book Antiqua" w:cs="Arial"/>
          <w:i/>
        </w:rPr>
        <w:t>as a whole is</w:t>
      </w:r>
      <w:proofErr w:type="gramEnd"/>
      <w:r w:rsidRPr="009B7E69">
        <w:rPr>
          <w:rFonts w:ascii="Book Antiqua" w:hAnsi="Book Antiqua" w:cs="Arial"/>
          <w:i/>
        </w:rPr>
        <w:t xml:space="preserve"> not at such a high level as to mean that, within the meaning of Article 15(c) of the Qualification Directive, a civilian, solely by being present in the country, faces a real risk which threatens his life or person. </w:t>
      </w:r>
    </w:p>
    <w:p w:rsidR="0025779A" w:rsidRDefault="0025779A" w:rsidP="0025779A">
      <w:pPr>
        <w:spacing w:before="240"/>
        <w:ind w:left="720"/>
        <w:jc w:val="both"/>
        <w:rPr>
          <w:rFonts w:ascii="Book Antiqua" w:hAnsi="Book Antiqua" w:cs="Arial"/>
          <w:i/>
        </w:rPr>
      </w:pPr>
      <w:r w:rsidRPr="0025779A">
        <w:rPr>
          <w:rFonts w:ascii="Book Antiqua" w:hAnsi="Book Antiqua" w:cs="Arial"/>
          <w:i/>
        </w:rPr>
        <w:t xml:space="preserve">(iii) Nor is the level of indiscriminate violence, even in the provinces worst affected by the violence (which may now be taken to include </w:t>
      </w:r>
      <w:proofErr w:type="spellStart"/>
      <w:r w:rsidRPr="0025779A">
        <w:rPr>
          <w:rFonts w:ascii="Book Antiqua" w:hAnsi="Book Antiqua" w:cs="Arial"/>
          <w:i/>
        </w:rPr>
        <w:t>Ghazni</w:t>
      </w:r>
      <w:proofErr w:type="spellEnd"/>
      <w:r w:rsidRPr="0025779A">
        <w:rPr>
          <w:rFonts w:ascii="Book Antiqua" w:hAnsi="Book Antiqua" w:cs="Arial"/>
          <w:i/>
        </w:rPr>
        <w:t xml:space="preserve"> but not to include Kabul), at such a level. </w:t>
      </w:r>
    </w:p>
    <w:p w:rsidR="0025779A" w:rsidRPr="0025779A" w:rsidRDefault="0025779A" w:rsidP="0025779A">
      <w:pPr>
        <w:spacing w:before="240"/>
        <w:ind w:left="720"/>
        <w:jc w:val="both"/>
        <w:rPr>
          <w:rFonts w:ascii="Book Antiqua" w:hAnsi="Book Antiqua" w:cs="Arial"/>
          <w:i/>
        </w:rPr>
      </w:pPr>
    </w:p>
    <w:p w:rsidR="0025779A" w:rsidRDefault="0025779A" w:rsidP="0025779A">
      <w:pPr>
        <w:ind w:left="720"/>
        <w:jc w:val="both"/>
        <w:rPr>
          <w:rFonts w:ascii="Book Antiqua" w:hAnsi="Book Antiqua" w:cs="Arial"/>
          <w:color w:val="000000"/>
        </w:rPr>
      </w:pPr>
      <w:r w:rsidRPr="009B7E69">
        <w:rPr>
          <w:rFonts w:ascii="Book Antiqua" w:hAnsi="Book Antiqua" w:cs="Arial"/>
          <w:i/>
        </w:rPr>
        <w:lastRenderedPageBreak/>
        <w:t>(iv) Whilst when assessing a claim in the context of Article 15(c) in which the respondent asserts that Kabul city would be a viable internal relocation alternative, it is necessary to take into account (both in assessing “safety” and reasonableness”) not only the level of violence in that city but also the difficulties experienced by that city’s poor and also the many Internally Displaced Persons (IDPs) living there, these considerations will not in general make return to Kabul unsafe or unreasonable</w:t>
      </w:r>
      <w:r w:rsidR="006C6259">
        <w:rPr>
          <w:rFonts w:ascii="Book Antiqua" w:hAnsi="Book Antiqua" w:cs="Arial"/>
          <w:i/>
        </w:rPr>
        <w:t>.</w:t>
      </w:r>
    </w:p>
    <w:p w:rsidR="0025779A" w:rsidRDefault="0025779A" w:rsidP="0025779A">
      <w:pPr>
        <w:ind w:left="720"/>
        <w:jc w:val="both"/>
        <w:rPr>
          <w:rFonts w:ascii="Book Antiqua" w:hAnsi="Book Antiqua" w:cs="Arial"/>
          <w:color w:val="000000"/>
        </w:rPr>
      </w:pPr>
    </w:p>
    <w:p w:rsidR="0025779A" w:rsidRPr="0025779A" w:rsidRDefault="0025779A" w:rsidP="00D27DD3">
      <w:pPr>
        <w:numPr>
          <w:ilvl w:val="0"/>
          <w:numId w:val="1"/>
        </w:numPr>
        <w:ind w:left="720" w:hanging="720"/>
        <w:jc w:val="both"/>
        <w:rPr>
          <w:rFonts w:ascii="Book Antiqua" w:hAnsi="Book Antiqua"/>
          <w:bCs/>
          <w:lang w:val="en-GB"/>
        </w:rPr>
      </w:pPr>
      <w:r>
        <w:rPr>
          <w:rFonts w:ascii="Book Antiqua" w:hAnsi="Book Antiqua" w:cs="Arial"/>
          <w:color w:val="000000"/>
        </w:rPr>
        <w:t xml:space="preserve"> </w:t>
      </w:r>
      <w:r>
        <w:rPr>
          <w:rFonts w:ascii="Book Antiqua" w:hAnsi="Book Antiqua" w:cs="Arial"/>
          <w:color w:val="000000"/>
        </w:rPr>
        <w:tab/>
      </w:r>
      <w:r w:rsidRPr="0025779A">
        <w:rPr>
          <w:rFonts w:ascii="Georgia" w:hAnsi="Georgia"/>
        </w:rPr>
        <w:t xml:space="preserve">I have also been referred to </w:t>
      </w:r>
      <w:r w:rsidRPr="0025779A">
        <w:rPr>
          <w:rFonts w:ascii="Book Antiqua" w:hAnsi="Book Antiqua"/>
          <w:u w:val="single"/>
        </w:rPr>
        <w:t>SB</w:t>
      </w:r>
      <w:r w:rsidRPr="0025779A">
        <w:rPr>
          <w:rFonts w:ascii="Book Antiqua" w:hAnsi="Book Antiqua"/>
        </w:rPr>
        <w:t xml:space="preserve"> (cessation and exclusion) Haiti [2005] UKIAT   00036 where the Tribunal considered </w:t>
      </w:r>
      <w:r w:rsidRPr="0025779A">
        <w:rPr>
          <w:rFonts w:ascii="Book Antiqua" w:hAnsi="Book Antiqua"/>
          <w:i/>
        </w:rPr>
        <w:t>“whether the Adjudicator erred in concluding that there had been such a change in circumstances, particularly in the light of the present situation in Haiti, as to enable the Secretary of State to discharge the burden which he conceded</w:t>
      </w:r>
      <w:r w:rsidR="006C6259" w:rsidRPr="006C6259">
        <w:rPr>
          <w:rFonts w:ascii="Book Antiqua" w:hAnsi="Book Antiqua"/>
          <w:i/>
        </w:rPr>
        <w:t xml:space="preserve"> </w:t>
      </w:r>
      <w:r w:rsidR="006C6259" w:rsidRPr="0025779A">
        <w:rPr>
          <w:rFonts w:ascii="Book Antiqua" w:hAnsi="Book Antiqua"/>
          <w:i/>
        </w:rPr>
        <w:t>he bore to show that Article 1C(5) applied”</w:t>
      </w:r>
      <w:r w:rsidR="006C6259" w:rsidRPr="0025779A">
        <w:rPr>
          <w:rFonts w:ascii="Book Antiqua" w:hAnsi="Book Antiqua"/>
        </w:rPr>
        <w:t xml:space="preserve">; i.e. whether </w:t>
      </w:r>
      <w:r w:rsidR="006C6259" w:rsidRPr="0025779A">
        <w:rPr>
          <w:rFonts w:ascii="Book Antiqua" w:hAnsi="Book Antiqua"/>
          <w:i/>
        </w:rPr>
        <w:t>“the circumstances in connection with which he has been recognized as a refugee have ceased to exist</w:t>
      </w:r>
      <w:r w:rsidR="006C6259">
        <w:rPr>
          <w:rFonts w:ascii="Book Antiqua" w:hAnsi="Book Antiqua"/>
          <w:i/>
        </w:rPr>
        <w:t xml:space="preserve">” </w:t>
      </w:r>
      <w:r w:rsidR="006C6259">
        <w:rPr>
          <w:rFonts w:ascii="Book Antiqua" w:hAnsi="Book Antiqua"/>
        </w:rPr>
        <w:t>(at 18). The Tribunal explained that this meant that the changes needed to “</w:t>
      </w:r>
      <w:r w:rsidR="006C6259" w:rsidRPr="006C6259">
        <w:rPr>
          <w:rFonts w:ascii="Book Antiqua" w:hAnsi="Book Antiqua"/>
          <w:i/>
        </w:rPr>
        <w:t xml:space="preserve">show that the previously persecutory conditions will not foreseeably return to displace the refugee again.  They do not require a </w:t>
      </w:r>
      <w:proofErr w:type="gramStart"/>
      <w:r w:rsidR="006C6259" w:rsidRPr="006C6259">
        <w:rPr>
          <w:rFonts w:ascii="Book Antiqua" w:hAnsi="Book Antiqua"/>
          <w:i/>
        </w:rPr>
        <w:t>particular level</w:t>
      </w:r>
      <w:proofErr w:type="gramEnd"/>
      <w:r w:rsidR="006C6259" w:rsidRPr="006C6259">
        <w:rPr>
          <w:rFonts w:ascii="Book Antiqua" w:hAnsi="Book Antiqua"/>
          <w:i/>
        </w:rPr>
        <w:t xml:space="preserve"> of good and democratic governance to be achieved.  It is the avoidance of a predictable return to the conditions of persecution which must be shown </w:t>
      </w:r>
      <w:proofErr w:type="gramStart"/>
      <w:r w:rsidR="006C6259" w:rsidRPr="006C6259">
        <w:rPr>
          <w:rFonts w:ascii="Book Antiqua" w:hAnsi="Book Antiqua"/>
          <w:i/>
        </w:rPr>
        <w:t>as a result of</w:t>
      </w:r>
      <w:proofErr w:type="gramEnd"/>
      <w:r w:rsidR="006C6259" w:rsidRPr="006C6259">
        <w:rPr>
          <w:rFonts w:ascii="Book Antiqua" w:hAnsi="Book Antiqua"/>
          <w:i/>
        </w:rPr>
        <w:t xml:space="preserve"> the changes relied on</w:t>
      </w:r>
      <w:r w:rsidR="006C6259">
        <w:rPr>
          <w:rFonts w:ascii="Book Antiqua" w:hAnsi="Book Antiqua"/>
          <w:i/>
        </w:rPr>
        <w:t xml:space="preserve">” </w:t>
      </w:r>
      <w:r w:rsidR="006C6259">
        <w:rPr>
          <w:rFonts w:ascii="Book Antiqua" w:hAnsi="Book Antiqua"/>
        </w:rPr>
        <w:t>(at 28).</w:t>
      </w:r>
      <w:r w:rsidR="006C6259" w:rsidRPr="0025779A">
        <w:rPr>
          <w:rFonts w:ascii="Book Antiqua" w:hAnsi="Book Antiqua"/>
        </w:rPr>
        <w:t xml:space="preserve">  </w:t>
      </w:r>
    </w:p>
    <w:p w:rsidR="0025779A" w:rsidRPr="0025779A" w:rsidRDefault="0025779A" w:rsidP="00520D86">
      <w:pPr>
        <w:ind w:left="720"/>
        <w:jc w:val="both"/>
        <w:rPr>
          <w:rFonts w:ascii="Book Antiqua" w:hAnsi="Book Antiqua"/>
          <w:bCs/>
          <w:lang w:val="en-GB"/>
        </w:rPr>
      </w:pPr>
    </w:p>
    <w:p w:rsidR="0025779A" w:rsidRPr="00520D86" w:rsidRDefault="00520D86" w:rsidP="00D27DD3">
      <w:pPr>
        <w:numPr>
          <w:ilvl w:val="0"/>
          <w:numId w:val="1"/>
        </w:numPr>
        <w:ind w:left="720" w:hanging="720"/>
        <w:jc w:val="both"/>
        <w:rPr>
          <w:rFonts w:ascii="Book Antiqua" w:hAnsi="Book Antiqua"/>
          <w:bCs/>
          <w:lang w:val="en-GB"/>
        </w:rPr>
      </w:pPr>
      <w:r>
        <w:rPr>
          <w:rFonts w:ascii="Book Antiqua" w:hAnsi="Book Antiqua" w:cs="Arial"/>
          <w:color w:val="000000"/>
        </w:rPr>
        <w:t xml:space="preserve"> </w:t>
      </w:r>
      <w:r>
        <w:rPr>
          <w:rFonts w:ascii="Book Antiqua" w:hAnsi="Book Antiqua" w:cs="Arial"/>
          <w:color w:val="000000"/>
        </w:rPr>
        <w:tab/>
      </w:r>
      <w:r w:rsidRPr="00520D86">
        <w:rPr>
          <w:rFonts w:ascii="Book Antiqua" w:hAnsi="Book Antiqua" w:cs="Arial"/>
          <w:u w:val="single"/>
        </w:rPr>
        <w:t>Abdullah</w:t>
      </w:r>
      <w:r>
        <w:rPr>
          <w:rFonts w:ascii="Book Antiqua" w:hAnsi="Book Antiqua" w:cs="Arial"/>
        </w:rPr>
        <w:t xml:space="preserve"> is relied on to confirm the article 11(2) test which provides that the change of circumstances must be of such a significant and non- temporary nature that the refugee’s fear of persecution can no longer be regraded as well founded.</w:t>
      </w:r>
    </w:p>
    <w:p w:rsidR="00520D86" w:rsidRDefault="00520D86" w:rsidP="00520D86">
      <w:pPr>
        <w:pStyle w:val="ListParagraph"/>
        <w:rPr>
          <w:rFonts w:ascii="Book Antiqua" w:hAnsi="Book Antiqua"/>
          <w:bCs/>
          <w:lang w:val="en-GB"/>
        </w:rPr>
      </w:pPr>
    </w:p>
    <w:p w:rsidR="009B7E69" w:rsidRDefault="00520D86" w:rsidP="00D27DD3">
      <w:pPr>
        <w:numPr>
          <w:ilvl w:val="0"/>
          <w:numId w:val="1"/>
        </w:numPr>
        <w:ind w:left="720" w:hanging="720"/>
        <w:jc w:val="both"/>
        <w:rPr>
          <w:rFonts w:ascii="Book Antiqua" w:hAnsi="Book Antiqua"/>
          <w:bCs/>
          <w:lang w:val="en-GB"/>
        </w:rPr>
      </w:pPr>
      <w:r>
        <w:rPr>
          <w:rFonts w:ascii="Book Antiqua" w:hAnsi="Book Antiqua"/>
        </w:rPr>
        <w:t xml:space="preserve"> </w:t>
      </w:r>
      <w:r>
        <w:rPr>
          <w:rFonts w:ascii="Book Antiqua" w:hAnsi="Book Antiqua"/>
        </w:rPr>
        <w:tab/>
      </w:r>
      <w:r w:rsidRPr="00520D86">
        <w:rPr>
          <w:rFonts w:ascii="Book Antiqua" w:hAnsi="Book Antiqua"/>
          <w:u w:val="single"/>
        </w:rPr>
        <w:t>Dang</w:t>
      </w:r>
      <w:r w:rsidRPr="00520D86">
        <w:rPr>
          <w:rFonts w:ascii="Book Antiqua" w:hAnsi="Book Antiqua"/>
        </w:rPr>
        <w:t xml:space="preserve"> </w:t>
      </w:r>
      <w:r w:rsidRPr="00520D86">
        <w:rPr>
          <w:rFonts w:ascii="Book Antiqua" w:hAnsi="Book Antiqua"/>
          <w:bCs/>
          <w:lang w:val="en-GB"/>
        </w:rPr>
        <w:t xml:space="preserve">does not assist as the second head note which Mr </w:t>
      </w:r>
      <w:proofErr w:type="spellStart"/>
      <w:r w:rsidRPr="00520D86">
        <w:rPr>
          <w:rFonts w:ascii="Book Antiqua" w:hAnsi="Book Antiqua"/>
          <w:bCs/>
          <w:lang w:val="en-GB"/>
        </w:rPr>
        <w:t>Tufan</w:t>
      </w:r>
      <w:proofErr w:type="spellEnd"/>
      <w:r w:rsidRPr="00520D86">
        <w:rPr>
          <w:rFonts w:ascii="Book Antiqua" w:hAnsi="Book Antiqua"/>
          <w:bCs/>
          <w:lang w:val="en-GB"/>
        </w:rPr>
        <w:t xml:space="preserve"> referred to applies to those individuals who were granted asylum before the QD came into force and, in any event, was not concerned with cessation provisions (at 12 and</w:t>
      </w:r>
      <w:r>
        <w:rPr>
          <w:rFonts w:ascii="Book Antiqua" w:hAnsi="Book Antiqua"/>
          <w:bCs/>
          <w:lang w:val="en-GB"/>
        </w:rPr>
        <w:t xml:space="preserve"> 31).</w:t>
      </w:r>
    </w:p>
    <w:p w:rsidR="00411ECB" w:rsidRDefault="00411ECB" w:rsidP="00411ECB">
      <w:pPr>
        <w:pStyle w:val="ListParagraph"/>
        <w:rPr>
          <w:rFonts w:ascii="Book Antiqua" w:hAnsi="Book Antiqua"/>
          <w:bCs/>
          <w:lang w:val="en-GB"/>
        </w:rPr>
      </w:pPr>
    </w:p>
    <w:p w:rsidR="00BE43DE" w:rsidRDefault="00411ECB" w:rsidP="00D27DD3">
      <w:pPr>
        <w:numPr>
          <w:ilvl w:val="0"/>
          <w:numId w:val="1"/>
        </w:numPr>
        <w:ind w:left="720" w:hanging="720"/>
        <w:jc w:val="both"/>
        <w:rPr>
          <w:rFonts w:ascii="Book Antiqua" w:hAnsi="Book Antiqua"/>
          <w:bCs/>
          <w:lang w:val="en-GB"/>
        </w:rPr>
      </w:pPr>
      <w:r>
        <w:rPr>
          <w:rFonts w:ascii="Book Antiqua" w:hAnsi="Book Antiqua"/>
          <w:bCs/>
          <w:lang w:val="en-GB"/>
        </w:rPr>
        <w:t xml:space="preserve"> </w:t>
      </w:r>
      <w:r>
        <w:rPr>
          <w:rFonts w:ascii="Book Antiqua" w:hAnsi="Book Antiqua"/>
          <w:bCs/>
          <w:lang w:val="en-GB"/>
        </w:rPr>
        <w:tab/>
        <w:t xml:space="preserve">Applying all this information to the decision and the appellant’s case, I find that the respondent has shown that the risk of persecution to the appellant from the authorities as a result of his father’s previous involvement with the </w:t>
      </w:r>
      <w:proofErr w:type="spellStart"/>
      <w:r>
        <w:rPr>
          <w:rFonts w:ascii="Book Antiqua" w:hAnsi="Book Antiqua"/>
          <w:bCs/>
          <w:lang w:val="en-GB"/>
        </w:rPr>
        <w:t>Hizb-i-Islami</w:t>
      </w:r>
      <w:proofErr w:type="spellEnd"/>
      <w:r>
        <w:rPr>
          <w:rFonts w:ascii="Book Antiqua" w:hAnsi="Book Antiqua"/>
          <w:bCs/>
          <w:lang w:val="en-GB"/>
        </w:rPr>
        <w:t xml:space="preserve"> has been eradicated. I have seen no reports of any troubles or problems emanating from involvement with the group; </w:t>
      </w:r>
      <w:proofErr w:type="gramStart"/>
      <w:r>
        <w:rPr>
          <w:rFonts w:ascii="Book Antiqua" w:hAnsi="Book Antiqua"/>
          <w:bCs/>
          <w:lang w:val="en-GB"/>
        </w:rPr>
        <w:t>indeed</w:t>
      </w:r>
      <w:proofErr w:type="gramEnd"/>
      <w:r>
        <w:rPr>
          <w:rFonts w:ascii="Book Antiqua" w:hAnsi="Book Antiqua"/>
          <w:bCs/>
          <w:lang w:val="en-GB"/>
        </w:rPr>
        <w:t xml:space="preserve"> the evidence shows that part of the groups has been incorporated into the government and the </w:t>
      </w:r>
      <w:proofErr w:type="spellStart"/>
      <w:r>
        <w:rPr>
          <w:rFonts w:ascii="Book Antiqua" w:hAnsi="Book Antiqua"/>
          <w:bCs/>
          <w:lang w:val="en-GB"/>
        </w:rPr>
        <w:t>Hekmatyar</w:t>
      </w:r>
      <w:proofErr w:type="spellEnd"/>
      <w:r>
        <w:rPr>
          <w:rFonts w:ascii="Book Antiqua" w:hAnsi="Book Antiqua"/>
          <w:bCs/>
          <w:lang w:val="en-GB"/>
        </w:rPr>
        <w:t xml:space="preserve"> faction has reached an agreement with the government which has meant </w:t>
      </w:r>
      <w:proofErr w:type="spellStart"/>
      <w:r>
        <w:rPr>
          <w:rFonts w:ascii="Book Antiqua" w:hAnsi="Book Antiqua"/>
          <w:bCs/>
          <w:lang w:val="en-GB"/>
        </w:rPr>
        <w:t>Hekmatyar</w:t>
      </w:r>
      <w:proofErr w:type="spellEnd"/>
      <w:r>
        <w:rPr>
          <w:rFonts w:ascii="Book Antiqua" w:hAnsi="Book Antiqua"/>
          <w:bCs/>
          <w:lang w:val="en-GB"/>
        </w:rPr>
        <w:t xml:space="preserve"> coming out of hiding, making public appearances and speeches and being free to move around without risk. It has been almost two years since the agreement and there have been no reports of failure, no return to hostilities and indeed the </w:t>
      </w:r>
      <w:proofErr w:type="spellStart"/>
      <w:r>
        <w:rPr>
          <w:rFonts w:ascii="Book Antiqua" w:hAnsi="Book Antiqua"/>
          <w:bCs/>
          <w:lang w:val="en-GB"/>
        </w:rPr>
        <w:t>Hizb-i-Islami</w:t>
      </w:r>
      <w:proofErr w:type="spellEnd"/>
      <w:r>
        <w:rPr>
          <w:rFonts w:ascii="Book Antiqua" w:hAnsi="Book Antiqua"/>
          <w:bCs/>
          <w:lang w:val="en-GB"/>
        </w:rPr>
        <w:t xml:space="preserve"> no longer features negatively in any of the country material before me. In the </w:t>
      </w:r>
      <w:r>
        <w:rPr>
          <w:rFonts w:ascii="Book Antiqua" w:hAnsi="Book Antiqua"/>
          <w:bCs/>
          <w:lang w:val="en-GB"/>
        </w:rPr>
        <w:lastRenderedPageBreak/>
        <w:t xml:space="preserve">circumstances I see no reason why the appellant would be at risk on account of his deceased father’s involvement </w:t>
      </w:r>
      <w:r w:rsidR="00BE43DE">
        <w:rPr>
          <w:rFonts w:ascii="Book Antiqua" w:hAnsi="Book Antiqua"/>
          <w:bCs/>
          <w:lang w:val="en-GB"/>
        </w:rPr>
        <w:t>(</w:t>
      </w:r>
      <w:r>
        <w:rPr>
          <w:rFonts w:ascii="Book Antiqua" w:hAnsi="Book Antiqua"/>
          <w:bCs/>
          <w:lang w:val="en-GB"/>
        </w:rPr>
        <w:t>prior to 1996</w:t>
      </w:r>
      <w:r w:rsidR="00BE43DE">
        <w:rPr>
          <w:rFonts w:ascii="Book Antiqua" w:hAnsi="Book Antiqua"/>
          <w:bCs/>
          <w:lang w:val="en-GB"/>
        </w:rPr>
        <w:t xml:space="preserve">). </w:t>
      </w:r>
    </w:p>
    <w:p w:rsidR="00BE43DE" w:rsidRDefault="00BE43DE" w:rsidP="00BE43DE">
      <w:pPr>
        <w:pStyle w:val="ListParagraph"/>
        <w:rPr>
          <w:rFonts w:ascii="Book Antiqua" w:hAnsi="Book Antiqua"/>
          <w:bCs/>
          <w:lang w:val="en-GB"/>
        </w:rPr>
      </w:pPr>
    </w:p>
    <w:p w:rsidR="00411ECB" w:rsidRDefault="00BE43DE" w:rsidP="00D27DD3">
      <w:pPr>
        <w:numPr>
          <w:ilvl w:val="0"/>
          <w:numId w:val="1"/>
        </w:numPr>
        <w:ind w:left="720" w:hanging="720"/>
        <w:jc w:val="both"/>
        <w:rPr>
          <w:rFonts w:ascii="Book Antiqua" w:hAnsi="Book Antiqua"/>
          <w:bCs/>
          <w:lang w:val="en-GB"/>
        </w:rPr>
      </w:pPr>
      <w:r>
        <w:rPr>
          <w:rFonts w:ascii="Book Antiqua" w:hAnsi="Book Antiqua"/>
          <w:bCs/>
          <w:lang w:val="en-GB"/>
        </w:rPr>
        <w:t xml:space="preserve"> </w:t>
      </w:r>
      <w:r>
        <w:rPr>
          <w:rFonts w:ascii="Book Antiqua" w:hAnsi="Book Antiqua"/>
          <w:bCs/>
          <w:lang w:val="en-GB"/>
        </w:rPr>
        <w:tab/>
        <w:t xml:space="preserve">The appellant lived in Kabul and the country guidance is that Kabul is sage for relocation which makes it easier still for someone who used to live there. The appellant still has close family there and so would not be returning without any support network. Indeed, the country guidance confirms that even those who fear the Taliban, which is still active there, could safely return there. </w:t>
      </w:r>
      <w:r w:rsidR="00FB03FC">
        <w:rPr>
          <w:rFonts w:ascii="Book Antiqua" w:hAnsi="Book Antiqua"/>
          <w:bCs/>
          <w:lang w:val="en-GB"/>
        </w:rPr>
        <w:t xml:space="preserve">Additionally, the appellant is fit and healthy. There is no suggestion that in any of the communication the appellant has had with his relatives that there has been any difficulty or that there have been enquiries about his whereabouts. </w:t>
      </w:r>
    </w:p>
    <w:p w:rsidR="00411ECB" w:rsidRDefault="00411ECB" w:rsidP="00411ECB">
      <w:pPr>
        <w:pStyle w:val="ListParagraph"/>
        <w:rPr>
          <w:rFonts w:ascii="Book Antiqua" w:hAnsi="Book Antiqua"/>
          <w:bCs/>
          <w:lang w:val="en-GB"/>
        </w:rPr>
      </w:pPr>
    </w:p>
    <w:p w:rsidR="00411ECB" w:rsidRPr="00666839" w:rsidRDefault="00411ECB" w:rsidP="00D27DD3">
      <w:pPr>
        <w:numPr>
          <w:ilvl w:val="0"/>
          <w:numId w:val="1"/>
        </w:numPr>
        <w:ind w:left="720" w:hanging="720"/>
        <w:jc w:val="both"/>
        <w:rPr>
          <w:rFonts w:ascii="Book Antiqua" w:hAnsi="Book Antiqua"/>
          <w:bCs/>
          <w:lang w:val="en-GB"/>
        </w:rPr>
      </w:pPr>
      <w:r>
        <w:rPr>
          <w:rFonts w:ascii="Book Antiqua" w:hAnsi="Book Antiqua"/>
          <w:bCs/>
          <w:lang w:val="en-GB"/>
        </w:rPr>
        <w:t xml:space="preserve"> </w:t>
      </w:r>
      <w:r w:rsidR="00FB03FC">
        <w:rPr>
          <w:rFonts w:ascii="Book Antiqua" w:hAnsi="Book Antiqua"/>
          <w:bCs/>
          <w:lang w:val="en-GB"/>
        </w:rPr>
        <w:t xml:space="preserve"> </w:t>
      </w:r>
      <w:r w:rsidR="00FB03FC">
        <w:rPr>
          <w:rFonts w:ascii="Book Antiqua" w:hAnsi="Book Antiqua"/>
          <w:bCs/>
          <w:lang w:val="en-GB"/>
        </w:rPr>
        <w:tab/>
        <w:t xml:space="preserve">The change in the government’s attitude to </w:t>
      </w:r>
      <w:proofErr w:type="spellStart"/>
      <w:r w:rsidR="00FB03FC">
        <w:rPr>
          <w:rFonts w:ascii="Book Antiqua" w:hAnsi="Book Antiqua"/>
          <w:bCs/>
          <w:lang w:val="en-GB"/>
        </w:rPr>
        <w:t>Hizb-i-Islami</w:t>
      </w:r>
      <w:proofErr w:type="spellEnd"/>
      <w:r w:rsidR="00FB03FC">
        <w:rPr>
          <w:rFonts w:ascii="Book Antiqua" w:hAnsi="Book Antiqua"/>
          <w:bCs/>
          <w:lang w:val="en-GB"/>
        </w:rPr>
        <w:t xml:space="preserve"> members and supporters has fundamentally changed and therefore it is fair to say that the basis of the fear which led to the appellant’s grant of asylum has been eradicated. The situation at present is entirely different in that respect to what it was in 2010. The appellant would no longer be at risk because of his father’s activities. </w:t>
      </w:r>
      <w:r w:rsidR="00666839">
        <w:rPr>
          <w:rFonts w:ascii="Book Antiqua" w:hAnsi="Book Antiqua"/>
          <w:bCs/>
          <w:lang w:val="en-GB"/>
        </w:rPr>
        <w:t xml:space="preserve">There has been a change </w:t>
      </w:r>
      <w:r w:rsidR="00FB03FC" w:rsidRPr="00FB03FC">
        <w:rPr>
          <w:rFonts w:ascii="Book Antiqua" w:hAnsi="Book Antiqua"/>
        </w:rPr>
        <w:t xml:space="preserve">in </w:t>
      </w:r>
      <w:r w:rsidR="00666839">
        <w:rPr>
          <w:rFonts w:ascii="Book Antiqua" w:hAnsi="Book Antiqua"/>
        </w:rPr>
        <w:t>the</w:t>
      </w:r>
      <w:r w:rsidR="00FB03FC" w:rsidRPr="00FB03FC">
        <w:rPr>
          <w:rFonts w:ascii="Book Antiqua" w:hAnsi="Book Antiqua"/>
        </w:rPr>
        <w:t xml:space="preserve"> country situation </w:t>
      </w:r>
      <w:r w:rsidR="00666839">
        <w:rPr>
          <w:rFonts w:ascii="Book Antiqua" w:hAnsi="Book Antiqua"/>
        </w:rPr>
        <w:t xml:space="preserve">which means that </w:t>
      </w:r>
      <w:r w:rsidR="00FB03FC" w:rsidRPr="00FB03FC">
        <w:rPr>
          <w:rFonts w:ascii="Book Antiqua" w:hAnsi="Book Antiqua"/>
        </w:rPr>
        <w:t xml:space="preserve">the reasons that led to the grant of asylum no longer apply. </w:t>
      </w:r>
      <w:r w:rsidR="00666839">
        <w:rPr>
          <w:rFonts w:ascii="Book Antiqua" w:hAnsi="Book Antiqua"/>
        </w:rPr>
        <w:t xml:space="preserve">The </w:t>
      </w:r>
      <w:r w:rsidR="00FB03FC" w:rsidRPr="00FB03FC">
        <w:rPr>
          <w:rFonts w:ascii="Book Antiqua" w:hAnsi="Book Antiqua"/>
        </w:rPr>
        <w:t xml:space="preserve">change </w:t>
      </w:r>
      <w:r w:rsidR="00666839">
        <w:rPr>
          <w:rFonts w:ascii="Book Antiqua" w:hAnsi="Book Antiqua"/>
        </w:rPr>
        <w:t>is</w:t>
      </w:r>
      <w:r w:rsidR="00FB03FC" w:rsidRPr="00FB03FC">
        <w:rPr>
          <w:rFonts w:ascii="Book Antiqua" w:hAnsi="Book Antiqua"/>
        </w:rPr>
        <w:t xml:space="preserve"> significant and non-temporary</w:t>
      </w:r>
      <w:r w:rsidR="00666839">
        <w:rPr>
          <w:rFonts w:ascii="Book Antiqua" w:hAnsi="Book Antiqua"/>
        </w:rPr>
        <w:t>.</w:t>
      </w:r>
    </w:p>
    <w:p w:rsidR="00666839" w:rsidRDefault="00666839" w:rsidP="00666839">
      <w:pPr>
        <w:pStyle w:val="ListParagraph"/>
        <w:rPr>
          <w:rFonts w:ascii="Book Antiqua" w:hAnsi="Book Antiqua"/>
          <w:bCs/>
          <w:lang w:val="en-GB"/>
        </w:rPr>
      </w:pPr>
    </w:p>
    <w:p w:rsidR="00666839" w:rsidRPr="00666839" w:rsidRDefault="00666839" w:rsidP="007B0902">
      <w:pPr>
        <w:numPr>
          <w:ilvl w:val="0"/>
          <w:numId w:val="1"/>
        </w:numPr>
        <w:ind w:left="720" w:hanging="720"/>
        <w:jc w:val="both"/>
        <w:rPr>
          <w:rFonts w:ascii="Book Antiqua" w:hAnsi="Book Antiqua"/>
          <w:bCs/>
          <w:lang w:val="en-GB"/>
        </w:rPr>
      </w:pPr>
      <w:r w:rsidRPr="00666839">
        <w:rPr>
          <w:rFonts w:ascii="Book Antiqua" w:hAnsi="Book Antiqua"/>
          <w:bCs/>
          <w:lang w:val="en-GB"/>
        </w:rPr>
        <w:t xml:space="preserve"> </w:t>
      </w:r>
      <w:r w:rsidRPr="00666839">
        <w:rPr>
          <w:rFonts w:ascii="Book Antiqua" w:hAnsi="Book Antiqua"/>
          <w:bCs/>
          <w:lang w:val="en-GB"/>
        </w:rPr>
        <w:tab/>
        <w:t xml:space="preserve">I confirm that I have not placed weight on the appellant’s criminality when reaching my conclusions although his convictions were what triggered the cessation provisions of the rules. </w:t>
      </w:r>
      <w:r w:rsidRPr="00666839">
        <w:rPr>
          <w:rFonts w:ascii="Book Antiqua" w:hAnsi="Book Antiqua"/>
          <w:lang w:val="en-GB"/>
        </w:rPr>
        <w:t>The findings made with respect to article 8 are preserved as there have been no challenges made to those.</w:t>
      </w:r>
    </w:p>
    <w:p w:rsidR="00666839" w:rsidRDefault="00666839" w:rsidP="00666839">
      <w:pPr>
        <w:pStyle w:val="ListParagraph"/>
        <w:rPr>
          <w:rFonts w:ascii="Book Antiqua" w:hAnsi="Book Antiqua"/>
          <w:bCs/>
          <w:lang w:val="en-GB"/>
        </w:rPr>
      </w:pPr>
    </w:p>
    <w:p w:rsidR="00666839" w:rsidRPr="00666839" w:rsidRDefault="00666839" w:rsidP="00D27DD3">
      <w:pPr>
        <w:numPr>
          <w:ilvl w:val="0"/>
          <w:numId w:val="1"/>
        </w:numPr>
        <w:ind w:left="720" w:hanging="720"/>
        <w:jc w:val="both"/>
        <w:rPr>
          <w:rFonts w:ascii="Book Antiqua" w:hAnsi="Book Antiqua"/>
          <w:bCs/>
          <w:lang w:val="en-GB"/>
        </w:rPr>
      </w:pPr>
      <w:r>
        <w:rPr>
          <w:rFonts w:ascii="Book Antiqua" w:hAnsi="Book Antiqua" w:cs="Arial"/>
          <w:b/>
          <w:bCs/>
          <w:lang w:val="en-GB"/>
        </w:rPr>
        <w:t xml:space="preserve"> </w:t>
      </w:r>
      <w:r>
        <w:rPr>
          <w:rFonts w:ascii="Book Antiqua" w:hAnsi="Book Antiqua" w:cs="Arial"/>
          <w:b/>
          <w:bCs/>
          <w:lang w:val="en-GB"/>
        </w:rPr>
        <w:tab/>
      </w:r>
      <w:r w:rsidRPr="00F95F6F">
        <w:rPr>
          <w:rFonts w:ascii="Book Antiqua" w:hAnsi="Book Antiqua" w:cs="Arial"/>
          <w:b/>
          <w:bCs/>
          <w:lang w:val="en-GB"/>
        </w:rPr>
        <w:t>Decision</w:t>
      </w:r>
    </w:p>
    <w:p w:rsidR="00666839" w:rsidRDefault="00666839" w:rsidP="00666839">
      <w:pPr>
        <w:pStyle w:val="ListParagraph"/>
        <w:rPr>
          <w:rFonts w:ascii="Book Antiqua" w:hAnsi="Book Antiqua"/>
          <w:bCs/>
          <w:lang w:val="en-GB"/>
        </w:rPr>
      </w:pPr>
    </w:p>
    <w:p w:rsidR="00666839" w:rsidRDefault="00666839" w:rsidP="00D27DD3">
      <w:pPr>
        <w:numPr>
          <w:ilvl w:val="0"/>
          <w:numId w:val="1"/>
        </w:numPr>
        <w:ind w:left="720" w:hanging="720"/>
        <w:jc w:val="both"/>
        <w:rPr>
          <w:rFonts w:ascii="Book Antiqua" w:hAnsi="Book Antiqua"/>
          <w:bCs/>
          <w:lang w:val="en-GB"/>
        </w:rPr>
      </w:pPr>
      <w:r>
        <w:rPr>
          <w:rFonts w:ascii="Book Antiqua" w:hAnsi="Book Antiqua"/>
          <w:bCs/>
          <w:lang w:val="en-GB"/>
        </w:rPr>
        <w:t xml:space="preserve">  </w:t>
      </w:r>
      <w:r>
        <w:rPr>
          <w:rFonts w:ascii="Book Antiqua" w:hAnsi="Book Antiqua"/>
          <w:bCs/>
          <w:lang w:val="en-GB"/>
        </w:rPr>
        <w:tab/>
        <w:t xml:space="preserve">The appeal is dismissed. </w:t>
      </w:r>
    </w:p>
    <w:p w:rsidR="00666839" w:rsidRDefault="00666839" w:rsidP="00666839">
      <w:pPr>
        <w:pStyle w:val="ListParagraph"/>
        <w:rPr>
          <w:rFonts w:ascii="Book Antiqua" w:hAnsi="Book Antiqua"/>
          <w:bCs/>
          <w:lang w:val="en-GB"/>
        </w:rPr>
      </w:pPr>
    </w:p>
    <w:p w:rsidR="00666839" w:rsidRPr="00666839" w:rsidRDefault="00666839" w:rsidP="00D27DD3">
      <w:pPr>
        <w:numPr>
          <w:ilvl w:val="0"/>
          <w:numId w:val="1"/>
        </w:numPr>
        <w:ind w:left="720" w:hanging="720"/>
        <w:jc w:val="both"/>
        <w:rPr>
          <w:rFonts w:ascii="Book Antiqua" w:hAnsi="Book Antiqua"/>
          <w:bCs/>
          <w:lang w:val="en-GB"/>
        </w:rPr>
      </w:pPr>
      <w:r>
        <w:rPr>
          <w:rFonts w:ascii="Book Antiqua" w:hAnsi="Book Antiqua"/>
          <w:b/>
          <w:lang w:val="en-GB"/>
        </w:rPr>
        <w:t xml:space="preserve"> </w:t>
      </w:r>
      <w:r>
        <w:rPr>
          <w:rFonts w:ascii="Book Antiqua" w:hAnsi="Book Antiqua"/>
          <w:b/>
          <w:lang w:val="en-GB"/>
        </w:rPr>
        <w:tab/>
      </w:r>
      <w:r w:rsidRPr="000645BA">
        <w:rPr>
          <w:rFonts w:ascii="Book Antiqua" w:hAnsi="Book Antiqua"/>
          <w:b/>
          <w:lang w:val="en-GB"/>
        </w:rPr>
        <w:t>Anonymity Order</w:t>
      </w:r>
    </w:p>
    <w:p w:rsidR="00666839" w:rsidRDefault="00666839" w:rsidP="00666839">
      <w:pPr>
        <w:pStyle w:val="ListParagraph"/>
        <w:rPr>
          <w:rFonts w:ascii="Book Antiqua" w:hAnsi="Book Antiqua"/>
          <w:bCs/>
          <w:lang w:val="en-GB"/>
        </w:rPr>
      </w:pPr>
    </w:p>
    <w:p w:rsidR="00666839" w:rsidRPr="00520D86" w:rsidRDefault="00666839" w:rsidP="00D27DD3">
      <w:pPr>
        <w:numPr>
          <w:ilvl w:val="0"/>
          <w:numId w:val="1"/>
        </w:numPr>
        <w:ind w:left="720" w:hanging="720"/>
        <w:jc w:val="both"/>
        <w:rPr>
          <w:rFonts w:ascii="Book Antiqua" w:hAnsi="Book Antiqua"/>
          <w:bCs/>
          <w:lang w:val="en-GB"/>
        </w:rPr>
      </w:pPr>
      <w:r>
        <w:rPr>
          <w:rFonts w:ascii="Book Antiqua" w:hAnsi="Book Antiqua"/>
          <w:lang w:val="en-GB"/>
        </w:rPr>
        <w:t xml:space="preserve"> </w:t>
      </w:r>
      <w:r>
        <w:rPr>
          <w:rFonts w:ascii="Book Antiqua" w:hAnsi="Book Antiqua"/>
          <w:lang w:val="en-GB"/>
        </w:rPr>
        <w:tab/>
      </w:r>
      <w:r w:rsidRPr="000645BA">
        <w:rPr>
          <w:rFonts w:ascii="Book Antiqua" w:hAnsi="Book Antiqua"/>
          <w:lang w:val="en-GB"/>
        </w:rPr>
        <w:t xml:space="preserve">I </w:t>
      </w:r>
      <w:r>
        <w:rPr>
          <w:rFonts w:ascii="Book Antiqua" w:hAnsi="Book Antiqua"/>
          <w:lang w:val="en-GB"/>
        </w:rPr>
        <w:t>continue the</w:t>
      </w:r>
      <w:r w:rsidRPr="000645BA">
        <w:rPr>
          <w:rFonts w:ascii="Book Antiqua" w:hAnsi="Book Antiqua"/>
          <w:lang w:val="en-GB"/>
        </w:rPr>
        <w:t xml:space="preserve"> order for anonymity</w:t>
      </w:r>
      <w:r>
        <w:rPr>
          <w:rFonts w:ascii="Book Antiqua" w:hAnsi="Book Antiqua"/>
          <w:lang w:val="en-GB"/>
        </w:rPr>
        <w:t xml:space="preserve"> made by the First-tier Tribunal</w:t>
      </w:r>
      <w:r w:rsidRPr="000645BA">
        <w:rPr>
          <w:rFonts w:ascii="Book Antiqua" w:hAnsi="Book Antiqua"/>
          <w:lang w:val="en-GB"/>
        </w:rPr>
        <w:t>.</w:t>
      </w:r>
    </w:p>
    <w:p w:rsidR="00927450" w:rsidRPr="00520D86" w:rsidRDefault="00927450" w:rsidP="00927450">
      <w:pPr>
        <w:pStyle w:val="ListParagraph"/>
        <w:rPr>
          <w:rFonts w:ascii="Book Antiqua" w:hAnsi="Book Antiqua"/>
          <w:bCs/>
          <w:lang w:val="en-GB"/>
        </w:rPr>
      </w:pPr>
    </w:p>
    <w:p w:rsidR="0016351F" w:rsidRPr="00F95F6F" w:rsidRDefault="0016351F" w:rsidP="0016351F">
      <w:pPr>
        <w:jc w:val="both"/>
        <w:rPr>
          <w:rFonts w:ascii="Book Antiqua" w:hAnsi="Book Antiqua"/>
          <w:b/>
          <w:bCs/>
          <w:lang w:val="en-GB"/>
        </w:rPr>
      </w:pPr>
      <w:r w:rsidRPr="00F95F6F">
        <w:rPr>
          <w:rFonts w:ascii="Book Antiqua" w:hAnsi="Book Antiqua"/>
          <w:lang w:val="en-GB"/>
        </w:rPr>
        <w:t xml:space="preserve">            </w:t>
      </w:r>
      <w:r w:rsidRPr="00F95F6F">
        <w:rPr>
          <w:rFonts w:ascii="Book Antiqua" w:hAnsi="Book Antiqua"/>
          <w:b/>
          <w:bCs/>
          <w:lang w:val="en-GB"/>
        </w:rPr>
        <w:t>Signed:</w:t>
      </w:r>
    </w:p>
    <w:p w:rsidR="0016351F" w:rsidRPr="00F95F6F" w:rsidRDefault="0016351F" w:rsidP="0016351F">
      <w:pPr>
        <w:ind w:left="720"/>
        <w:jc w:val="both"/>
        <w:rPr>
          <w:rFonts w:ascii="Book Antiqua" w:hAnsi="Book Antiqua"/>
          <w:lang w:val="en-GB"/>
        </w:rPr>
      </w:pPr>
    </w:p>
    <w:p w:rsidR="0016351F" w:rsidRPr="00F95F6F" w:rsidRDefault="0016351F" w:rsidP="0016351F">
      <w:pPr>
        <w:ind w:left="720"/>
        <w:jc w:val="both"/>
        <w:rPr>
          <w:rFonts w:ascii="Book Antiqua" w:hAnsi="Book Antiqua"/>
          <w:lang w:val="en-GB"/>
        </w:rPr>
      </w:pPr>
      <w:r w:rsidRPr="00456837">
        <w:rPr>
          <w:noProof/>
          <w:sz w:val="20"/>
          <w:szCs w:val="20"/>
          <w:lang w:eastAsia="en-GB"/>
        </w:rPr>
        <w:drawing>
          <wp:inline distT="0" distB="0" distL="0" distR="0" wp14:anchorId="0EF255FE" wp14:editId="01D9B58A">
            <wp:extent cx="2515870" cy="659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5870" cy="659765"/>
                    </a:xfrm>
                    <a:prstGeom prst="rect">
                      <a:avLst/>
                    </a:prstGeom>
                    <a:noFill/>
                    <a:ln>
                      <a:noFill/>
                    </a:ln>
                  </pic:spPr>
                </pic:pic>
              </a:graphicData>
            </a:graphic>
          </wp:inline>
        </w:drawing>
      </w:r>
    </w:p>
    <w:p w:rsidR="0016351F" w:rsidRPr="00F95F6F" w:rsidRDefault="0016351F" w:rsidP="0016351F">
      <w:pPr>
        <w:ind w:left="720"/>
        <w:jc w:val="both"/>
        <w:rPr>
          <w:rFonts w:ascii="Book Antiqua" w:hAnsi="Book Antiqua" w:cs="Arial"/>
          <w:b/>
          <w:bCs/>
          <w:lang w:val="en-GB"/>
        </w:rPr>
      </w:pPr>
      <w:r w:rsidRPr="00F95F6F">
        <w:rPr>
          <w:rFonts w:ascii="Book Antiqua" w:hAnsi="Book Antiqua" w:cs="Arial"/>
          <w:b/>
          <w:bCs/>
          <w:lang w:val="en-GB"/>
        </w:rPr>
        <w:t xml:space="preserve">Dr R </w:t>
      </w:r>
      <w:proofErr w:type="spellStart"/>
      <w:r w:rsidRPr="00F95F6F">
        <w:rPr>
          <w:rFonts w:ascii="Book Antiqua" w:hAnsi="Book Antiqua" w:cs="Arial"/>
          <w:b/>
          <w:bCs/>
          <w:lang w:val="en-GB"/>
        </w:rPr>
        <w:t>Kekić</w:t>
      </w:r>
      <w:proofErr w:type="spellEnd"/>
    </w:p>
    <w:p w:rsidR="0016351F" w:rsidRDefault="0016351F" w:rsidP="0016351F">
      <w:pPr>
        <w:ind w:firstLine="720"/>
        <w:jc w:val="both"/>
        <w:rPr>
          <w:rFonts w:ascii="Book Antiqua" w:hAnsi="Book Antiqua" w:cs="Arial"/>
          <w:lang w:val="en-GB"/>
        </w:rPr>
      </w:pPr>
      <w:r w:rsidRPr="00F95F6F">
        <w:rPr>
          <w:rFonts w:ascii="Book Antiqua" w:hAnsi="Book Antiqua" w:cs="Arial"/>
          <w:b/>
          <w:bCs/>
          <w:lang w:val="en-GB"/>
        </w:rPr>
        <w:t xml:space="preserve">Judge of the Upper Tribunal  </w:t>
      </w:r>
      <w:r w:rsidRPr="00F95F6F">
        <w:rPr>
          <w:rFonts w:ascii="Book Antiqua" w:hAnsi="Book Antiqua" w:cs="Arial"/>
          <w:lang w:val="en-GB"/>
        </w:rPr>
        <w:t xml:space="preserve">            </w:t>
      </w:r>
    </w:p>
    <w:p w:rsidR="007B1745" w:rsidRDefault="00666839" w:rsidP="00666839">
      <w:pPr>
        <w:ind w:firstLine="720"/>
        <w:jc w:val="both"/>
      </w:pPr>
      <w:r>
        <w:rPr>
          <w:rFonts w:ascii="Book Antiqua" w:hAnsi="Book Antiqua" w:cs="Arial"/>
          <w:b/>
          <w:lang w:val="en-GB"/>
        </w:rPr>
        <w:t xml:space="preserve">2 July </w:t>
      </w:r>
      <w:r w:rsidR="0016351F" w:rsidRPr="001C4A0D">
        <w:rPr>
          <w:rFonts w:ascii="Book Antiqua" w:hAnsi="Book Antiqua" w:cs="Arial"/>
          <w:b/>
          <w:lang w:val="en-GB"/>
        </w:rPr>
        <w:t>2018</w:t>
      </w:r>
    </w:p>
    <w:sectPr w:rsidR="007B1745" w:rsidSect="00927450">
      <w:headerReference w:type="default" r:id="rId9"/>
      <w:footerReference w:type="even" r:id="rId10"/>
      <w:footerReference w:type="default" r:id="rId11"/>
      <w:footerReference w:type="first" r:id="rId12"/>
      <w:pgSz w:w="12240" w:h="15840" w:code="1"/>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969" w:rsidRDefault="00EA1969">
      <w:r>
        <w:separator/>
      </w:r>
    </w:p>
  </w:endnote>
  <w:endnote w:type="continuationSeparator" w:id="0">
    <w:p w:rsidR="00EA1969" w:rsidRDefault="00EA1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450" w:rsidRDefault="00927450" w:rsidP="009274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27450" w:rsidRDefault="00927450" w:rsidP="009274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114950"/>
      <w:docPartObj>
        <w:docPartGallery w:val="Page Numbers (Bottom of Page)"/>
        <w:docPartUnique/>
      </w:docPartObj>
    </w:sdtPr>
    <w:sdtEndPr>
      <w:rPr>
        <w:noProof/>
      </w:rPr>
    </w:sdtEndPr>
    <w:sdtContent>
      <w:p w:rsidR="00FA0A09" w:rsidRDefault="00FA0A09">
        <w:pPr>
          <w:pStyle w:val="Footer"/>
          <w:jc w:val="center"/>
        </w:pPr>
        <w:r>
          <w:fldChar w:fldCharType="begin"/>
        </w:r>
        <w:r>
          <w:instrText xml:space="preserve"> PAGE   \* MERGEFORMAT </w:instrText>
        </w:r>
        <w:r>
          <w:fldChar w:fldCharType="separate"/>
        </w:r>
        <w:r w:rsidR="00117964">
          <w:rPr>
            <w:noProof/>
          </w:rPr>
          <w:t>10</w:t>
        </w:r>
        <w:r>
          <w:rPr>
            <w:noProof/>
          </w:rPr>
          <w:fldChar w:fldCharType="end"/>
        </w:r>
      </w:p>
    </w:sdtContent>
  </w:sdt>
  <w:p w:rsidR="00927450" w:rsidRDefault="00927450" w:rsidP="0092745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450" w:rsidRDefault="00927450">
    <w:pPr>
      <w:pStyle w:val="Footer"/>
    </w:pPr>
    <w:r>
      <w:t xml:space="preserve">                                                       ©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969" w:rsidRDefault="00EA1969">
      <w:r>
        <w:separator/>
      </w:r>
    </w:p>
  </w:footnote>
  <w:footnote w:type="continuationSeparator" w:id="0">
    <w:p w:rsidR="00EA1969" w:rsidRDefault="00EA1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A09" w:rsidRPr="00FA0A09" w:rsidRDefault="00FA0A09" w:rsidP="00FA0A09">
    <w:pPr>
      <w:pStyle w:val="Header"/>
      <w:jc w:val="right"/>
      <w:rPr>
        <w:sz w:val="20"/>
        <w:szCs w:val="20"/>
      </w:rPr>
    </w:pPr>
    <w:r w:rsidRPr="00FA0A09">
      <w:rPr>
        <w:sz w:val="20"/>
        <w:szCs w:val="20"/>
      </w:rPr>
      <w:t>RP/00131/2017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1E108C84"/>
    <w:lvl w:ilvl="0">
      <w:start w:val="1"/>
      <w:numFmt w:val="decimal"/>
      <w:suff w:val="nothing"/>
      <w:lvlText w:val="%1."/>
      <w:lvlJc w:val="left"/>
      <w:pPr>
        <w:ind w:left="142" w:firstLine="0"/>
      </w:pPr>
      <w:rPr>
        <w:rFonts w:ascii="Arial" w:hAnsi="Arial" w:cs="Arial" w:hint="default"/>
        <w:b w:val="0"/>
        <w:i w:val="0"/>
      </w:rPr>
    </w:lvl>
  </w:abstractNum>
  <w:abstractNum w:abstractNumId="1" w15:restartNumberingAfterBreak="0">
    <w:nsid w:val="01A66919"/>
    <w:multiLevelType w:val="multilevel"/>
    <w:tmpl w:val="599AFA80"/>
    <w:lvl w:ilvl="0">
      <w:start w:val="1"/>
      <w:numFmt w:val="decimal"/>
      <w:lvlText w:val="%1."/>
      <w:lvlJc w:val="left"/>
      <w:pPr>
        <w:tabs>
          <w:tab w:val="num" w:pos="4245"/>
        </w:tabs>
        <w:ind w:left="4245" w:hanging="360"/>
      </w:pPr>
    </w:lvl>
    <w:lvl w:ilvl="1" w:tentative="1">
      <w:start w:val="1"/>
      <w:numFmt w:val="decimal"/>
      <w:lvlText w:val="%2."/>
      <w:lvlJc w:val="left"/>
      <w:pPr>
        <w:tabs>
          <w:tab w:val="num" w:pos="4965"/>
        </w:tabs>
        <w:ind w:left="4965" w:hanging="360"/>
      </w:pPr>
    </w:lvl>
    <w:lvl w:ilvl="2" w:tentative="1">
      <w:start w:val="1"/>
      <w:numFmt w:val="decimal"/>
      <w:lvlText w:val="%3."/>
      <w:lvlJc w:val="left"/>
      <w:pPr>
        <w:tabs>
          <w:tab w:val="num" w:pos="5685"/>
        </w:tabs>
        <w:ind w:left="5685" w:hanging="360"/>
      </w:pPr>
    </w:lvl>
    <w:lvl w:ilvl="3" w:tentative="1">
      <w:start w:val="1"/>
      <w:numFmt w:val="decimal"/>
      <w:lvlText w:val="%4."/>
      <w:lvlJc w:val="left"/>
      <w:pPr>
        <w:tabs>
          <w:tab w:val="num" w:pos="6405"/>
        </w:tabs>
        <w:ind w:left="6405" w:hanging="360"/>
      </w:pPr>
    </w:lvl>
    <w:lvl w:ilvl="4" w:tentative="1">
      <w:start w:val="1"/>
      <w:numFmt w:val="decimal"/>
      <w:lvlText w:val="%5."/>
      <w:lvlJc w:val="left"/>
      <w:pPr>
        <w:tabs>
          <w:tab w:val="num" w:pos="7125"/>
        </w:tabs>
        <w:ind w:left="7125" w:hanging="360"/>
      </w:pPr>
    </w:lvl>
    <w:lvl w:ilvl="5" w:tentative="1">
      <w:start w:val="1"/>
      <w:numFmt w:val="decimal"/>
      <w:lvlText w:val="%6."/>
      <w:lvlJc w:val="left"/>
      <w:pPr>
        <w:tabs>
          <w:tab w:val="num" w:pos="7845"/>
        </w:tabs>
        <w:ind w:left="7845" w:hanging="360"/>
      </w:pPr>
    </w:lvl>
    <w:lvl w:ilvl="6" w:tentative="1">
      <w:start w:val="1"/>
      <w:numFmt w:val="decimal"/>
      <w:lvlText w:val="%7."/>
      <w:lvlJc w:val="left"/>
      <w:pPr>
        <w:tabs>
          <w:tab w:val="num" w:pos="8565"/>
        </w:tabs>
        <w:ind w:left="8565" w:hanging="360"/>
      </w:pPr>
    </w:lvl>
    <w:lvl w:ilvl="7" w:tentative="1">
      <w:start w:val="1"/>
      <w:numFmt w:val="decimal"/>
      <w:lvlText w:val="%8."/>
      <w:lvlJc w:val="left"/>
      <w:pPr>
        <w:tabs>
          <w:tab w:val="num" w:pos="9285"/>
        </w:tabs>
        <w:ind w:left="9285" w:hanging="360"/>
      </w:pPr>
    </w:lvl>
    <w:lvl w:ilvl="8" w:tentative="1">
      <w:start w:val="1"/>
      <w:numFmt w:val="decimal"/>
      <w:lvlText w:val="%9."/>
      <w:lvlJc w:val="left"/>
      <w:pPr>
        <w:tabs>
          <w:tab w:val="num" w:pos="10005"/>
        </w:tabs>
        <w:ind w:left="10005" w:hanging="360"/>
      </w:pPr>
    </w:lvl>
  </w:abstractNum>
  <w:abstractNum w:abstractNumId="2" w15:restartNumberingAfterBreak="0">
    <w:nsid w:val="100B1D8D"/>
    <w:multiLevelType w:val="multilevel"/>
    <w:tmpl w:val="BBC8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33575"/>
    <w:multiLevelType w:val="multilevel"/>
    <w:tmpl w:val="22B86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A1EC3"/>
    <w:multiLevelType w:val="multilevel"/>
    <w:tmpl w:val="97EA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A747D"/>
    <w:multiLevelType w:val="multilevel"/>
    <w:tmpl w:val="8606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F1D77"/>
    <w:multiLevelType w:val="multilevel"/>
    <w:tmpl w:val="348C6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182EE8"/>
    <w:multiLevelType w:val="hybridMultilevel"/>
    <w:tmpl w:val="C014549C"/>
    <w:lvl w:ilvl="0" w:tplc="D6041992">
      <w:start w:val="1"/>
      <w:numFmt w:val="decimal"/>
      <w:lvlText w:val="%1."/>
      <w:lvlJc w:val="left"/>
      <w:pPr>
        <w:tabs>
          <w:tab w:val="num" w:pos="680"/>
        </w:tabs>
        <w:ind w:left="680" w:hanging="6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62CC0B0D"/>
    <w:multiLevelType w:val="multilevel"/>
    <w:tmpl w:val="4CAA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151C52"/>
    <w:multiLevelType w:val="multilevel"/>
    <w:tmpl w:val="57BC3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B36630"/>
    <w:multiLevelType w:val="singleLevel"/>
    <w:tmpl w:val="1E108C84"/>
    <w:lvl w:ilvl="0">
      <w:start w:val="1"/>
      <w:numFmt w:val="decimal"/>
      <w:suff w:val="nothing"/>
      <w:lvlText w:val="%1."/>
      <w:lvlJc w:val="left"/>
      <w:pPr>
        <w:ind w:left="142" w:firstLine="0"/>
      </w:pPr>
      <w:rPr>
        <w:rFonts w:ascii="Arial" w:hAnsi="Arial" w:cs="Arial" w:hint="default"/>
        <w:b w:val="0"/>
        <w:i w:val="0"/>
      </w:rPr>
    </w:lvl>
  </w:abstractNum>
  <w:num w:numId="1">
    <w:abstractNumId w:val="0"/>
    <w:lvlOverride w:ilvl="0">
      <w:startOverride w:val="1"/>
    </w:lvlOverride>
  </w:num>
  <w:num w:numId="2">
    <w:abstractNumId w:val="1"/>
  </w:num>
  <w:num w:numId="3">
    <w:abstractNumId w:val="8"/>
    <w:lvlOverride w:ilvl="0">
      <w:startOverride w:val="2"/>
    </w:lvlOverride>
  </w:num>
  <w:num w:numId="4">
    <w:abstractNumId w:val="4"/>
    <w:lvlOverride w:ilvl="0">
      <w:startOverride w:val="3"/>
    </w:lvlOverride>
  </w:num>
  <w:num w:numId="5">
    <w:abstractNumId w:val="5"/>
    <w:lvlOverride w:ilvl="0">
      <w:startOverride w:val="4"/>
    </w:lvlOverride>
  </w:num>
  <w:num w:numId="6">
    <w:abstractNumId w:val="3"/>
    <w:lvlOverride w:ilvl="0">
      <w:startOverride w:val="5"/>
    </w:lvlOverride>
  </w:num>
  <w:num w:numId="7">
    <w:abstractNumId w:val="2"/>
    <w:lvlOverride w:ilvl="0">
      <w:startOverride w:val="6"/>
    </w:lvlOverride>
  </w:num>
  <w:num w:numId="8">
    <w:abstractNumId w:val="9"/>
    <w:lvlOverride w:ilvl="0">
      <w:startOverride w:val="7"/>
    </w:lvlOverride>
  </w:num>
  <w:num w:numId="9">
    <w:abstractNumId w:val="6"/>
    <w:lvlOverride w:ilvl="0">
      <w:startOverride w:val="8"/>
    </w:lvlOverride>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51F"/>
    <w:rsid w:val="0004357C"/>
    <w:rsid w:val="0005760C"/>
    <w:rsid w:val="00085681"/>
    <w:rsid w:val="000D3E8D"/>
    <w:rsid w:val="001172E4"/>
    <w:rsid w:val="00117964"/>
    <w:rsid w:val="00144E80"/>
    <w:rsid w:val="0016351F"/>
    <w:rsid w:val="001D20A6"/>
    <w:rsid w:val="001E2DCD"/>
    <w:rsid w:val="00207808"/>
    <w:rsid w:val="0025779A"/>
    <w:rsid w:val="002D3B1D"/>
    <w:rsid w:val="002E7441"/>
    <w:rsid w:val="003039E6"/>
    <w:rsid w:val="00360725"/>
    <w:rsid w:val="00403E0B"/>
    <w:rsid w:val="00411ECB"/>
    <w:rsid w:val="00460F7F"/>
    <w:rsid w:val="00520D86"/>
    <w:rsid w:val="00566683"/>
    <w:rsid w:val="00601897"/>
    <w:rsid w:val="00635A4F"/>
    <w:rsid w:val="00666839"/>
    <w:rsid w:val="006774E6"/>
    <w:rsid w:val="006C5512"/>
    <w:rsid w:val="006C6259"/>
    <w:rsid w:val="007367EC"/>
    <w:rsid w:val="00746BB7"/>
    <w:rsid w:val="00770C3E"/>
    <w:rsid w:val="007B1745"/>
    <w:rsid w:val="007E1562"/>
    <w:rsid w:val="007E1E61"/>
    <w:rsid w:val="007F73F6"/>
    <w:rsid w:val="008060A4"/>
    <w:rsid w:val="0084131B"/>
    <w:rsid w:val="008428EB"/>
    <w:rsid w:val="00927450"/>
    <w:rsid w:val="00955748"/>
    <w:rsid w:val="0095627D"/>
    <w:rsid w:val="00982EF6"/>
    <w:rsid w:val="00990158"/>
    <w:rsid w:val="009B7E69"/>
    <w:rsid w:val="00A02A7B"/>
    <w:rsid w:val="00A65D5C"/>
    <w:rsid w:val="00AF49DE"/>
    <w:rsid w:val="00B623C7"/>
    <w:rsid w:val="00BE43DE"/>
    <w:rsid w:val="00C169DB"/>
    <w:rsid w:val="00C73C16"/>
    <w:rsid w:val="00CD4F57"/>
    <w:rsid w:val="00D01CC1"/>
    <w:rsid w:val="00D27DD3"/>
    <w:rsid w:val="00D472F5"/>
    <w:rsid w:val="00D85E5B"/>
    <w:rsid w:val="00E476C4"/>
    <w:rsid w:val="00EA1969"/>
    <w:rsid w:val="00ED17AD"/>
    <w:rsid w:val="00ED4EC5"/>
    <w:rsid w:val="00F27ABD"/>
    <w:rsid w:val="00F40208"/>
    <w:rsid w:val="00F5664C"/>
    <w:rsid w:val="00FA0A09"/>
    <w:rsid w:val="00FB0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C39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351F"/>
    <w:pPr>
      <w:spacing w:after="0" w:line="240" w:lineRule="auto"/>
    </w:pPr>
    <w:rPr>
      <w:rFonts w:ascii="Times New Roman" w:eastAsia="Times New Roman" w:hAnsi="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6351F"/>
    <w:pPr>
      <w:tabs>
        <w:tab w:val="center" w:pos="4153"/>
        <w:tab w:val="right" w:pos="8306"/>
      </w:tabs>
    </w:pPr>
  </w:style>
  <w:style w:type="character" w:customStyle="1" w:styleId="FooterChar">
    <w:name w:val="Footer Char"/>
    <w:basedOn w:val="DefaultParagraphFont"/>
    <w:link w:val="Footer"/>
    <w:uiPriority w:val="99"/>
    <w:rsid w:val="0016351F"/>
    <w:rPr>
      <w:rFonts w:ascii="Times New Roman" w:eastAsia="Times New Roman" w:hAnsi="Times New Roman"/>
      <w:szCs w:val="24"/>
      <w:lang w:val="en-US"/>
    </w:rPr>
  </w:style>
  <w:style w:type="character" w:styleId="PageNumber">
    <w:name w:val="page number"/>
    <w:basedOn w:val="DefaultParagraphFont"/>
    <w:rsid w:val="0016351F"/>
  </w:style>
  <w:style w:type="paragraph" w:styleId="ListParagraph">
    <w:name w:val="List Paragraph"/>
    <w:basedOn w:val="Normal"/>
    <w:uiPriority w:val="34"/>
    <w:qFormat/>
    <w:rsid w:val="0016351F"/>
    <w:pPr>
      <w:ind w:left="720"/>
      <w:contextualSpacing/>
    </w:pPr>
  </w:style>
  <w:style w:type="paragraph" w:styleId="NormalWeb">
    <w:name w:val="Normal (Web)"/>
    <w:basedOn w:val="Normal"/>
    <w:uiPriority w:val="99"/>
    <w:unhideWhenUsed/>
    <w:rsid w:val="009B7E69"/>
    <w:pPr>
      <w:spacing w:before="100" w:beforeAutospacing="1" w:after="100" w:afterAutospacing="1"/>
    </w:pPr>
    <w:rPr>
      <w:lang w:val="en-GB" w:eastAsia="en-GB"/>
    </w:rPr>
  </w:style>
  <w:style w:type="character" w:styleId="Emphasis">
    <w:name w:val="Emphasis"/>
    <w:basedOn w:val="DefaultParagraphFont"/>
    <w:uiPriority w:val="20"/>
    <w:qFormat/>
    <w:rsid w:val="009B7E69"/>
    <w:rPr>
      <w:i/>
      <w:iCs/>
    </w:rPr>
  </w:style>
  <w:style w:type="paragraph" w:styleId="BalloonText">
    <w:name w:val="Balloon Text"/>
    <w:basedOn w:val="Normal"/>
    <w:link w:val="BalloonTextChar"/>
    <w:uiPriority w:val="99"/>
    <w:semiHidden/>
    <w:unhideWhenUsed/>
    <w:rsid w:val="009562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27D"/>
    <w:rPr>
      <w:rFonts w:ascii="Segoe UI" w:eastAsia="Times New Roman" w:hAnsi="Segoe UI" w:cs="Segoe UI"/>
      <w:sz w:val="18"/>
      <w:szCs w:val="18"/>
      <w:lang w:val="en-US"/>
    </w:rPr>
  </w:style>
  <w:style w:type="paragraph" w:styleId="Header">
    <w:name w:val="header"/>
    <w:basedOn w:val="Normal"/>
    <w:link w:val="HeaderChar"/>
    <w:uiPriority w:val="99"/>
    <w:unhideWhenUsed/>
    <w:rsid w:val="00FA0A09"/>
    <w:pPr>
      <w:tabs>
        <w:tab w:val="center" w:pos="4513"/>
        <w:tab w:val="right" w:pos="9026"/>
      </w:tabs>
    </w:pPr>
  </w:style>
  <w:style w:type="character" w:customStyle="1" w:styleId="HeaderChar">
    <w:name w:val="Header Char"/>
    <w:basedOn w:val="DefaultParagraphFont"/>
    <w:link w:val="Header"/>
    <w:uiPriority w:val="99"/>
    <w:rsid w:val="00FA0A09"/>
    <w:rPr>
      <w:rFonts w:ascii="Times New Roman" w:eastAsia="Times New Roman" w:hAnsi="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22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3699</Words>
  <Characters>21090</Characters>
  <Application>Microsoft Office Word</Application>
  <DocSecurity>0</DocSecurity>
  <Lines>175</Lines>
  <Paragraphs>49</Paragraphs>
  <ScaleCrop>false</ScaleCrop>
  <Company/>
  <LinksUpToDate>false</LinksUpToDate>
  <CharactersWithSpaces>24740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2018-07-20T11:23:00Z</dcterms:created>
  <dcterms:modified xsi:type="dcterms:W3CDTF">2018-07-20T11:23:00Z</dcterms:modified>
</cp:coreProperties>
</file>