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96BE" w14:textId="77777777" w:rsidR="00A57B3D" w:rsidRPr="001C5703" w:rsidRDefault="00A20948" w:rsidP="0010335F">
      <w:pPr>
        <w:jc w:val="center"/>
        <w:rPr>
          <w:rFonts w:ascii="Book Antiqua" w:hAnsi="Book Antiqua" w:cs="Arial"/>
          <w:caps/>
          <w:color w:val="000000"/>
          <w:sz w:val="16"/>
          <w:szCs w:val="16"/>
        </w:rPr>
      </w:pPr>
      <w:r>
        <w:rPr>
          <w:noProof/>
        </w:rPr>
        <w:drawing>
          <wp:inline distT="0" distB="0" distL="0" distR="0" wp14:anchorId="22CB2473" wp14:editId="6EEEAB13">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22D8E33C"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75923CA6" w14:textId="406F2847" w:rsidR="007B0824" w:rsidRPr="009372B7"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9372B7">
        <w:rPr>
          <w:rFonts w:ascii="Book Antiqua" w:hAnsi="Book Antiqua" w:cs="Arial"/>
          <w:b/>
          <w:color w:val="000000"/>
        </w:rPr>
        <w:t xml:space="preserve">   </w:t>
      </w:r>
      <w:proofErr w:type="gramEnd"/>
      <w:r w:rsidR="009372B7">
        <w:rPr>
          <w:rFonts w:ascii="Book Antiqua" w:hAnsi="Book Antiqua" w:cs="Arial"/>
          <w:b/>
          <w:color w:val="000000"/>
        </w:rPr>
        <w:t xml:space="preserve">                 </w:t>
      </w:r>
      <w:r w:rsidR="00B3524D" w:rsidRPr="009372B7">
        <w:rPr>
          <w:rFonts w:ascii="Book Antiqua" w:hAnsi="Book Antiqua" w:cs="Arial"/>
          <w:b/>
          <w:color w:val="000000"/>
        </w:rPr>
        <w:t>Appeal Number</w:t>
      </w:r>
      <w:r w:rsidR="00D53769" w:rsidRPr="009372B7">
        <w:rPr>
          <w:rFonts w:ascii="Book Antiqua" w:hAnsi="Book Antiqua" w:cs="Arial"/>
          <w:b/>
          <w:color w:val="000000"/>
        </w:rPr>
        <w:t>:</w:t>
      </w:r>
      <w:r w:rsidR="00B3524D" w:rsidRPr="009372B7">
        <w:rPr>
          <w:rFonts w:ascii="Book Antiqua" w:hAnsi="Book Antiqua" w:cs="Arial"/>
          <w:b/>
          <w:color w:val="000000"/>
        </w:rPr>
        <w:t xml:space="preserve"> </w:t>
      </w:r>
      <w:bookmarkStart w:id="0" w:name="_Hlk534645497"/>
      <w:r w:rsidR="00CB4A74" w:rsidRPr="009372B7">
        <w:rPr>
          <w:rFonts w:ascii="Book Antiqua" w:hAnsi="Book Antiqua" w:cs="Arial"/>
          <w:b/>
          <w:caps/>
          <w:color w:val="000000"/>
        </w:rPr>
        <w:t>RP</w:t>
      </w:r>
      <w:r w:rsidR="0028263E" w:rsidRPr="009372B7">
        <w:rPr>
          <w:rFonts w:ascii="Book Antiqua" w:hAnsi="Book Antiqua" w:cs="Arial"/>
          <w:b/>
          <w:caps/>
          <w:color w:val="000000"/>
        </w:rPr>
        <w:t>/0</w:t>
      </w:r>
      <w:r w:rsidR="00402401" w:rsidRPr="009372B7">
        <w:rPr>
          <w:rFonts w:ascii="Book Antiqua" w:hAnsi="Book Antiqua" w:cs="Arial"/>
          <w:b/>
          <w:caps/>
          <w:color w:val="000000"/>
        </w:rPr>
        <w:t>0139</w:t>
      </w:r>
      <w:r w:rsidR="0028263E" w:rsidRPr="009372B7">
        <w:rPr>
          <w:rFonts w:ascii="Book Antiqua" w:hAnsi="Book Antiqua" w:cs="Arial"/>
          <w:b/>
          <w:caps/>
          <w:color w:val="000000"/>
        </w:rPr>
        <w:t>/2017</w:t>
      </w:r>
      <w:bookmarkEnd w:id="0"/>
    </w:p>
    <w:p w14:paraId="062DB3EE" w14:textId="77777777" w:rsidR="00C345E1" w:rsidRPr="001C5703" w:rsidRDefault="00C345E1" w:rsidP="00C345E1">
      <w:pPr>
        <w:jc w:val="center"/>
        <w:rPr>
          <w:rFonts w:ascii="Book Antiqua" w:hAnsi="Book Antiqua" w:cs="Arial"/>
          <w:color w:val="000000"/>
        </w:rPr>
      </w:pPr>
    </w:p>
    <w:p w14:paraId="4C4BABDC"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24125CC5"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C95C56" w14:paraId="0424D1EB" w14:textId="77777777" w:rsidTr="009372B7">
        <w:tc>
          <w:tcPr>
            <w:tcW w:w="5103" w:type="dxa"/>
            <w:shd w:val="clear" w:color="auto" w:fill="auto"/>
          </w:tcPr>
          <w:p w14:paraId="6F7DAFD4" w14:textId="6F7BCE5C" w:rsidR="00D22636" w:rsidRPr="00C95C56" w:rsidRDefault="00D22636" w:rsidP="00C95C56">
            <w:pPr>
              <w:jc w:val="both"/>
              <w:rPr>
                <w:rFonts w:ascii="Book Antiqua" w:hAnsi="Book Antiqua" w:cs="Arial"/>
                <w:b/>
              </w:rPr>
            </w:pPr>
            <w:r w:rsidRPr="00C95C56">
              <w:rPr>
                <w:rFonts w:ascii="Book Antiqua" w:hAnsi="Book Antiqua" w:cs="Arial"/>
                <w:b/>
              </w:rPr>
              <w:t xml:space="preserve">Heard at </w:t>
            </w:r>
            <w:r w:rsidR="005E5228">
              <w:rPr>
                <w:rFonts w:ascii="Book Antiqua" w:hAnsi="Book Antiqua" w:cs="Arial"/>
                <w:b/>
              </w:rPr>
              <w:t>Field House</w:t>
            </w:r>
          </w:p>
        </w:tc>
        <w:tc>
          <w:tcPr>
            <w:tcW w:w="4905" w:type="dxa"/>
            <w:shd w:val="clear" w:color="auto" w:fill="auto"/>
          </w:tcPr>
          <w:p w14:paraId="43CF560C" w14:textId="77777777" w:rsidR="00D22636" w:rsidRPr="00C95C56" w:rsidRDefault="00A32B11" w:rsidP="00C95C56">
            <w:pPr>
              <w:jc w:val="both"/>
              <w:rPr>
                <w:rFonts w:ascii="Book Antiqua" w:hAnsi="Book Antiqua" w:cs="Arial"/>
                <w:b/>
                <w:color w:val="000000"/>
              </w:rPr>
            </w:pPr>
            <w:r w:rsidRPr="00C95C56">
              <w:rPr>
                <w:rFonts w:ascii="Book Antiqua" w:hAnsi="Book Antiqua" w:cs="Arial"/>
                <w:b/>
                <w:color w:val="000000"/>
              </w:rPr>
              <w:t>Decision &amp; Reasons</w:t>
            </w:r>
            <w:r w:rsidR="00283659" w:rsidRPr="00C95C56">
              <w:rPr>
                <w:rFonts w:ascii="Book Antiqua" w:hAnsi="Book Antiqua" w:cs="Arial"/>
                <w:b/>
                <w:color w:val="000000"/>
              </w:rPr>
              <w:t xml:space="preserve"> Promulgated</w:t>
            </w:r>
          </w:p>
        </w:tc>
      </w:tr>
      <w:tr w:rsidR="00D22636" w:rsidRPr="00C95C56" w14:paraId="127A1720" w14:textId="77777777" w:rsidTr="009372B7">
        <w:tc>
          <w:tcPr>
            <w:tcW w:w="5103" w:type="dxa"/>
            <w:shd w:val="clear" w:color="auto" w:fill="auto"/>
          </w:tcPr>
          <w:p w14:paraId="1395E9C2" w14:textId="43BFAEA3" w:rsidR="00D22636" w:rsidRPr="00C95C56" w:rsidRDefault="00D22636" w:rsidP="00C95C56">
            <w:pPr>
              <w:jc w:val="both"/>
              <w:rPr>
                <w:rFonts w:ascii="Book Antiqua" w:hAnsi="Book Antiqua" w:cs="Arial"/>
                <w:b/>
              </w:rPr>
            </w:pPr>
            <w:r w:rsidRPr="00C95C56">
              <w:rPr>
                <w:rFonts w:ascii="Book Antiqua" w:hAnsi="Book Antiqua" w:cs="Arial"/>
                <w:b/>
              </w:rPr>
              <w:t xml:space="preserve">On </w:t>
            </w:r>
            <w:r w:rsidR="005E5228">
              <w:rPr>
                <w:rFonts w:ascii="Book Antiqua" w:hAnsi="Book Antiqua" w:cs="Arial"/>
                <w:b/>
              </w:rPr>
              <w:t>7 January</w:t>
            </w:r>
            <w:r w:rsidR="0028263E">
              <w:rPr>
                <w:rFonts w:ascii="Book Antiqua" w:hAnsi="Book Antiqua" w:cs="Arial"/>
                <w:b/>
              </w:rPr>
              <w:t xml:space="preserve"> 201</w:t>
            </w:r>
            <w:r w:rsidR="005E5228">
              <w:rPr>
                <w:rFonts w:ascii="Book Antiqua" w:hAnsi="Book Antiqua" w:cs="Arial"/>
                <w:b/>
              </w:rPr>
              <w:t>9</w:t>
            </w:r>
          </w:p>
        </w:tc>
        <w:tc>
          <w:tcPr>
            <w:tcW w:w="4905" w:type="dxa"/>
            <w:shd w:val="clear" w:color="auto" w:fill="auto"/>
          </w:tcPr>
          <w:p w14:paraId="79357298" w14:textId="470E52F2" w:rsidR="00D22636" w:rsidRPr="00C95C56" w:rsidRDefault="004A53FC" w:rsidP="00C95C56">
            <w:pPr>
              <w:jc w:val="both"/>
              <w:rPr>
                <w:rFonts w:ascii="Book Antiqua" w:hAnsi="Book Antiqua" w:cs="Arial"/>
                <w:b/>
              </w:rPr>
            </w:pPr>
            <w:r>
              <w:rPr>
                <w:rFonts w:ascii="Book Antiqua" w:hAnsi="Book Antiqua" w:cs="Arial"/>
                <w:b/>
              </w:rPr>
              <w:t>On 1 February 2019</w:t>
            </w:r>
          </w:p>
        </w:tc>
      </w:tr>
      <w:tr w:rsidR="00D22636" w:rsidRPr="00C95C56" w14:paraId="6F8E9BB0" w14:textId="77777777" w:rsidTr="009372B7">
        <w:tc>
          <w:tcPr>
            <w:tcW w:w="5103" w:type="dxa"/>
            <w:shd w:val="clear" w:color="auto" w:fill="auto"/>
          </w:tcPr>
          <w:p w14:paraId="70D5DB4C" w14:textId="77777777" w:rsidR="00D22636" w:rsidRPr="00C95C56" w:rsidRDefault="00D22636" w:rsidP="00C95C56">
            <w:pPr>
              <w:jc w:val="both"/>
              <w:rPr>
                <w:rFonts w:ascii="Book Antiqua" w:hAnsi="Book Antiqua" w:cs="Arial"/>
                <w:b/>
              </w:rPr>
            </w:pPr>
          </w:p>
        </w:tc>
        <w:tc>
          <w:tcPr>
            <w:tcW w:w="4905" w:type="dxa"/>
            <w:shd w:val="clear" w:color="auto" w:fill="auto"/>
          </w:tcPr>
          <w:p w14:paraId="574AE70C" w14:textId="1059ABCE" w:rsidR="00D22636" w:rsidRPr="00C95C56" w:rsidRDefault="00D22636" w:rsidP="00C95C56">
            <w:pPr>
              <w:jc w:val="both"/>
              <w:rPr>
                <w:rFonts w:ascii="Book Antiqua" w:hAnsi="Book Antiqua" w:cs="Arial"/>
                <w:b/>
              </w:rPr>
            </w:pPr>
          </w:p>
        </w:tc>
      </w:tr>
    </w:tbl>
    <w:p w14:paraId="4CF79118" w14:textId="77777777" w:rsidR="00A15234" w:rsidRPr="001C5703" w:rsidRDefault="00A15234" w:rsidP="00A15234">
      <w:pPr>
        <w:jc w:val="center"/>
        <w:rPr>
          <w:rFonts w:ascii="Book Antiqua" w:hAnsi="Book Antiqua" w:cs="Arial"/>
        </w:rPr>
      </w:pPr>
    </w:p>
    <w:p w14:paraId="50861DC2" w14:textId="77777777" w:rsidR="00A15234" w:rsidRPr="001C5703" w:rsidRDefault="00A15234" w:rsidP="00A15234">
      <w:pPr>
        <w:jc w:val="center"/>
        <w:rPr>
          <w:rFonts w:ascii="Book Antiqua" w:hAnsi="Book Antiqua" w:cs="Arial"/>
        </w:rPr>
      </w:pPr>
    </w:p>
    <w:p w14:paraId="443085BA"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1486F9C7" w14:textId="77777777" w:rsidR="00A15234" w:rsidRPr="001C5703" w:rsidRDefault="00A15234" w:rsidP="00A15234">
      <w:pPr>
        <w:jc w:val="center"/>
        <w:rPr>
          <w:rFonts w:ascii="Book Antiqua" w:hAnsi="Book Antiqua" w:cs="Arial"/>
          <w:b/>
        </w:rPr>
      </w:pPr>
    </w:p>
    <w:p w14:paraId="19290C88"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842E4B">
        <w:rPr>
          <w:rFonts w:ascii="Book Antiqua" w:hAnsi="Book Antiqua" w:cs="Arial"/>
          <w:b/>
          <w:color w:val="000000"/>
        </w:rPr>
        <w:t>KOPIECZEK</w:t>
      </w:r>
    </w:p>
    <w:p w14:paraId="56D26A96" w14:textId="77777777" w:rsidR="00A845DC" w:rsidRPr="001C5703" w:rsidRDefault="00A845DC" w:rsidP="00A15234">
      <w:pPr>
        <w:jc w:val="center"/>
        <w:rPr>
          <w:rFonts w:ascii="Book Antiqua" w:hAnsi="Book Antiqua" w:cs="Arial"/>
          <w:b/>
        </w:rPr>
      </w:pPr>
    </w:p>
    <w:p w14:paraId="614FEAA3"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51E94981" w14:textId="77777777" w:rsidR="00A845DC" w:rsidRPr="001C5703" w:rsidRDefault="00A845DC" w:rsidP="00A15234">
      <w:pPr>
        <w:jc w:val="center"/>
        <w:rPr>
          <w:rFonts w:ascii="Book Antiqua" w:hAnsi="Book Antiqua" w:cs="Arial"/>
          <w:b/>
        </w:rPr>
      </w:pPr>
    </w:p>
    <w:p w14:paraId="7DB5AEFA" w14:textId="00844E6C" w:rsidR="00A845DC" w:rsidRDefault="008F1D1C" w:rsidP="00A15234">
      <w:pPr>
        <w:jc w:val="center"/>
        <w:rPr>
          <w:rFonts w:ascii="Book Antiqua" w:hAnsi="Book Antiqua" w:cs="Arial"/>
          <w:b/>
          <w:caps/>
        </w:rPr>
      </w:pPr>
      <w:r>
        <w:rPr>
          <w:rFonts w:ascii="Book Antiqua" w:hAnsi="Book Antiqua" w:cs="Arial"/>
          <w:b/>
          <w:caps/>
        </w:rPr>
        <w:t>sa</w:t>
      </w:r>
    </w:p>
    <w:p w14:paraId="3E06BA36" w14:textId="51AFF755" w:rsidR="00A32B11" w:rsidRPr="009372B7" w:rsidRDefault="00A32B11" w:rsidP="00A32B11">
      <w:pPr>
        <w:jc w:val="center"/>
        <w:rPr>
          <w:rFonts w:ascii="Book Antiqua" w:hAnsi="Book Antiqua" w:cs="Arial"/>
          <w:caps/>
        </w:rPr>
      </w:pPr>
      <w:r w:rsidRPr="009372B7">
        <w:rPr>
          <w:rFonts w:ascii="Book Antiqua" w:hAnsi="Book Antiqua" w:cs="Arial"/>
          <w:caps/>
        </w:rPr>
        <w:t xml:space="preserve">(ANONYMITY DIRECTION </w:t>
      </w:r>
      <w:r w:rsidR="00220899" w:rsidRPr="009372B7">
        <w:rPr>
          <w:rFonts w:ascii="Book Antiqua" w:hAnsi="Book Antiqua" w:cs="Arial"/>
          <w:caps/>
        </w:rPr>
        <w:t>made</w:t>
      </w:r>
      <w:r w:rsidRPr="009372B7">
        <w:rPr>
          <w:rFonts w:ascii="Book Antiqua" w:hAnsi="Book Antiqua" w:cs="Arial"/>
          <w:caps/>
        </w:rPr>
        <w:t>)</w:t>
      </w:r>
    </w:p>
    <w:p w14:paraId="7CB58135"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36CED92F" w14:textId="77777777" w:rsidR="009372B7" w:rsidRDefault="009372B7" w:rsidP="00704B61">
      <w:pPr>
        <w:jc w:val="center"/>
        <w:rPr>
          <w:rFonts w:ascii="Book Antiqua" w:hAnsi="Book Antiqua" w:cs="Arial"/>
          <w:b/>
        </w:rPr>
      </w:pPr>
    </w:p>
    <w:p w14:paraId="5A2ADA4B" w14:textId="4762DD41" w:rsidR="00704B61" w:rsidRPr="001C5703" w:rsidRDefault="00DD5071" w:rsidP="00704B61">
      <w:pPr>
        <w:jc w:val="center"/>
        <w:rPr>
          <w:rFonts w:ascii="Book Antiqua" w:hAnsi="Book Antiqua" w:cs="Arial"/>
          <w:b/>
        </w:rPr>
      </w:pPr>
      <w:r w:rsidRPr="001C5703">
        <w:rPr>
          <w:rFonts w:ascii="Book Antiqua" w:hAnsi="Book Antiqua" w:cs="Arial"/>
          <w:b/>
        </w:rPr>
        <w:t>and</w:t>
      </w:r>
    </w:p>
    <w:p w14:paraId="39055BD1" w14:textId="54CED9A5" w:rsidR="00DD5071" w:rsidRDefault="00DD5071" w:rsidP="00704B61">
      <w:pPr>
        <w:jc w:val="center"/>
        <w:rPr>
          <w:rFonts w:ascii="Book Antiqua" w:hAnsi="Book Antiqua" w:cs="Arial"/>
          <w:b/>
        </w:rPr>
      </w:pPr>
    </w:p>
    <w:p w14:paraId="1E806A48" w14:textId="4BC02BCC" w:rsidR="009372B7" w:rsidRPr="001C5703" w:rsidRDefault="009372B7" w:rsidP="00704B61">
      <w:pPr>
        <w:jc w:val="center"/>
        <w:rPr>
          <w:rFonts w:ascii="Book Antiqua" w:hAnsi="Book Antiqua" w:cs="Arial"/>
          <w:b/>
        </w:rPr>
      </w:pPr>
      <w:r>
        <w:rPr>
          <w:rFonts w:ascii="Book Antiqua" w:hAnsi="Book Antiqua" w:cs="Arial"/>
          <w:b/>
        </w:rPr>
        <w:t>THE SECRETARY OF STATE FOR THE HOME DEPARTMENT</w:t>
      </w:r>
    </w:p>
    <w:p w14:paraId="12092BB9"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04DF25E9" w14:textId="77777777" w:rsidR="00DD5071" w:rsidRPr="001C5703" w:rsidRDefault="00DD5071" w:rsidP="00DD5071">
      <w:pPr>
        <w:rPr>
          <w:rFonts w:ascii="Book Antiqua" w:hAnsi="Book Antiqua" w:cs="Arial"/>
          <w:u w:val="single"/>
        </w:rPr>
      </w:pPr>
    </w:p>
    <w:p w14:paraId="3B6AB202"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073BD511" w14:textId="77777777" w:rsidR="00DE7DB7" w:rsidRPr="001C5703" w:rsidRDefault="00DE7DB7" w:rsidP="00DD5071">
      <w:pPr>
        <w:rPr>
          <w:rFonts w:ascii="Book Antiqua" w:hAnsi="Book Antiqua" w:cs="Arial"/>
        </w:rPr>
      </w:pPr>
    </w:p>
    <w:p w14:paraId="1D699497" w14:textId="2E16C5B4"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28263E">
        <w:rPr>
          <w:rFonts w:ascii="Book Antiqua" w:hAnsi="Book Antiqua" w:cs="Arial"/>
        </w:rPr>
        <w:t xml:space="preserve">Mr </w:t>
      </w:r>
      <w:r w:rsidR="00B138FC">
        <w:rPr>
          <w:rFonts w:ascii="Book Antiqua" w:hAnsi="Book Antiqua" w:cs="Arial"/>
        </w:rPr>
        <w:t>A. R</w:t>
      </w:r>
      <w:r w:rsidR="007A4FB1">
        <w:rPr>
          <w:rFonts w:ascii="Book Antiqua" w:hAnsi="Book Antiqua" w:cs="Arial"/>
        </w:rPr>
        <w:t>e</w:t>
      </w:r>
      <w:r w:rsidR="00B138FC">
        <w:rPr>
          <w:rFonts w:ascii="Book Antiqua" w:hAnsi="Book Antiqua" w:cs="Arial"/>
        </w:rPr>
        <w:t>hm</w:t>
      </w:r>
      <w:r w:rsidR="007A4FB1">
        <w:rPr>
          <w:rFonts w:ascii="Book Antiqua" w:hAnsi="Book Antiqua" w:cs="Arial"/>
        </w:rPr>
        <w:t>an, Solicitor</w:t>
      </w:r>
    </w:p>
    <w:p w14:paraId="76762D29" w14:textId="60CA458F"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28263E">
        <w:rPr>
          <w:rFonts w:ascii="Book Antiqua" w:hAnsi="Book Antiqua" w:cs="Arial"/>
        </w:rPr>
        <w:t xml:space="preserve">Mr </w:t>
      </w:r>
      <w:r w:rsidR="007A4FB1">
        <w:rPr>
          <w:rFonts w:ascii="Book Antiqua" w:hAnsi="Book Antiqua" w:cs="Arial"/>
        </w:rPr>
        <w:t>J. McGirr</w:t>
      </w:r>
      <w:r w:rsidR="0028263E">
        <w:rPr>
          <w:rFonts w:ascii="Book Antiqua" w:hAnsi="Book Antiqua" w:cs="Arial"/>
        </w:rPr>
        <w:t>, Senior Home Office Presenting Officer</w:t>
      </w:r>
    </w:p>
    <w:p w14:paraId="2EAF6299" w14:textId="77777777" w:rsidR="00DE7DB7" w:rsidRPr="001C5703" w:rsidRDefault="00DE7DB7" w:rsidP="00402B9E">
      <w:pPr>
        <w:tabs>
          <w:tab w:val="left" w:pos="2520"/>
        </w:tabs>
        <w:jc w:val="center"/>
        <w:rPr>
          <w:rFonts w:ascii="Book Antiqua" w:hAnsi="Book Antiqua" w:cs="Arial"/>
        </w:rPr>
      </w:pPr>
    </w:p>
    <w:p w14:paraId="086C35A2" w14:textId="77777777" w:rsidR="00DE7DB7" w:rsidRPr="001C5703" w:rsidRDefault="00A32B11"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3A523FAC" w14:textId="77777777" w:rsidR="00402B9E" w:rsidRDefault="00402B9E" w:rsidP="00402B9E">
      <w:pPr>
        <w:tabs>
          <w:tab w:val="left" w:pos="2520"/>
        </w:tabs>
        <w:jc w:val="both"/>
        <w:rPr>
          <w:rFonts w:ascii="Book Antiqua" w:hAnsi="Book Antiqua" w:cs="Arial"/>
        </w:rPr>
      </w:pPr>
    </w:p>
    <w:p w14:paraId="62906974" w14:textId="2D5097B6" w:rsidR="007A4FB1" w:rsidRPr="004E5B13" w:rsidRDefault="0028263E"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This </w:t>
      </w:r>
      <w:r w:rsidR="009C32F2">
        <w:rPr>
          <w:rFonts w:ascii="Book Antiqua" w:hAnsi="Book Antiqua" w:cs="Arial"/>
        </w:rPr>
        <w:t xml:space="preserve">appellant is a citizen of </w:t>
      </w:r>
      <w:r w:rsidR="00DE508D">
        <w:rPr>
          <w:rFonts w:ascii="Book Antiqua" w:hAnsi="Book Antiqua" w:cs="Arial"/>
        </w:rPr>
        <w:t xml:space="preserve">Iran, born in 1988. </w:t>
      </w:r>
      <w:r w:rsidR="00FD4509">
        <w:rPr>
          <w:rFonts w:ascii="Book Antiqua" w:hAnsi="Book Antiqua" w:cs="Arial"/>
        </w:rPr>
        <w:t xml:space="preserve"> </w:t>
      </w:r>
      <w:r w:rsidR="00847314">
        <w:rPr>
          <w:rFonts w:ascii="Book Antiqua" w:hAnsi="Book Antiqua" w:cs="Arial"/>
        </w:rPr>
        <w:t xml:space="preserve">On 1 February 2016, in the Crown Court at </w:t>
      </w:r>
      <w:r w:rsidR="00AB7E9A">
        <w:rPr>
          <w:rFonts w:ascii="Book Antiqua" w:hAnsi="Book Antiqua" w:cs="Arial"/>
        </w:rPr>
        <w:t>Isl</w:t>
      </w:r>
      <w:r w:rsidR="002A5E77">
        <w:rPr>
          <w:rFonts w:ascii="Book Antiqua" w:hAnsi="Book Antiqua" w:cs="Arial"/>
        </w:rPr>
        <w:t>e</w:t>
      </w:r>
      <w:r w:rsidR="00AB7E9A">
        <w:rPr>
          <w:rFonts w:ascii="Book Antiqua" w:hAnsi="Book Antiqua" w:cs="Arial"/>
        </w:rPr>
        <w:t>worth</w:t>
      </w:r>
      <w:r w:rsidR="00126B9A">
        <w:rPr>
          <w:rFonts w:ascii="Book Antiqua" w:hAnsi="Book Antiqua" w:cs="Arial"/>
        </w:rPr>
        <w:t>,</w:t>
      </w:r>
      <w:r w:rsidR="002A5E77">
        <w:rPr>
          <w:rFonts w:ascii="Book Antiqua" w:hAnsi="Book Antiqua" w:cs="Arial"/>
        </w:rPr>
        <w:t xml:space="preserve"> he was convicted of an offence of </w:t>
      </w:r>
      <w:r w:rsidR="00340D33">
        <w:rPr>
          <w:rFonts w:ascii="Book Antiqua" w:hAnsi="Book Antiqua" w:cs="Arial"/>
        </w:rPr>
        <w:t xml:space="preserve">attempted kidnapping for which he received a sentence of 18 months’ imprisonment </w:t>
      </w:r>
      <w:r w:rsidR="00FD4509">
        <w:rPr>
          <w:rFonts w:ascii="Book Antiqua" w:hAnsi="Book Antiqua" w:cs="Arial"/>
        </w:rPr>
        <w:t>on 4 March 2016.</w:t>
      </w:r>
      <w:r w:rsidR="00AB7E9A">
        <w:rPr>
          <w:rFonts w:ascii="Book Antiqua" w:hAnsi="Book Antiqua" w:cs="Arial"/>
        </w:rPr>
        <w:t xml:space="preserve"> </w:t>
      </w:r>
      <w:r w:rsidR="004A208D">
        <w:rPr>
          <w:rFonts w:ascii="Book Antiqua" w:hAnsi="Book Antiqua" w:cs="Arial"/>
        </w:rPr>
        <w:t>In 2007 and 2008 he committed a</w:t>
      </w:r>
      <w:r w:rsidR="00EA0822">
        <w:rPr>
          <w:rFonts w:ascii="Book Antiqua" w:hAnsi="Book Antiqua" w:cs="Arial"/>
        </w:rPr>
        <w:t xml:space="preserve"> number of other, more</w:t>
      </w:r>
      <w:r w:rsidR="00CA0A75">
        <w:rPr>
          <w:rFonts w:ascii="Book Antiqua" w:hAnsi="Book Antiqua" w:cs="Arial"/>
        </w:rPr>
        <w:t xml:space="preserve"> minor</w:t>
      </w:r>
      <w:r w:rsidR="001A6885">
        <w:rPr>
          <w:rFonts w:ascii="Book Antiqua" w:hAnsi="Book Antiqua" w:cs="Arial"/>
        </w:rPr>
        <w:t>,</w:t>
      </w:r>
      <w:r w:rsidR="004A208D">
        <w:rPr>
          <w:rFonts w:ascii="Book Antiqua" w:hAnsi="Book Antiqua" w:cs="Arial"/>
        </w:rPr>
        <w:t xml:space="preserve"> offences</w:t>
      </w:r>
      <w:r w:rsidR="001A6885">
        <w:rPr>
          <w:rFonts w:ascii="Book Antiqua" w:hAnsi="Book Antiqua" w:cs="Arial"/>
        </w:rPr>
        <w:t xml:space="preserve"> including aggravated vehicle taking, handling stolen goods</w:t>
      </w:r>
      <w:r w:rsidR="00BE2814">
        <w:rPr>
          <w:rFonts w:ascii="Book Antiqua" w:hAnsi="Book Antiqua" w:cs="Arial"/>
        </w:rPr>
        <w:t xml:space="preserve"> and related offences of dishonesty</w:t>
      </w:r>
      <w:r w:rsidR="006E0200">
        <w:rPr>
          <w:rFonts w:ascii="Book Antiqua" w:hAnsi="Book Antiqua" w:cs="Arial"/>
        </w:rPr>
        <w:t xml:space="preserve">, driving whilst </w:t>
      </w:r>
      <w:r w:rsidR="003205A5">
        <w:rPr>
          <w:rFonts w:ascii="Book Antiqua" w:hAnsi="Book Antiqua" w:cs="Arial"/>
        </w:rPr>
        <w:t>disqualified</w:t>
      </w:r>
      <w:r w:rsidR="00BE2814">
        <w:rPr>
          <w:rFonts w:ascii="Book Antiqua" w:hAnsi="Book Antiqua" w:cs="Arial"/>
        </w:rPr>
        <w:t xml:space="preserve"> and</w:t>
      </w:r>
      <w:r w:rsidR="003205A5">
        <w:rPr>
          <w:rFonts w:ascii="Book Antiqua" w:hAnsi="Book Antiqua" w:cs="Arial"/>
        </w:rPr>
        <w:t xml:space="preserve"> breach of a community order</w:t>
      </w:r>
      <w:r w:rsidR="004A208D">
        <w:rPr>
          <w:rFonts w:ascii="Book Antiqua" w:hAnsi="Book Antiqua" w:cs="Arial"/>
        </w:rPr>
        <w:t>.</w:t>
      </w:r>
      <w:r w:rsidR="00646611">
        <w:rPr>
          <w:rFonts w:ascii="Book Antiqua" w:hAnsi="Book Antiqua" w:cs="Arial"/>
        </w:rPr>
        <w:t xml:space="preserve"> </w:t>
      </w:r>
      <w:r w:rsidR="00FD4509">
        <w:rPr>
          <w:rFonts w:ascii="Book Antiqua" w:hAnsi="Book Antiqua" w:cs="Arial"/>
        </w:rPr>
        <w:t>On 5 December 2017 the respondent made a decision to revoke his refugee status, and to deport him because of his criminal offending</w:t>
      </w:r>
      <w:r w:rsidR="001D7CE4">
        <w:rPr>
          <w:rFonts w:ascii="Book Antiqua" w:hAnsi="Book Antiqua" w:cs="Arial"/>
        </w:rPr>
        <w:t>, in particular the attem</w:t>
      </w:r>
      <w:bookmarkStart w:id="1" w:name="_GoBack"/>
      <w:bookmarkEnd w:id="1"/>
      <w:r w:rsidR="001D7CE4">
        <w:rPr>
          <w:rFonts w:ascii="Book Antiqua" w:hAnsi="Book Antiqua" w:cs="Arial"/>
        </w:rPr>
        <w:t>pted kidnapping</w:t>
      </w:r>
      <w:r w:rsidR="00FD4509">
        <w:rPr>
          <w:rFonts w:ascii="Book Antiqua" w:hAnsi="Book Antiqua" w:cs="Arial"/>
        </w:rPr>
        <w:t>.</w:t>
      </w:r>
    </w:p>
    <w:p w14:paraId="53F68926" w14:textId="77777777" w:rsidR="003E78C1" w:rsidRPr="003E78C1" w:rsidRDefault="004E5B13" w:rsidP="007A4FB1">
      <w:pPr>
        <w:numPr>
          <w:ilvl w:val="0"/>
          <w:numId w:val="1"/>
        </w:numPr>
        <w:tabs>
          <w:tab w:val="clear" w:pos="567"/>
        </w:tabs>
        <w:spacing w:before="240"/>
        <w:jc w:val="both"/>
        <w:rPr>
          <w:rFonts w:ascii="Book Antiqua" w:hAnsi="Book Antiqua" w:cs="Arial"/>
          <w:i/>
        </w:rPr>
      </w:pPr>
      <w:r>
        <w:rPr>
          <w:rFonts w:ascii="Book Antiqua" w:hAnsi="Book Antiqua" w:cs="Arial"/>
        </w:rPr>
        <w:lastRenderedPageBreak/>
        <w:t xml:space="preserve">The further background to the appeal is that </w:t>
      </w:r>
      <w:r w:rsidR="007B0B95">
        <w:rPr>
          <w:rFonts w:ascii="Book Antiqua" w:hAnsi="Book Antiqua" w:cs="Arial"/>
        </w:rPr>
        <w:t xml:space="preserve">the appellant’s father was </w:t>
      </w:r>
      <w:r w:rsidR="00932524">
        <w:rPr>
          <w:rFonts w:ascii="Book Antiqua" w:hAnsi="Book Antiqua" w:cs="Arial"/>
        </w:rPr>
        <w:t>granted refugee status</w:t>
      </w:r>
      <w:r w:rsidR="00993E32">
        <w:rPr>
          <w:rFonts w:ascii="Book Antiqua" w:hAnsi="Book Antiqua" w:cs="Arial"/>
        </w:rPr>
        <w:t xml:space="preserve"> in 2004</w:t>
      </w:r>
      <w:r w:rsidR="00932524">
        <w:rPr>
          <w:rFonts w:ascii="Book Antiqua" w:hAnsi="Book Antiqua" w:cs="Arial"/>
        </w:rPr>
        <w:t xml:space="preserve"> on the basis of </w:t>
      </w:r>
      <w:r w:rsidR="005B1413">
        <w:rPr>
          <w:rFonts w:ascii="Book Antiqua" w:hAnsi="Book Antiqua" w:cs="Arial"/>
        </w:rPr>
        <w:t>his political opinion</w:t>
      </w:r>
      <w:r w:rsidR="007976AD">
        <w:rPr>
          <w:rFonts w:ascii="Book Antiqua" w:hAnsi="Book Antiqua" w:cs="Arial"/>
        </w:rPr>
        <w:t xml:space="preserve"> and the severe ill-treatment that he had received at the hands of the Iranian authorities. He was</w:t>
      </w:r>
      <w:r w:rsidR="00993E32">
        <w:rPr>
          <w:rFonts w:ascii="Book Antiqua" w:hAnsi="Book Antiqua" w:cs="Arial"/>
        </w:rPr>
        <w:t xml:space="preserve"> naturalised as a British citizen </w:t>
      </w:r>
      <w:r w:rsidR="003E78C1">
        <w:rPr>
          <w:rFonts w:ascii="Book Antiqua" w:hAnsi="Book Antiqua" w:cs="Arial"/>
        </w:rPr>
        <w:t>on 17 March 2005.</w:t>
      </w:r>
    </w:p>
    <w:p w14:paraId="67451DAA" w14:textId="7E2D0718" w:rsidR="004E5B13" w:rsidRPr="00BA1DFC" w:rsidRDefault="003E78C1"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In July 2004 the appellant </w:t>
      </w:r>
      <w:r w:rsidR="00F575A0">
        <w:rPr>
          <w:rFonts w:ascii="Book Antiqua" w:hAnsi="Book Antiqua" w:cs="Arial"/>
        </w:rPr>
        <w:t xml:space="preserve">was granted indefinite leave to </w:t>
      </w:r>
      <w:r w:rsidR="000D28B8">
        <w:rPr>
          <w:rFonts w:ascii="Book Antiqua" w:hAnsi="Book Antiqua" w:cs="Arial"/>
        </w:rPr>
        <w:t>enter the UK until May 2009 on “family reunion” grounds</w:t>
      </w:r>
      <w:r w:rsidR="009C51B8">
        <w:rPr>
          <w:rFonts w:ascii="Book Antiqua" w:hAnsi="Book Antiqua" w:cs="Arial"/>
        </w:rPr>
        <w:t>.</w:t>
      </w:r>
      <w:r w:rsidR="00BA1499">
        <w:rPr>
          <w:rFonts w:ascii="Book Antiqua" w:hAnsi="Book Antiqua" w:cs="Arial"/>
        </w:rPr>
        <w:t xml:space="preserve"> He was granted indefinite leave to remain </w:t>
      </w:r>
      <w:r w:rsidR="004A208D">
        <w:rPr>
          <w:rFonts w:ascii="Book Antiqua" w:hAnsi="Book Antiqua" w:cs="Arial"/>
        </w:rPr>
        <w:t>on 7 September 2010.</w:t>
      </w:r>
      <w:r w:rsidR="007976AD">
        <w:rPr>
          <w:rFonts w:ascii="Book Antiqua" w:hAnsi="Book Antiqua" w:cs="Arial"/>
        </w:rPr>
        <w:t xml:space="preserve"> </w:t>
      </w:r>
    </w:p>
    <w:p w14:paraId="705DF745" w14:textId="77777777" w:rsidR="00E57DC8" w:rsidRPr="00E57DC8" w:rsidRDefault="00BA1DFC" w:rsidP="007A4FB1">
      <w:pPr>
        <w:numPr>
          <w:ilvl w:val="0"/>
          <w:numId w:val="1"/>
        </w:numPr>
        <w:tabs>
          <w:tab w:val="clear" w:pos="567"/>
        </w:tabs>
        <w:spacing w:before="240"/>
        <w:jc w:val="both"/>
        <w:rPr>
          <w:rFonts w:ascii="Book Antiqua" w:hAnsi="Book Antiqua" w:cs="Arial"/>
          <w:i/>
        </w:rPr>
      </w:pPr>
      <w:r>
        <w:rPr>
          <w:rFonts w:ascii="Book Antiqua" w:hAnsi="Book Antiqua" w:cs="Arial"/>
        </w:rPr>
        <w:t>The appe</w:t>
      </w:r>
      <w:r w:rsidR="00FB5F26">
        <w:rPr>
          <w:rFonts w:ascii="Book Antiqua" w:hAnsi="Book Antiqua" w:cs="Arial"/>
        </w:rPr>
        <w:t>al against the respondent’s decisions of 5 December 2017 came before First-tier Tribunal Judge Monson</w:t>
      </w:r>
      <w:r w:rsidR="00F2459F">
        <w:rPr>
          <w:rFonts w:ascii="Book Antiqua" w:hAnsi="Book Antiqua" w:cs="Arial"/>
        </w:rPr>
        <w:t xml:space="preserve"> (“the FtJ”) at a hearing on 1 October 2018 following which he </w:t>
      </w:r>
      <w:r w:rsidR="001D605E">
        <w:rPr>
          <w:rFonts w:ascii="Book Antiqua" w:hAnsi="Book Antiqua" w:cs="Arial"/>
        </w:rPr>
        <w:t xml:space="preserve">dismissed the </w:t>
      </w:r>
      <w:r w:rsidR="00E02808">
        <w:rPr>
          <w:rFonts w:ascii="Book Antiqua" w:hAnsi="Book Antiqua" w:cs="Arial"/>
        </w:rPr>
        <w:t xml:space="preserve">human rights </w:t>
      </w:r>
      <w:r w:rsidR="001D605E">
        <w:rPr>
          <w:rFonts w:ascii="Book Antiqua" w:hAnsi="Book Antiqua" w:cs="Arial"/>
        </w:rPr>
        <w:t>appeal</w:t>
      </w:r>
      <w:r w:rsidR="00E02808">
        <w:rPr>
          <w:rFonts w:ascii="Book Antiqua" w:hAnsi="Book Antiqua" w:cs="Arial"/>
        </w:rPr>
        <w:t>, thus upholding the decision to cease his refugee status and to deport him to Iran.</w:t>
      </w:r>
    </w:p>
    <w:p w14:paraId="4ADBADBB" w14:textId="6D4DE1A6" w:rsidR="000D7956" w:rsidRPr="000D7956" w:rsidRDefault="000D7956" w:rsidP="000D7956">
      <w:pPr>
        <w:spacing w:before="240"/>
        <w:ind w:left="567"/>
        <w:jc w:val="both"/>
        <w:rPr>
          <w:rFonts w:ascii="Book Antiqua" w:hAnsi="Book Antiqua" w:cs="Arial"/>
          <w:i/>
        </w:rPr>
      </w:pPr>
      <w:r>
        <w:rPr>
          <w:rFonts w:ascii="Book Antiqua" w:hAnsi="Book Antiqua" w:cs="Arial"/>
          <w:i/>
        </w:rPr>
        <w:t>The FtJ’s decision</w:t>
      </w:r>
    </w:p>
    <w:p w14:paraId="13712441" w14:textId="6EE440BF" w:rsidR="00951507" w:rsidRPr="00951507" w:rsidRDefault="000D7956" w:rsidP="007A4FB1">
      <w:pPr>
        <w:numPr>
          <w:ilvl w:val="0"/>
          <w:numId w:val="1"/>
        </w:numPr>
        <w:tabs>
          <w:tab w:val="clear" w:pos="567"/>
        </w:tabs>
        <w:spacing w:before="240"/>
        <w:jc w:val="both"/>
        <w:rPr>
          <w:rFonts w:ascii="Book Antiqua" w:hAnsi="Book Antiqua" w:cs="Arial"/>
          <w:i/>
        </w:rPr>
      </w:pPr>
      <w:r>
        <w:rPr>
          <w:rFonts w:ascii="Book Antiqua" w:hAnsi="Book Antiqua" w:cs="Arial"/>
        </w:rPr>
        <w:t>The FtJ’s decision can be summarised as follows</w:t>
      </w:r>
      <w:r w:rsidR="00607153">
        <w:rPr>
          <w:rFonts w:ascii="Book Antiqua" w:hAnsi="Book Antiqua" w:cs="Arial"/>
        </w:rPr>
        <w:t>, although in certain respects some detail is necessary</w:t>
      </w:r>
      <w:r>
        <w:rPr>
          <w:rFonts w:ascii="Book Antiqua" w:hAnsi="Book Antiqua" w:cs="Arial"/>
        </w:rPr>
        <w:t>.</w:t>
      </w:r>
      <w:r w:rsidR="00C521F8">
        <w:rPr>
          <w:rFonts w:ascii="Book Antiqua" w:hAnsi="Book Antiqua" w:cs="Arial"/>
        </w:rPr>
        <w:t xml:space="preserve"> </w:t>
      </w:r>
      <w:r w:rsidR="001C55EE">
        <w:rPr>
          <w:rFonts w:ascii="Book Antiqua" w:hAnsi="Book Antiqua" w:cs="Arial"/>
        </w:rPr>
        <w:t>He set out the appellant’s background and the circumstances in which he came to be granted refugee status.</w:t>
      </w:r>
      <w:r w:rsidR="00572DB1">
        <w:rPr>
          <w:rFonts w:ascii="Book Antiqua" w:hAnsi="Book Antiqua" w:cs="Arial"/>
        </w:rPr>
        <w:t xml:space="preserve"> He detailed the procedural history of the appeal and the circumstances surrounding the appellant’s offending.</w:t>
      </w:r>
    </w:p>
    <w:p w14:paraId="7FA0FA14" w14:textId="215613FF" w:rsidR="00EE28DD" w:rsidRPr="00EE28DD" w:rsidRDefault="00951507" w:rsidP="007A4FB1">
      <w:pPr>
        <w:numPr>
          <w:ilvl w:val="0"/>
          <w:numId w:val="1"/>
        </w:numPr>
        <w:tabs>
          <w:tab w:val="clear" w:pos="567"/>
        </w:tabs>
        <w:spacing w:before="240"/>
        <w:jc w:val="both"/>
        <w:rPr>
          <w:rFonts w:ascii="Book Antiqua" w:hAnsi="Book Antiqua" w:cs="Arial"/>
          <w:i/>
        </w:rPr>
      </w:pPr>
      <w:r>
        <w:rPr>
          <w:rFonts w:ascii="Book Antiqua" w:hAnsi="Book Antiqua" w:cs="Arial"/>
        </w:rPr>
        <w:t>He referred to there having been an application for an adjournment prior to the hearing before him</w:t>
      </w:r>
      <w:r w:rsidR="008B21FC">
        <w:rPr>
          <w:rFonts w:ascii="Book Antiqua" w:hAnsi="Book Antiqua" w:cs="Arial"/>
        </w:rPr>
        <w:t>, by letter dated 26 September 2018</w:t>
      </w:r>
      <w:r w:rsidR="001D542A">
        <w:rPr>
          <w:rFonts w:ascii="Book Antiqua" w:hAnsi="Book Antiqua" w:cs="Arial"/>
        </w:rPr>
        <w:t xml:space="preserve">. The basis of the adjournment application was that </w:t>
      </w:r>
      <w:r w:rsidR="000D3875">
        <w:rPr>
          <w:rFonts w:ascii="Book Antiqua" w:hAnsi="Book Antiqua" w:cs="Arial"/>
        </w:rPr>
        <w:t>there were documents which the solicitors did not have</w:t>
      </w:r>
      <w:r w:rsidR="00972C6C">
        <w:rPr>
          <w:rFonts w:ascii="Book Antiqua" w:hAnsi="Book Antiqua" w:cs="Arial"/>
        </w:rPr>
        <w:t xml:space="preserve">, namely a copy of the appeal determination in respect of the appellant’s father, the </w:t>
      </w:r>
      <w:r w:rsidR="00645226">
        <w:rPr>
          <w:rFonts w:ascii="Book Antiqua" w:hAnsi="Book Antiqua" w:cs="Arial"/>
        </w:rPr>
        <w:t>OASys report and the pre-sentence report.</w:t>
      </w:r>
      <w:r w:rsidR="00234F18">
        <w:rPr>
          <w:rFonts w:ascii="Book Antiqua" w:hAnsi="Book Antiqua" w:cs="Arial"/>
        </w:rPr>
        <w:t xml:space="preserve"> Th</w:t>
      </w:r>
      <w:r w:rsidR="00CA7028">
        <w:rPr>
          <w:rFonts w:ascii="Book Antiqua" w:hAnsi="Book Antiqua" w:cs="Arial"/>
        </w:rPr>
        <w:t>at</w:t>
      </w:r>
      <w:r w:rsidR="00234F18">
        <w:rPr>
          <w:rFonts w:ascii="Book Antiqua" w:hAnsi="Book Antiqua" w:cs="Arial"/>
        </w:rPr>
        <w:t xml:space="preserve"> adjournment application was not dealt with by the </w:t>
      </w:r>
      <w:r w:rsidR="00CA7028">
        <w:rPr>
          <w:rFonts w:ascii="Book Antiqua" w:hAnsi="Book Antiqua" w:cs="Arial"/>
        </w:rPr>
        <w:t xml:space="preserve">Tribunal </w:t>
      </w:r>
      <w:r w:rsidR="00234F18">
        <w:rPr>
          <w:rFonts w:ascii="Book Antiqua" w:hAnsi="Book Antiqua" w:cs="Arial"/>
        </w:rPr>
        <w:t>it would appear.</w:t>
      </w:r>
      <w:r w:rsidR="00645226">
        <w:rPr>
          <w:rFonts w:ascii="Book Antiqua" w:hAnsi="Book Antiqua" w:cs="Arial"/>
        </w:rPr>
        <w:t xml:space="preserve"> </w:t>
      </w:r>
      <w:r w:rsidR="003058D5">
        <w:rPr>
          <w:rFonts w:ascii="Book Antiqua" w:hAnsi="Book Antiqua" w:cs="Arial"/>
        </w:rPr>
        <w:t xml:space="preserve">The FtJ </w:t>
      </w:r>
      <w:r w:rsidR="00EE4E2C">
        <w:rPr>
          <w:rFonts w:ascii="Book Antiqua" w:hAnsi="Book Antiqua" w:cs="Arial"/>
        </w:rPr>
        <w:t xml:space="preserve">said that it was not clear when that letter was received by the Tribunal and stated that the solicitors had </w:t>
      </w:r>
      <w:r w:rsidR="00B80729">
        <w:rPr>
          <w:rFonts w:ascii="Book Antiqua" w:hAnsi="Book Antiqua" w:cs="Arial"/>
        </w:rPr>
        <w:t>not followed directions given by the resident senior judge</w:t>
      </w:r>
      <w:r w:rsidR="004871D1">
        <w:rPr>
          <w:rFonts w:ascii="Book Antiqua" w:hAnsi="Book Antiqua" w:cs="Arial"/>
        </w:rPr>
        <w:t xml:space="preserve"> in relation to the process by which any applications to the Tribunal should be made</w:t>
      </w:r>
      <w:r w:rsidR="00EE28DD">
        <w:rPr>
          <w:rFonts w:ascii="Book Antiqua" w:hAnsi="Book Antiqua" w:cs="Arial"/>
        </w:rPr>
        <w:t>.</w:t>
      </w:r>
      <w:r w:rsidR="00234F18">
        <w:rPr>
          <w:rFonts w:ascii="Book Antiqua" w:hAnsi="Book Antiqua" w:cs="Arial"/>
        </w:rPr>
        <w:t xml:space="preserve"> </w:t>
      </w:r>
    </w:p>
    <w:p w14:paraId="3AFAAC7D" w14:textId="77777777" w:rsidR="00F42286" w:rsidRPr="00F42286" w:rsidRDefault="00EE28DD" w:rsidP="007A4FB1">
      <w:pPr>
        <w:numPr>
          <w:ilvl w:val="0"/>
          <w:numId w:val="1"/>
        </w:numPr>
        <w:tabs>
          <w:tab w:val="clear" w:pos="567"/>
        </w:tabs>
        <w:spacing w:before="240"/>
        <w:jc w:val="both"/>
        <w:rPr>
          <w:rFonts w:ascii="Book Antiqua" w:hAnsi="Book Antiqua" w:cs="Arial"/>
          <w:i/>
        </w:rPr>
      </w:pPr>
      <w:r>
        <w:rPr>
          <w:rFonts w:ascii="Book Antiqua" w:hAnsi="Book Antiqua" w:cs="Arial"/>
        </w:rPr>
        <w:t>The application for an adjournment was renewed at the hearing before the FtJ</w:t>
      </w:r>
      <w:r w:rsidR="003308C9">
        <w:rPr>
          <w:rFonts w:ascii="Book Antiqua" w:hAnsi="Book Antiqua" w:cs="Arial"/>
        </w:rPr>
        <w:t xml:space="preserve"> on the basis of the missing documents but also on the basis that </w:t>
      </w:r>
      <w:r w:rsidR="0044530B">
        <w:rPr>
          <w:rFonts w:ascii="Book Antiqua" w:hAnsi="Book Antiqua" w:cs="Arial"/>
        </w:rPr>
        <w:t>on behalf of the respondent additional evidence was relied on, namely evidence of the appellant’s father’s immigration history</w:t>
      </w:r>
      <w:r w:rsidR="00F42286">
        <w:rPr>
          <w:rFonts w:ascii="Book Antiqua" w:hAnsi="Book Antiqua" w:cs="Arial"/>
        </w:rPr>
        <w:t>, including recent travel history, and the appellant’s up-to-date PNC record showing the commission of recent offences.</w:t>
      </w:r>
    </w:p>
    <w:p w14:paraId="58328A89" w14:textId="49315395" w:rsidR="00216A0C" w:rsidRPr="00216A0C" w:rsidRDefault="00607153" w:rsidP="007A4FB1">
      <w:pPr>
        <w:numPr>
          <w:ilvl w:val="0"/>
          <w:numId w:val="1"/>
        </w:numPr>
        <w:tabs>
          <w:tab w:val="clear" w:pos="567"/>
        </w:tabs>
        <w:spacing w:before="240"/>
        <w:jc w:val="both"/>
        <w:rPr>
          <w:rFonts w:ascii="Book Antiqua" w:hAnsi="Book Antiqua" w:cs="Arial"/>
          <w:i/>
        </w:rPr>
      </w:pPr>
      <w:r>
        <w:rPr>
          <w:rFonts w:ascii="Book Antiqua" w:hAnsi="Book Antiqua" w:cs="Arial"/>
        </w:rPr>
        <w:t>The appellant did not attend the hearing before the FtJ</w:t>
      </w:r>
      <w:r w:rsidR="00AC53BC">
        <w:rPr>
          <w:rFonts w:ascii="Book Antiqua" w:hAnsi="Book Antiqua" w:cs="Arial"/>
        </w:rPr>
        <w:t xml:space="preserve"> and</w:t>
      </w:r>
      <w:r w:rsidR="00745B3F">
        <w:rPr>
          <w:rFonts w:ascii="Book Antiqua" w:hAnsi="Book Antiqua" w:cs="Arial"/>
        </w:rPr>
        <w:t xml:space="preserve"> the</w:t>
      </w:r>
      <w:r w:rsidR="00AC53BC">
        <w:rPr>
          <w:rFonts w:ascii="Book Antiqua" w:hAnsi="Book Antiqua" w:cs="Arial"/>
        </w:rPr>
        <w:t xml:space="preserve"> appellant’s representative</w:t>
      </w:r>
      <w:r w:rsidR="001C438F">
        <w:rPr>
          <w:rFonts w:ascii="Book Antiqua" w:hAnsi="Book Antiqua" w:cs="Arial"/>
        </w:rPr>
        <w:t xml:space="preserve"> (Mr Rehman who also appeared before me)</w:t>
      </w:r>
      <w:r w:rsidR="00AC53BC">
        <w:rPr>
          <w:rFonts w:ascii="Book Antiqua" w:hAnsi="Book Antiqua" w:cs="Arial"/>
        </w:rPr>
        <w:t xml:space="preserve"> informed the FtJ that he was not sure as to why not. The FtJ was also told that </w:t>
      </w:r>
      <w:r w:rsidR="008E3CBA">
        <w:rPr>
          <w:rFonts w:ascii="Book Antiqua" w:hAnsi="Book Antiqua" w:cs="Arial"/>
        </w:rPr>
        <w:t xml:space="preserve">no evidence had been filed in support of the appeal because the representatives did not have all the documents necessary to prepare a witness statement on </w:t>
      </w:r>
      <w:r w:rsidR="001C438F">
        <w:rPr>
          <w:rFonts w:ascii="Book Antiqua" w:hAnsi="Book Antiqua" w:cs="Arial"/>
        </w:rPr>
        <w:t>his behalf</w:t>
      </w:r>
      <w:r w:rsidR="00216A0C">
        <w:rPr>
          <w:rFonts w:ascii="Book Antiqua" w:hAnsi="Book Antiqua" w:cs="Arial"/>
        </w:rPr>
        <w:t>.</w:t>
      </w:r>
    </w:p>
    <w:p w14:paraId="25CD6E42" w14:textId="77777777" w:rsidR="00DB7305" w:rsidRPr="00DB7305" w:rsidRDefault="00216A0C"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The FtJ refused the application for an adjournment. He said that he considered that </w:t>
      </w:r>
      <w:r w:rsidR="00AD43A9">
        <w:rPr>
          <w:rFonts w:ascii="Book Antiqua" w:hAnsi="Book Antiqua" w:cs="Arial"/>
        </w:rPr>
        <w:t xml:space="preserve">having regard to the procedural history the request for an adjournment on the basis of </w:t>
      </w:r>
      <w:r w:rsidR="001D39EF">
        <w:rPr>
          <w:rFonts w:ascii="Book Antiqua" w:hAnsi="Book Antiqua" w:cs="Arial"/>
        </w:rPr>
        <w:t>the absence of the three documents was made “far too late” and was “inherently unmeritorious”</w:t>
      </w:r>
      <w:r w:rsidR="00DB7305">
        <w:rPr>
          <w:rFonts w:ascii="Book Antiqua" w:hAnsi="Book Antiqua" w:cs="Arial"/>
        </w:rPr>
        <w:t>. He concluded that:</w:t>
      </w:r>
    </w:p>
    <w:p w14:paraId="0A33DA96" w14:textId="6348CB74" w:rsidR="00DB7305" w:rsidRPr="00423FE0" w:rsidRDefault="00DB7305" w:rsidP="00DB7305">
      <w:pPr>
        <w:spacing w:before="240"/>
        <w:ind w:left="1134"/>
        <w:jc w:val="both"/>
        <w:rPr>
          <w:rFonts w:ascii="Book Antiqua" w:hAnsi="Book Antiqua" w:cs="Arial"/>
          <w:i/>
          <w:sz w:val="22"/>
          <w:szCs w:val="22"/>
        </w:rPr>
      </w:pPr>
      <w:r w:rsidRPr="00423FE0">
        <w:rPr>
          <w:rFonts w:ascii="Book Antiqua" w:hAnsi="Book Antiqua" w:cs="Arial"/>
          <w:sz w:val="22"/>
          <w:szCs w:val="22"/>
        </w:rPr>
        <w:lastRenderedPageBreak/>
        <w:t xml:space="preserve">“The absence of these documents </w:t>
      </w:r>
      <w:r w:rsidR="00F35FEE" w:rsidRPr="00423FE0">
        <w:rPr>
          <w:rFonts w:ascii="Book Antiqua" w:hAnsi="Book Antiqua" w:cs="Arial"/>
          <w:sz w:val="22"/>
          <w:szCs w:val="22"/>
        </w:rPr>
        <w:t xml:space="preserve">did not remotely begin to justify the total failure of the Appellant </w:t>
      </w:r>
      <w:r w:rsidR="00423FE0" w:rsidRPr="00423FE0">
        <w:rPr>
          <w:rFonts w:ascii="Book Antiqua" w:hAnsi="Book Antiqua" w:cs="Arial"/>
          <w:sz w:val="22"/>
          <w:szCs w:val="22"/>
        </w:rPr>
        <w:t>to file evidence in support of his Article 8 claim, including a witness statement from himself.”</w:t>
      </w:r>
      <w:r w:rsidR="00F35FEE" w:rsidRPr="00423FE0">
        <w:rPr>
          <w:rFonts w:ascii="Book Antiqua" w:hAnsi="Book Antiqua" w:cs="Arial"/>
          <w:sz w:val="22"/>
          <w:szCs w:val="22"/>
        </w:rPr>
        <w:t xml:space="preserve"> </w:t>
      </w:r>
    </w:p>
    <w:p w14:paraId="52684CEB" w14:textId="77777777" w:rsidR="00FF6943" w:rsidRPr="00FF6943" w:rsidRDefault="00407965"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Further, as had been pointed out in the course of argument, it was the appellant’s responsibility to </w:t>
      </w:r>
      <w:r w:rsidR="00521354">
        <w:rPr>
          <w:rFonts w:ascii="Book Antiqua" w:hAnsi="Book Antiqua" w:cs="Arial"/>
        </w:rPr>
        <w:t>produce the pre-sentence report and (if one existed)</w:t>
      </w:r>
      <w:r w:rsidR="005F568B">
        <w:rPr>
          <w:rFonts w:ascii="Book Antiqua" w:hAnsi="Book Antiqua" w:cs="Arial"/>
        </w:rPr>
        <w:t xml:space="preserve"> an OASys report and not the responsibility of the respondent.</w:t>
      </w:r>
      <w:r w:rsidR="00D35AC0">
        <w:rPr>
          <w:rFonts w:ascii="Book Antiqua" w:hAnsi="Book Antiqua" w:cs="Arial"/>
        </w:rPr>
        <w:t xml:space="preserve"> In addition, the representatives had not sought a direction at the case management hearing</w:t>
      </w:r>
      <w:r w:rsidR="007E209E">
        <w:rPr>
          <w:rFonts w:ascii="Book Antiqua" w:hAnsi="Book Antiqua" w:cs="Arial"/>
        </w:rPr>
        <w:t xml:space="preserve"> (on 31 May 2018)</w:t>
      </w:r>
      <w:r w:rsidR="00D35AC0">
        <w:rPr>
          <w:rFonts w:ascii="Book Antiqua" w:hAnsi="Book Antiqua" w:cs="Arial"/>
        </w:rPr>
        <w:t xml:space="preserve"> for the production of those documents</w:t>
      </w:r>
      <w:r w:rsidR="007E209E">
        <w:rPr>
          <w:rFonts w:ascii="Book Antiqua" w:hAnsi="Book Antiqua" w:cs="Arial"/>
        </w:rPr>
        <w:t xml:space="preserve">. </w:t>
      </w:r>
      <w:r w:rsidR="00120BB6">
        <w:rPr>
          <w:rFonts w:ascii="Book Antiqua" w:hAnsi="Book Antiqua" w:cs="Arial"/>
        </w:rPr>
        <w:t xml:space="preserve">The direction made for the production of the appellant’s father’s appeal determination was directed to both parties not just to </w:t>
      </w:r>
      <w:r w:rsidR="00E85EC4">
        <w:rPr>
          <w:rFonts w:ascii="Book Antiqua" w:hAnsi="Book Antiqua" w:cs="Arial"/>
        </w:rPr>
        <w:t>the respondent. The direction was not mandatory, only that the parties use their best endeavours.</w:t>
      </w:r>
    </w:p>
    <w:p w14:paraId="060829F2" w14:textId="0B8AD0D8" w:rsidR="003C506A" w:rsidRPr="003C506A" w:rsidRDefault="00FF6943" w:rsidP="007A4FB1">
      <w:pPr>
        <w:numPr>
          <w:ilvl w:val="0"/>
          <w:numId w:val="1"/>
        </w:numPr>
        <w:tabs>
          <w:tab w:val="clear" w:pos="567"/>
        </w:tabs>
        <w:spacing w:before="240"/>
        <w:jc w:val="both"/>
        <w:rPr>
          <w:rFonts w:ascii="Book Antiqua" w:hAnsi="Book Antiqua" w:cs="Arial"/>
          <w:i/>
        </w:rPr>
      </w:pPr>
      <w:r>
        <w:rPr>
          <w:rFonts w:ascii="Book Antiqua" w:hAnsi="Book Antiqua" w:cs="Arial"/>
        </w:rPr>
        <w:t>Moreover, th</w:t>
      </w:r>
      <w:r w:rsidR="000D0983">
        <w:rPr>
          <w:rFonts w:ascii="Book Antiqua" w:hAnsi="Book Antiqua" w:cs="Arial"/>
        </w:rPr>
        <w:t>e</w:t>
      </w:r>
      <w:r w:rsidR="003706F6">
        <w:rPr>
          <w:rFonts w:ascii="Book Antiqua" w:hAnsi="Book Antiqua" w:cs="Arial"/>
        </w:rPr>
        <w:t xml:space="preserve"> determination in the appellant’s father’s appeal was, the FtJ said, </w:t>
      </w:r>
      <w:r w:rsidR="009D67ED">
        <w:rPr>
          <w:rFonts w:ascii="Book Antiqua" w:hAnsi="Book Antiqua" w:cs="Arial"/>
        </w:rPr>
        <w:t xml:space="preserve">“completely unnecessary for a fair disposal of this appeal” as there was no dispute </w:t>
      </w:r>
      <w:r w:rsidR="00297DDF">
        <w:rPr>
          <w:rFonts w:ascii="Book Antiqua" w:hAnsi="Book Antiqua" w:cs="Arial"/>
        </w:rPr>
        <w:t>between</w:t>
      </w:r>
      <w:r w:rsidR="009D67ED">
        <w:rPr>
          <w:rFonts w:ascii="Book Antiqua" w:hAnsi="Book Antiqua" w:cs="Arial"/>
        </w:rPr>
        <w:t xml:space="preserve"> the parties </w:t>
      </w:r>
      <w:r w:rsidR="006704FC">
        <w:rPr>
          <w:rFonts w:ascii="Book Antiqua" w:hAnsi="Book Antiqua" w:cs="Arial"/>
        </w:rPr>
        <w:t>as to the findings made in his case in favour of his father and it had never been the respondent’s case</w:t>
      </w:r>
      <w:r w:rsidR="00EB3609">
        <w:rPr>
          <w:rFonts w:ascii="Book Antiqua" w:hAnsi="Book Antiqua" w:cs="Arial"/>
        </w:rPr>
        <w:t xml:space="preserve"> that his father should not have been recognised as a refugee.</w:t>
      </w:r>
    </w:p>
    <w:p w14:paraId="3607D1A1" w14:textId="77777777" w:rsidR="00E471E9" w:rsidRPr="00E471E9" w:rsidRDefault="003C506A" w:rsidP="007A4FB1">
      <w:pPr>
        <w:numPr>
          <w:ilvl w:val="0"/>
          <w:numId w:val="1"/>
        </w:numPr>
        <w:tabs>
          <w:tab w:val="clear" w:pos="567"/>
        </w:tabs>
        <w:spacing w:before="240"/>
        <w:jc w:val="both"/>
        <w:rPr>
          <w:rFonts w:ascii="Book Antiqua" w:hAnsi="Book Antiqua" w:cs="Arial"/>
          <w:i/>
        </w:rPr>
      </w:pPr>
      <w:r>
        <w:rPr>
          <w:rFonts w:ascii="Book Antiqua" w:hAnsi="Book Antiqua" w:cs="Arial"/>
        </w:rPr>
        <w:t>He then recorded that he had informed the parties that he was satisfied “that it was in the interests of justice</w:t>
      </w:r>
      <w:r w:rsidR="003F6AF5">
        <w:rPr>
          <w:rFonts w:ascii="Book Antiqua" w:hAnsi="Book Antiqua" w:cs="Arial"/>
        </w:rPr>
        <w:t>”</w:t>
      </w:r>
      <w:r>
        <w:rPr>
          <w:rFonts w:ascii="Book Antiqua" w:hAnsi="Book Antiqua" w:cs="Arial"/>
        </w:rPr>
        <w:t xml:space="preserve"> </w:t>
      </w:r>
      <w:r w:rsidR="00244F0A">
        <w:rPr>
          <w:rFonts w:ascii="Book Antiqua" w:hAnsi="Book Antiqua" w:cs="Arial"/>
        </w:rPr>
        <w:t xml:space="preserve">to proceed with the appeal in the </w:t>
      </w:r>
      <w:r w:rsidR="003F6AF5">
        <w:rPr>
          <w:rFonts w:ascii="Book Antiqua" w:hAnsi="Book Antiqua" w:cs="Arial"/>
        </w:rPr>
        <w:t>a</w:t>
      </w:r>
      <w:r w:rsidR="00244F0A">
        <w:rPr>
          <w:rFonts w:ascii="Book Antiqua" w:hAnsi="Book Antiqua" w:cs="Arial"/>
        </w:rPr>
        <w:t>ppellant’s absence (there</w:t>
      </w:r>
      <w:r w:rsidR="003F6AF5">
        <w:rPr>
          <w:rFonts w:ascii="Book Antiqua" w:hAnsi="Book Antiqua" w:cs="Arial"/>
        </w:rPr>
        <w:t xml:space="preserve"> having been</w:t>
      </w:r>
      <w:r w:rsidR="00244F0A">
        <w:rPr>
          <w:rFonts w:ascii="Book Antiqua" w:hAnsi="Book Antiqua" w:cs="Arial"/>
        </w:rPr>
        <w:t xml:space="preserve"> no satisfactory explanation for his non-attendance</w:t>
      </w:r>
      <w:r w:rsidR="002A16FD">
        <w:rPr>
          <w:rFonts w:ascii="Book Antiqua" w:hAnsi="Book Antiqua" w:cs="Arial"/>
        </w:rPr>
        <w:t>) and that it was also in the interests of justice to proceed with the appeal on the available evidence, including the up</w:t>
      </w:r>
      <w:r w:rsidR="005569E2">
        <w:rPr>
          <w:rFonts w:ascii="Book Antiqua" w:hAnsi="Book Antiqua" w:cs="Arial"/>
        </w:rPr>
        <w:t>dated PNC record but excluding the evidence of his father’s recent travel history.</w:t>
      </w:r>
      <w:r w:rsidR="00857B2E">
        <w:rPr>
          <w:rFonts w:ascii="Book Antiqua" w:hAnsi="Book Antiqua" w:cs="Arial"/>
        </w:rPr>
        <w:t xml:space="preserve"> He said that although the evidence of the recent convictions came as a surprise to the appellant’s representative, they </w:t>
      </w:r>
      <w:r w:rsidR="00A85FFF">
        <w:rPr>
          <w:rFonts w:ascii="Book Antiqua" w:hAnsi="Book Antiqua" w:cs="Arial"/>
        </w:rPr>
        <w:t xml:space="preserve">would not have come as a surprise to the appellant, stating that the appellant “had no legitimate expectation </w:t>
      </w:r>
      <w:r w:rsidR="00E471E9">
        <w:rPr>
          <w:rFonts w:ascii="Book Antiqua" w:hAnsi="Book Antiqua" w:cs="Arial"/>
        </w:rPr>
        <w:t>that the Respondent would not put before the Tribunal evidence of his recent offending”.</w:t>
      </w:r>
    </w:p>
    <w:p w14:paraId="0760CA3D" w14:textId="77777777" w:rsidR="00E219DB" w:rsidRPr="00E219DB" w:rsidRDefault="00E471E9"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He said that he was excluding the evidence of the recent travel history of the appellant’s father </w:t>
      </w:r>
      <w:r w:rsidR="00133C9E">
        <w:rPr>
          <w:rFonts w:ascii="Book Antiqua" w:hAnsi="Book Antiqua" w:cs="Arial"/>
        </w:rPr>
        <w:t xml:space="preserve">firstly because it was irrelevant to the issue of cessation of refugee status on the basis of the case now advanced by the respondent relying on </w:t>
      </w:r>
      <w:r w:rsidR="00133C9E">
        <w:rPr>
          <w:rFonts w:ascii="Book Antiqua" w:hAnsi="Book Antiqua" w:cs="Arial"/>
          <w:i/>
        </w:rPr>
        <w:t>Secretary of State for the Home Department v Mosira</w:t>
      </w:r>
      <w:r w:rsidR="00C02167">
        <w:rPr>
          <w:rFonts w:ascii="Book Antiqua" w:hAnsi="Book Antiqua" w:cs="Arial"/>
          <w:i/>
        </w:rPr>
        <w:t xml:space="preserve"> </w:t>
      </w:r>
      <w:r w:rsidR="00C02167">
        <w:rPr>
          <w:rFonts w:ascii="Book Antiqua" w:hAnsi="Book Antiqua" w:cs="Arial"/>
        </w:rPr>
        <w:t>[2017] EWCA Civ 407</w:t>
      </w:r>
      <w:r w:rsidR="00537221">
        <w:rPr>
          <w:rFonts w:ascii="Book Antiqua" w:hAnsi="Book Antiqua" w:cs="Arial"/>
        </w:rPr>
        <w:t xml:space="preserve">. Secondly, its late production meant that the appellant had not had a reasonable opportunity </w:t>
      </w:r>
      <w:r w:rsidR="00366640">
        <w:rPr>
          <w:rFonts w:ascii="Book Antiqua" w:hAnsi="Book Antiqua" w:cs="Arial"/>
        </w:rPr>
        <w:t>to address its implications in his article 8 claim.</w:t>
      </w:r>
    </w:p>
    <w:p w14:paraId="10BB887E" w14:textId="77777777" w:rsidR="00F905EA" w:rsidRPr="00F905EA" w:rsidRDefault="00E219DB" w:rsidP="007A4FB1">
      <w:pPr>
        <w:numPr>
          <w:ilvl w:val="0"/>
          <w:numId w:val="1"/>
        </w:numPr>
        <w:tabs>
          <w:tab w:val="clear" w:pos="567"/>
        </w:tabs>
        <w:spacing w:before="240"/>
        <w:jc w:val="both"/>
        <w:rPr>
          <w:rFonts w:ascii="Book Antiqua" w:hAnsi="Book Antiqua" w:cs="Arial"/>
          <w:i/>
        </w:rPr>
      </w:pPr>
      <w:r>
        <w:rPr>
          <w:rFonts w:ascii="Book Antiqua" w:hAnsi="Book Antiqua" w:cs="Arial"/>
        </w:rPr>
        <w:t>The FtJ then allowed a “short adjournment of 45 minu</w:t>
      </w:r>
      <w:r w:rsidR="004F5F4C">
        <w:rPr>
          <w:rFonts w:ascii="Book Antiqua" w:hAnsi="Book Antiqua" w:cs="Arial"/>
        </w:rPr>
        <w:t xml:space="preserve">tes” to allow </w:t>
      </w:r>
      <w:r w:rsidR="00D449A7">
        <w:rPr>
          <w:rFonts w:ascii="Book Antiqua" w:hAnsi="Book Antiqua" w:cs="Arial"/>
        </w:rPr>
        <w:t>the appellant’s representative</w:t>
      </w:r>
      <w:r w:rsidR="004F5F4C">
        <w:rPr>
          <w:rFonts w:ascii="Book Antiqua" w:hAnsi="Book Antiqua" w:cs="Arial"/>
        </w:rPr>
        <w:t xml:space="preserve"> time to prepare his submissions and also the opportunity to contact the appellant </w:t>
      </w:r>
      <w:r w:rsidR="00DE0194">
        <w:rPr>
          <w:rFonts w:ascii="Book Antiqua" w:hAnsi="Book Antiqua" w:cs="Arial"/>
        </w:rPr>
        <w:t xml:space="preserve">with a view to taking his instructions on the recent convictions. When the hearing resumed it was reported that the appellant’s representative had not been able to contact </w:t>
      </w:r>
      <w:r w:rsidR="00F905EA">
        <w:rPr>
          <w:rFonts w:ascii="Book Antiqua" w:hAnsi="Book Antiqua" w:cs="Arial"/>
        </w:rPr>
        <w:t>him</w:t>
      </w:r>
      <w:r w:rsidR="007A64E6">
        <w:rPr>
          <w:rFonts w:ascii="Book Antiqua" w:hAnsi="Book Antiqua" w:cs="Arial"/>
        </w:rPr>
        <w:t>. The FtJ then briefly summarised the parties’ submissions.</w:t>
      </w:r>
      <w:r w:rsidR="00EE28DD">
        <w:rPr>
          <w:rFonts w:ascii="Book Antiqua" w:hAnsi="Book Antiqua" w:cs="Arial"/>
        </w:rPr>
        <w:t xml:space="preserve"> </w:t>
      </w:r>
    </w:p>
    <w:p w14:paraId="159F2656" w14:textId="77777777" w:rsidR="009D51B0" w:rsidRPr="009D51B0" w:rsidRDefault="00F905EA"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In his conclusions the FtJ </w:t>
      </w:r>
      <w:r w:rsidR="0069508B">
        <w:rPr>
          <w:rFonts w:ascii="Book Antiqua" w:hAnsi="Book Antiqua" w:cs="Arial"/>
        </w:rPr>
        <w:t>agreed with the respondent’s (new) position in relation to the appellant’s refugee status</w:t>
      </w:r>
      <w:r w:rsidR="008F5895">
        <w:rPr>
          <w:rFonts w:ascii="Book Antiqua" w:hAnsi="Book Antiqua" w:cs="Arial"/>
        </w:rPr>
        <w:t xml:space="preserve"> relying on the decision in </w:t>
      </w:r>
      <w:r w:rsidR="00DA31D0">
        <w:rPr>
          <w:rFonts w:ascii="Book Antiqua" w:hAnsi="Book Antiqua" w:cs="Arial"/>
          <w:i/>
        </w:rPr>
        <w:t>Mosira</w:t>
      </w:r>
      <w:r w:rsidR="00DA31D0">
        <w:rPr>
          <w:rFonts w:ascii="Book Antiqua" w:hAnsi="Book Antiqua" w:cs="Arial"/>
        </w:rPr>
        <w:t xml:space="preserve">, to the effect that the appellant </w:t>
      </w:r>
      <w:r w:rsidR="0068759F">
        <w:rPr>
          <w:rFonts w:ascii="Book Antiqua" w:hAnsi="Book Antiqua" w:cs="Arial"/>
        </w:rPr>
        <w:t>is not and never has been a refugee under Article 1A of the Refugee Convention.</w:t>
      </w:r>
      <w:r w:rsidR="00CC3031">
        <w:rPr>
          <w:rFonts w:ascii="Book Antiqua" w:hAnsi="Book Antiqua" w:cs="Arial"/>
        </w:rPr>
        <w:t xml:space="preserve"> </w:t>
      </w:r>
      <w:r w:rsidR="008D092F">
        <w:rPr>
          <w:rFonts w:ascii="Book Antiqua" w:hAnsi="Book Antiqua" w:cs="Arial"/>
        </w:rPr>
        <w:t xml:space="preserve">It had never been the appellant’s case that he had been recognised as a refugee </w:t>
      </w:r>
      <w:r w:rsidR="009D51B0">
        <w:rPr>
          <w:rFonts w:ascii="Book Antiqua" w:hAnsi="Book Antiqua" w:cs="Arial"/>
        </w:rPr>
        <w:t xml:space="preserve">under the Refugee Convention or that he was granted asylum under para 334 of the Immigration Rules. </w:t>
      </w:r>
      <w:r w:rsidR="00CC3031">
        <w:rPr>
          <w:rFonts w:ascii="Book Antiqua" w:hAnsi="Book Antiqua" w:cs="Arial"/>
        </w:rPr>
        <w:t xml:space="preserve">He also referred to the decision in </w:t>
      </w:r>
      <w:r w:rsidR="00195B33" w:rsidRPr="00195B33">
        <w:rPr>
          <w:rFonts w:ascii="Book Antiqua" w:hAnsi="Book Antiqua" w:cs="Arial"/>
          <w:i/>
        </w:rPr>
        <w:t>Dang (Refugee – query revocation – Article 3)</w:t>
      </w:r>
      <w:r w:rsidR="00195B33" w:rsidRPr="00195B33">
        <w:rPr>
          <w:rFonts w:ascii="Book Antiqua" w:hAnsi="Book Antiqua" w:cs="Arial"/>
        </w:rPr>
        <w:t xml:space="preserve"> [2013] UKUT 00043 (IAC)</w:t>
      </w:r>
      <w:r w:rsidR="00195B33">
        <w:rPr>
          <w:rFonts w:ascii="Book Antiqua" w:hAnsi="Book Antiqua" w:cs="Arial"/>
        </w:rPr>
        <w:t>.</w:t>
      </w:r>
      <w:r w:rsidR="000D7956">
        <w:rPr>
          <w:rFonts w:ascii="Book Antiqua" w:hAnsi="Book Antiqua" w:cs="Arial"/>
        </w:rPr>
        <w:t xml:space="preserve"> </w:t>
      </w:r>
      <w:r w:rsidR="00E02808">
        <w:rPr>
          <w:rFonts w:ascii="Book Antiqua" w:hAnsi="Book Antiqua" w:cs="Arial"/>
        </w:rPr>
        <w:t xml:space="preserve"> </w:t>
      </w:r>
    </w:p>
    <w:p w14:paraId="7B1834B2" w14:textId="77777777" w:rsidR="003B712B" w:rsidRPr="003B712B" w:rsidRDefault="000F4943" w:rsidP="007A4FB1">
      <w:pPr>
        <w:numPr>
          <w:ilvl w:val="0"/>
          <w:numId w:val="1"/>
        </w:numPr>
        <w:tabs>
          <w:tab w:val="clear" w:pos="567"/>
        </w:tabs>
        <w:spacing w:before="240"/>
        <w:jc w:val="both"/>
        <w:rPr>
          <w:rFonts w:ascii="Book Antiqua" w:hAnsi="Book Antiqua" w:cs="Arial"/>
          <w:i/>
        </w:rPr>
      </w:pPr>
      <w:r>
        <w:rPr>
          <w:rFonts w:ascii="Book Antiqua" w:hAnsi="Book Antiqua" w:cs="Arial"/>
        </w:rPr>
        <w:lastRenderedPageBreak/>
        <w:t>He thus concluded that there was no impediment arising under the Refugee Convention to the appellant’s proposed deportation to Iran</w:t>
      </w:r>
      <w:r w:rsidR="001936CC">
        <w:rPr>
          <w:rFonts w:ascii="Book Antiqua" w:hAnsi="Book Antiqua" w:cs="Arial"/>
        </w:rPr>
        <w:t>, finding that “It is simply unnecessary to consider or apply Article 1C(5) of the Convention or paragraph 33</w:t>
      </w:r>
      <w:r w:rsidR="007C6C06">
        <w:rPr>
          <w:rFonts w:ascii="Book Antiqua" w:hAnsi="Book Antiqua" w:cs="Arial"/>
        </w:rPr>
        <w:t>9A(v) to remove a status which the Appellant has never had”.</w:t>
      </w:r>
    </w:p>
    <w:p w14:paraId="78549F47" w14:textId="77777777" w:rsidR="00AB5E48" w:rsidRPr="00AB5E48" w:rsidRDefault="003B712B"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He further concluded that </w:t>
      </w:r>
      <w:r w:rsidR="00763AF5">
        <w:rPr>
          <w:rFonts w:ascii="Book Antiqua" w:hAnsi="Book Antiqua" w:cs="Arial"/>
        </w:rPr>
        <w:t>the appellant had no legitimate expectation</w:t>
      </w:r>
      <w:r w:rsidR="00101B60">
        <w:rPr>
          <w:rFonts w:ascii="Book Antiqua" w:hAnsi="Book Antiqua" w:cs="Arial"/>
        </w:rPr>
        <w:t xml:space="preserve"> that his status as a ‘refugee’ was permanent</w:t>
      </w:r>
      <w:r w:rsidR="00125BD9">
        <w:rPr>
          <w:rFonts w:ascii="Book Antiqua" w:hAnsi="Book Antiqua" w:cs="Arial"/>
        </w:rPr>
        <w:t xml:space="preserve">, having regard to </w:t>
      </w:r>
      <w:r w:rsidR="00A272D3">
        <w:rPr>
          <w:rFonts w:ascii="Book Antiqua" w:hAnsi="Book Antiqua" w:cs="Arial"/>
        </w:rPr>
        <w:t xml:space="preserve">what was decided in </w:t>
      </w:r>
      <w:r w:rsidR="00A272D3">
        <w:rPr>
          <w:rFonts w:ascii="Book Antiqua" w:hAnsi="Book Antiqua" w:cs="Arial"/>
          <w:i/>
        </w:rPr>
        <w:t>Dang</w:t>
      </w:r>
      <w:r w:rsidR="00A272D3">
        <w:rPr>
          <w:rFonts w:ascii="Book Antiqua" w:hAnsi="Book Antiqua" w:cs="Arial"/>
        </w:rPr>
        <w:t xml:space="preserve"> and Articles 32(1) and 33(1) of the Refugee Convention.</w:t>
      </w:r>
      <w:r w:rsidR="00F71B9D">
        <w:rPr>
          <w:rFonts w:ascii="Book Antiqua" w:hAnsi="Book Antiqua" w:cs="Arial"/>
        </w:rPr>
        <w:t xml:space="preserve"> He was </w:t>
      </w:r>
      <w:r w:rsidR="006A6D76">
        <w:rPr>
          <w:rFonts w:ascii="Book Antiqua" w:hAnsi="Book Antiqua" w:cs="Arial"/>
        </w:rPr>
        <w:t xml:space="preserve">not granted refugee status on the basis of his own </w:t>
      </w:r>
      <w:r w:rsidR="000F7728">
        <w:rPr>
          <w:rFonts w:ascii="Book Antiqua" w:hAnsi="Book Antiqua" w:cs="Arial"/>
        </w:rPr>
        <w:t>imputed political opinion and</w:t>
      </w:r>
      <w:r w:rsidR="00AB5E48">
        <w:rPr>
          <w:rFonts w:ascii="Book Antiqua" w:hAnsi="Book Antiqua" w:cs="Arial"/>
        </w:rPr>
        <w:t xml:space="preserve"> there is no real risk of his being persecuted for that reason now.</w:t>
      </w:r>
    </w:p>
    <w:p w14:paraId="20760FEB" w14:textId="276BA134" w:rsidR="00BA1DFC" w:rsidRPr="00AD21DC" w:rsidRDefault="00A23270" w:rsidP="007A4FB1">
      <w:pPr>
        <w:numPr>
          <w:ilvl w:val="0"/>
          <w:numId w:val="1"/>
        </w:numPr>
        <w:tabs>
          <w:tab w:val="clear" w:pos="567"/>
        </w:tabs>
        <w:spacing w:before="240"/>
        <w:jc w:val="both"/>
        <w:rPr>
          <w:rFonts w:ascii="Book Antiqua" w:hAnsi="Book Antiqua" w:cs="Arial"/>
          <w:i/>
        </w:rPr>
      </w:pPr>
      <w:r>
        <w:rPr>
          <w:rFonts w:ascii="Book Antiqua" w:hAnsi="Book Antiqua" w:cs="Arial"/>
        </w:rPr>
        <w:t>As regards the article 8 claim</w:t>
      </w:r>
      <w:r w:rsidR="00000A61">
        <w:rPr>
          <w:rFonts w:ascii="Book Antiqua" w:hAnsi="Book Antiqua" w:cs="Arial"/>
        </w:rPr>
        <w:t>, he had not provided evidence to establish that he came within para 399(b) of the Rules</w:t>
      </w:r>
      <w:r w:rsidR="009E03DC">
        <w:rPr>
          <w:rFonts w:ascii="Book Antiqua" w:hAnsi="Book Antiqua" w:cs="Arial"/>
        </w:rPr>
        <w:t xml:space="preserve">. Any relationship </w:t>
      </w:r>
      <w:r w:rsidR="0074059D">
        <w:rPr>
          <w:rFonts w:ascii="Book Antiqua" w:hAnsi="Book Antiqua" w:cs="Arial"/>
        </w:rPr>
        <w:t xml:space="preserve">with a partner had been formed at a time when he was in the UK unlawfully and his status was precarious. There was no evidence that it would be unduly harsh for his partner to </w:t>
      </w:r>
      <w:r w:rsidR="00034E58">
        <w:rPr>
          <w:rFonts w:ascii="Book Antiqua" w:hAnsi="Book Antiqua" w:cs="Arial"/>
        </w:rPr>
        <w:t>live in Iran with him because of compelling circumstances over and above EX.2 of Appendix FM or that it would be unduly harsh for her to remain in the UK without him.</w:t>
      </w:r>
      <w:r w:rsidR="00FB5F26">
        <w:rPr>
          <w:rFonts w:ascii="Book Antiqua" w:hAnsi="Book Antiqua" w:cs="Arial"/>
        </w:rPr>
        <w:t xml:space="preserve"> </w:t>
      </w:r>
      <w:r w:rsidR="00655923">
        <w:rPr>
          <w:rFonts w:ascii="Book Antiqua" w:hAnsi="Book Antiqua" w:cs="Arial"/>
        </w:rPr>
        <w:t xml:space="preserve">As the decision letter highlighted, the appellant had not provided evidence of her immigration status, right of abode in the </w:t>
      </w:r>
      <w:r w:rsidR="000926D4">
        <w:rPr>
          <w:rFonts w:ascii="Book Antiqua" w:hAnsi="Book Antiqua" w:cs="Arial"/>
        </w:rPr>
        <w:t>UK, or independent evidence of the length of their relationship or cohabitation.</w:t>
      </w:r>
    </w:p>
    <w:p w14:paraId="67141A29" w14:textId="649B49FE" w:rsidR="00AD21DC" w:rsidRPr="00075E85" w:rsidRDefault="00AD21DC" w:rsidP="007A4FB1">
      <w:pPr>
        <w:numPr>
          <w:ilvl w:val="0"/>
          <w:numId w:val="1"/>
        </w:numPr>
        <w:tabs>
          <w:tab w:val="clear" w:pos="567"/>
        </w:tabs>
        <w:spacing w:before="240"/>
        <w:jc w:val="both"/>
        <w:rPr>
          <w:rFonts w:ascii="Book Antiqua" w:hAnsi="Book Antiqua" w:cs="Arial"/>
          <w:i/>
        </w:rPr>
      </w:pPr>
      <w:r>
        <w:rPr>
          <w:rFonts w:ascii="Book Antiqua" w:hAnsi="Book Antiqua" w:cs="Arial"/>
        </w:rPr>
        <w:t>As to his private life and para 3</w:t>
      </w:r>
      <w:r w:rsidR="00E0362B">
        <w:rPr>
          <w:rFonts w:ascii="Book Antiqua" w:hAnsi="Book Antiqua" w:cs="Arial"/>
        </w:rPr>
        <w:t>99A, he had been lawfully resident in the UK for more than half his life</w:t>
      </w:r>
      <w:r w:rsidR="00962C88">
        <w:rPr>
          <w:rFonts w:ascii="Book Antiqua" w:hAnsi="Book Antiqua" w:cs="Arial"/>
        </w:rPr>
        <w:t xml:space="preserve"> and it was significant that he came to the UK as a 15 year old and had thus spent some of his formative years here. However, there was little sig</w:t>
      </w:r>
      <w:r w:rsidR="00297DDF">
        <w:rPr>
          <w:rFonts w:ascii="Book Antiqua" w:hAnsi="Book Antiqua" w:cs="Arial"/>
        </w:rPr>
        <w:t>n</w:t>
      </w:r>
      <w:r w:rsidR="00962C88">
        <w:rPr>
          <w:rFonts w:ascii="Book Antiqua" w:hAnsi="Book Antiqua" w:cs="Arial"/>
        </w:rPr>
        <w:t xml:space="preserve"> of his having established positive integrative links</w:t>
      </w:r>
      <w:r w:rsidR="00075E85">
        <w:rPr>
          <w:rFonts w:ascii="Book Antiqua" w:hAnsi="Book Antiqua" w:cs="Arial"/>
        </w:rPr>
        <w:t xml:space="preserve"> during that time.</w:t>
      </w:r>
    </w:p>
    <w:p w14:paraId="3B08F031" w14:textId="7421DCD4" w:rsidR="00075E85" w:rsidRPr="00AD2184" w:rsidRDefault="007D3301" w:rsidP="007A4FB1">
      <w:pPr>
        <w:numPr>
          <w:ilvl w:val="0"/>
          <w:numId w:val="1"/>
        </w:numPr>
        <w:tabs>
          <w:tab w:val="clear" w:pos="567"/>
        </w:tabs>
        <w:spacing w:before="240"/>
        <w:jc w:val="both"/>
        <w:rPr>
          <w:rFonts w:ascii="Book Antiqua" w:hAnsi="Book Antiqua" w:cs="Arial"/>
          <w:i/>
        </w:rPr>
      </w:pPr>
      <w:r>
        <w:rPr>
          <w:rFonts w:ascii="Book Antiqua" w:hAnsi="Book Antiqua" w:cs="Arial"/>
        </w:rPr>
        <w:t>He referred to the app</w:t>
      </w:r>
      <w:r w:rsidR="00C60FB4">
        <w:rPr>
          <w:rFonts w:ascii="Book Antiqua" w:hAnsi="Book Antiqua" w:cs="Arial"/>
        </w:rPr>
        <w:t>ellant now working as a sales assistant which he described as a positive development</w:t>
      </w:r>
      <w:r w:rsidR="005831B0">
        <w:rPr>
          <w:rFonts w:ascii="Book Antiqua" w:hAnsi="Book Antiqua" w:cs="Arial"/>
        </w:rPr>
        <w:t>. However, he had not kept his promise not to reoffend.</w:t>
      </w:r>
      <w:r w:rsidR="00561AC2">
        <w:rPr>
          <w:rFonts w:ascii="Book Antiqua" w:hAnsi="Book Antiqua" w:cs="Arial"/>
        </w:rPr>
        <w:t xml:space="preserve"> He had been convicted on 21 November 2017 at West London Magistrates Court of </w:t>
      </w:r>
      <w:r w:rsidR="00910852">
        <w:rPr>
          <w:rFonts w:ascii="Book Antiqua" w:hAnsi="Book Antiqua" w:cs="Arial"/>
        </w:rPr>
        <w:t xml:space="preserve">using a vehicle uninsured and without a licence, committed on 2 November 2017. </w:t>
      </w:r>
      <w:r w:rsidR="008E6AC5">
        <w:rPr>
          <w:rFonts w:ascii="Book Antiqua" w:hAnsi="Book Antiqua" w:cs="Arial"/>
        </w:rPr>
        <w:t>Also on 2 November 2017 he was in possession of Class A and B drugs</w:t>
      </w:r>
      <w:r w:rsidR="00662E8B">
        <w:rPr>
          <w:rFonts w:ascii="Book Antiqua" w:hAnsi="Book Antiqua" w:cs="Arial"/>
        </w:rPr>
        <w:t xml:space="preserve"> and was convicted of those offences on 8 February 2018. On 26 June 2018 he was convicted</w:t>
      </w:r>
      <w:r w:rsidR="00D4505E">
        <w:rPr>
          <w:rFonts w:ascii="Book Antiqua" w:hAnsi="Book Antiqua" w:cs="Arial"/>
        </w:rPr>
        <w:t xml:space="preserve"> at South London Magistrates Court of failing to comply with the requirements of a </w:t>
      </w:r>
      <w:r w:rsidR="00B027F8">
        <w:rPr>
          <w:rFonts w:ascii="Book Antiqua" w:hAnsi="Book Antiqua" w:cs="Arial"/>
        </w:rPr>
        <w:t>community</w:t>
      </w:r>
      <w:r w:rsidR="00392CED">
        <w:rPr>
          <w:rFonts w:ascii="Book Antiqua" w:hAnsi="Book Antiqua" w:cs="Arial"/>
        </w:rPr>
        <w:t xml:space="preserve"> order</w:t>
      </w:r>
      <w:r w:rsidR="00B072E3">
        <w:rPr>
          <w:rFonts w:ascii="Book Antiqua" w:hAnsi="Book Antiqua" w:cs="Arial"/>
        </w:rPr>
        <w:t xml:space="preserve"> between 4 and 8 June 2018.</w:t>
      </w:r>
      <w:r w:rsidR="009136B6">
        <w:rPr>
          <w:rFonts w:ascii="Book Antiqua" w:hAnsi="Book Antiqua" w:cs="Arial"/>
        </w:rPr>
        <w:t xml:space="preserve"> He had also been arrested</w:t>
      </w:r>
      <w:r w:rsidR="00ED6297">
        <w:rPr>
          <w:rFonts w:ascii="Book Antiqua" w:hAnsi="Book Antiqua" w:cs="Arial"/>
        </w:rPr>
        <w:t xml:space="preserve"> on 18 June 2018 for various driving offences, including driving whilst disqualified </w:t>
      </w:r>
      <w:r w:rsidR="00AD2184">
        <w:rPr>
          <w:rFonts w:ascii="Book Antiqua" w:hAnsi="Book Antiqua" w:cs="Arial"/>
        </w:rPr>
        <w:t>and taking a vehicle without consent.</w:t>
      </w:r>
    </w:p>
    <w:p w14:paraId="52219472" w14:textId="7DE74CBE" w:rsidR="00AD2184" w:rsidRPr="00FF15CD" w:rsidRDefault="00AD2184" w:rsidP="007A4FB1">
      <w:pPr>
        <w:numPr>
          <w:ilvl w:val="0"/>
          <w:numId w:val="1"/>
        </w:numPr>
        <w:tabs>
          <w:tab w:val="clear" w:pos="567"/>
        </w:tabs>
        <w:spacing w:before="240"/>
        <w:jc w:val="both"/>
        <w:rPr>
          <w:rFonts w:ascii="Book Antiqua" w:hAnsi="Book Antiqua" w:cs="Arial"/>
          <w:i/>
        </w:rPr>
      </w:pPr>
      <w:r>
        <w:rPr>
          <w:rFonts w:ascii="Book Antiqua" w:hAnsi="Book Antiqua" w:cs="Arial"/>
        </w:rPr>
        <w:t>The FtJ noted that the more recent offences were less serious than the offence which led to the decision to make a deportation order</w:t>
      </w:r>
      <w:r w:rsidR="001C1B92">
        <w:rPr>
          <w:rFonts w:ascii="Book Antiqua" w:hAnsi="Book Antiqua" w:cs="Arial"/>
        </w:rPr>
        <w:t xml:space="preserve"> but he had not put forward independent evidence, such as from his probation officer, to support the claim that he is genuinely remorseful</w:t>
      </w:r>
      <w:r w:rsidR="00914568">
        <w:rPr>
          <w:rFonts w:ascii="Book Antiqua" w:hAnsi="Book Antiqua" w:cs="Arial"/>
        </w:rPr>
        <w:t xml:space="preserve"> about the offence of attempted kidnapping or that he is no longer associating with a negative peer group</w:t>
      </w:r>
      <w:r w:rsidR="00425822">
        <w:rPr>
          <w:rFonts w:ascii="Book Antiqua" w:hAnsi="Book Antiqua" w:cs="Arial"/>
        </w:rPr>
        <w:t xml:space="preserve"> and/or that his risk of reoffending was low.</w:t>
      </w:r>
    </w:p>
    <w:p w14:paraId="2D781B12" w14:textId="5BDF3257" w:rsidR="00FF15CD" w:rsidRPr="00A56519" w:rsidRDefault="00FF15CD"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He also concluded that the appellant had not made out a case that there would be very significant obstacles </w:t>
      </w:r>
      <w:r w:rsidR="0066522A">
        <w:rPr>
          <w:rFonts w:ascii="Book Antiqua" w:hAnsi="Book Antiqua" w:cs="Arial"/>
        </w:rPr>
        <w:t>to his integration in Iran. His account of his lack of family ties</w:t>
      </w:r>
      <w:r w:rsidR="00297DDF">
        <w:rPr>
          <w:rFonts w:ascii="Book Antiqua" w:hAnsi="Book Antiqua" w:cs="Arial"/>
        </w:rPr>
        <w:t xml:space="preserve"> to Iran</w:t>
      </w:r>
      <w:r w:rsidR="0066522A">
        <w:rPr>
          <w:rFonts w:ascii="Book Antiqua" w:hAnsi="Book Antiqua" w:cs="Arial"/>
        </w:rPr>
        <w:t xml:space="preserve"> was contradicted by </w:t>
      </w:r>
      <w:r w:rsidR="00FB027C">
        <w:rPr>
          <w:rFonts w:ascii="Book Antiqua" w:hAnsi="Book Antiqua" w:cs="Arial"/>
        </w:rPr>
        <w:t xml:space="preserve">the evidence that was given by his father in 1999 to the effect that his son (the appellant) was living </w:t>
      </w:r>
      <w:r w:rsidR="00C14DFD">
        <w:rPr>
          <w:rFonts w:ascii="Book Antiqua" w:hAnsi="Book Antiqua" w:cs="Arial"/>
        </w:rPr>
        <w:t xml:space="preserve">with his estranged wife. His father had also said that he had a sister living in </w:t>
      </w:r>
      <w:r w:rsidR="00F33CD0">
        <w:rPr>
          <w:rFonts w:ascii="Book Antiqua" w:hAnsi="Book Antiqua" w:cs="Arial"/>
        </w:rPr>
        <w:t xml:space="preserve">Iran. He further concluded that having arrived in the UK </w:t>
      </w:r>
      <w:r w:rsidR="00F33CD0">
        <w:rPr>
          <w:rFonts w:ascii="Book Antiqua" w:hAnsi="Book Antiqua" w:cs="Arial"/>
        </w:rPr>
        <w:lastRenderedPageBreak/>
        <w:t xml:space="preserve">at the age of 15 and having joined his Iranian father in the UK the appellant would still be familiar with the </w:t>
      </w:r>
      <w:r w:rsidR="008F1CBE">
        <w:rPr>
          <w:rFonts w:ascii="Book Antiqua" w:hAnsi="Book Antiqua" w:cs="Arial"/>
        </w:rPr>
        <w:t xml:space="preserve">culture and social norms of Iran and would not have lost his </w:t>
      </w:r>
      <w:r w:rsidR="008B7F1B">
        <w:rPr>
          <w:rFonts w:ascii="Book Antiqua" w:hAnsi="Book Antiqua" w:cs="Arial"/>
        </w:rPr>
        <w:t>ability</w:t>
      </w:r>
      <w:r w:rsidR="008F1CBE">
        <w:rPr>
          <w:rFonts w:ascii="Book Antiqua" w:hAnsi="Book Antiqua" w:cs="Arial"/>
        </w:rPr>
        <w:t xml:space="preserve"> to speak Farsi.</w:t>
      </w:r>
    </w:p>
    <w:p w14:paraId="1CE76136" w14:textId="4E170E23" w:rsidR="00A56519" w:rsidRPr="000A347E" w:rsidRDefault="00A56519"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The appellant had not made out a case that he suffered from any significant </w:t>
      </w:r>
      <w:r w:rsidR="00A51701">
        <w:rPr>
          <w:rFonts w:ascii="Book Antiqua" w:hAnsi="Book Antiqua" w:cs="Arial"/>
        </w:rPr>
        <w:t>mental health issues. Even if he did suffer from depression</w:t>
      </w:r>
      <w:r w:rsidR="000A347E">
        <w:rPr>
          <w:rFonts w:ascii="Book Antiqua" w:hAnsi="Book Antiqua" w:cs="Arial"/>
        </w:rPr>
        <w:t>, medical treatment would be available in Iran.</w:t>
      </w:r>
    </w:p>
    <w:p w14:paraId="6586469B" w14:textId="28EFD954" w:rsidR="000A347E" w:rsidRPr="007A4FB1" w:rsidRDefault="000A347E" w:rsidP="007A4FB1">
      <w:pPr>
        <w:numPr>
          <w:ilvl w:val="0"/>
          <w:numId w:val="1"/>
        </w:numPr>
        <w:tabs>
          <w:tab w:val="clear" w:pos="567"/>
        </w:tabs>
        <w:spacing w:before="240"/>
        <w:jc w:val="both"/>
        <w:rPr>
          <w:rFonts w:ascii="Book Antiqua" w:hAnsi="Book Antiqua" w:cs="Arial"/>
          <w:i/>
        </w:rPr>
      </w:pPr>
      <w:r>
        <w:rPr>
          <w:rFonts w:ascii="Book Antiqua" w:hAnsi="Book Antiqua" w:cs="Arial"/>
        </w:rPr>
        <w:t xml:space="preserve">He thus concluded that the </w:t>
      </w:r>
      <w:r w:rsidR="00E005C3">
        <w:rPr>
          <w:rFonts w:ascii="Book Antiqua" w:hAnsi="Book Antiqua" w:cs="Arial"/>
        </w:rPr>
        <w:t xml:space="preserve">appellant had not shown that he qualifies for leave to remain under the Rules or that he satisfied Exceptions 1 or 2 </w:t>
      </w:r>
      <w:r w:rsidR="00E041EE">
        <w:rPr>
          <w:rFonts w:ascii="Book Antiqua" w:hAnsi="Book Antiqua" w:cs="Arial"/>
        </w:rPr>
        <w:t xml:space="preserve">under s.117C of the Nationality, Immigration and Asylum Act 2002 ("the 2002 Act"). He found that the article 8 claim was weak and the public interest should prevail in favour of </w:t>
      </w:r>
      <w:r w:rsidR="001A0EAC">
        <w:rPr>
          <w:rFonts w:ascii="Book Antiqua" w:hAnsi="Book Antiqua" w:cs="Arial"/>
        </w:rPr>
        <w:t>deportation.</w:t>
      </w:r>
    </w:p>
    <w:p w14:paraId="62375BBF" w14:textId="59094493" w:rsidR="000E28AE" w:rsidRPr="000E28AE" w:rsidRDefault="001A0EAC" w:rsidP="007A4FB1">
      <w:pPr>
        <w:spacing w:before="240"/>
        <w:ind w:left="567"/>
        <w:jc w:val="both"/>
        <w:rPr>
          <w:rFonts w:ascii="Book Antiqua" w:hAnsi="Book Antiqua" w:cs="Arial"/>
          <w:i/>
        </w:rPr>
      </w:pPr>
      <w:r>
        <w:rPr>
          <w:rFonts w:ascii="Book Antiqua" w:hAnsi="Book Antiqua" w:cs="Arial"/>
          <w:i/>
        </w:rPr>
        <w:t xml:space="preserve">The Grounds and </w:t>
      </w:r>
      <w:r w:rsidR="000E28AE" w:rsidRPr="000E28AE">
        <w:rPr>
          <w:rFonts w:ascii="Book Antiqua" w:hAnsi="Book Antiqua" w:cs="Arial"/>
          <w:i/>
        </w:rPr>
        <w:t>Submissions</w:t>
      </w:r>
    </w:p>
    <w:p w14:paraId="08AA54DA" w14:textId="175E3708" w:rsidR="00454BD0" w:rsidRDefault="00665B95" w:rsidP="00454BD0">
      <w:pPr>
        <w:numPr>
          <w:ilvl w:val="0"/>
          <w:numId w:val="1"/>
        </w:numPr>
        <w:tabs>
          <w:tab w:val="clear" w:pos="567"/>
        </w:tabs>
        <w:spacing w:before="240"/>
        <w:jc w:val="both"/>
        <w:rPr>
          <w:rFonts w:ascii="Book Antiqua" w:hAnsi="Book Antiqua" w:cs="Arial"/>
        </w:rPr>
      </w:pPr>
      <w:r>
        <w:rPr>
          <w:rFonts w:ascii="Book Antiqua" w:hAnsi="Book Antiqua" w:cs="Arial"/>
        </w:rPr>
        <w:t>The grounds of appeal in relation to the FtJ’s decision, to summarise, contend</w:t>
      </w:r>
      <w:r w:rsidR="00C337C5">
        <w:rPr>
          <w:rFonts w:ascii="Book Antiqua" w:hAnsi="Book Antiqua" w:cs="Arial"/>
        </w:rPr>
        <w:t xml:space="preserve"> in ground 1</w:t>
      </w:r>
      <w:r>
        <w:rPr>
          <w:rFonts w:ascii="Book Antiqua" w:hAnsi="Book Antiqua" w:cs="Arial"/>
        </w:rPr>
        <w:t xml:space="preserve"> that </w:t>
      </w:r>
      <w:r w:rsidR="001875A3">
        <w:rPr>
          <w:rFonts w:ascii="Book Antiqua" w:hAnsi="Book Antiqua" w:cs="Arial"/>
        </w:rPr>
        <w:t>the FtJ was wrong to refuse the adjournment, failing to identify whether the documents that the appellant sought to rely on were necessary o</w:t>
      </w:r>
      <w:r w:rsidR="00E664A9">
        <w:rPr>
          <w:rFonts w:ascii="Book Antiqua" w:hAnsi="Book Antiqua" w:cs="Arial"/>
        </w:rPr>
        <w:t>r</w:t>
      </w:r>
      <w:r w:rsidR="001875A3">
        <w:rPr>
          <w:rFonts w:ascii="Book Antiqua" w:hAnsi="Book Antiqua" w:cs="Arial"/>
        </w:rPr>
        <w:t xml:space="preserve"> material</w:t>
      </w:r>
      <w:r w:rsidR="00A23575">
        <w:rPr>
          <w:rFonts w:ascii="Book Antiqua" w:hAnsi="Book Antiqua" w:cs="Arial"/>
        </w:rPr>
        <w:t>. Rather, it is said that he relied on shortcomings in failing to produce the evidence earlier and the failure to provide a witness statement in support of the article 8 claim.</w:t>
      </w:r>
      <w:r w:rsidR="00706231">
        <w:rPr>
          <w:rFonts w:ascii="Book Antiqua" w:hAnsi="Book Antiqua" w:cs="Arial"/>
        </w:rPr>
        <w:t xml:space="preserve"> He had also failed to apply the Tribunal guid</w:t>
      </w:r>
      <w:r w:rsidR="007479F6">
        <w:rPr>
          <w:rFonts w:ascii="Book Antiqua" w:hAnsi="Book Antiqua" w:cs="Arial"/>
        </w:rPr>
        <w:t>ance on case management hearings (is the evidence sought “necessary or material”).</w:t>
      </w:r>
      <w:r w:rsidR="007372DE">
        <w:rPr>
          <w:rFonts w:ascii="Book Antiqua" w:hAnsi="Book Antiqua" w:cs="Arial"/>
        </w:rPr>
        <w:t xml:space="preserve"> He had also failed to apply the guidance in </w:t>
      </w:r>
      <w:r w:rsidR="00454BD0" w:rsidRPr="00454BD0">
        <w:rPr>
          <w:rFonts w:ascii="Book Antiqua" w:hAnsi="Book Antiqua" w:cs="Arial"/>
          <w:i/>
        </w:rPr>
        <w:t>Nwaigwe (adjournment: fairness)</w:t>
      </w:r>
      <w:r w:rsidR="00454BD0" w:rsidRPr="00454BD0">
        <w:rPr>
          <w:rFonts w:ascii="Book Antiqua" w:hAnsi="Book Antiqua" w:cs="Arial"/>
        </w:rPr>
        <w:t xml:space="preserve"> [2014] UKUT 00418 (IAC)</w:t>
      </w:r>
      <w:r w:rsidR="00454BD0">
        <w:rPr>
          <w:rFonts w:ascii="Book Antiqua" w:hAnsi="Book Antiqua" w:cs="Arial"/>
        </w:rPr>
        <w:t>.</w:t>
      </w:r>
      <w:r w:rsidR="00311D54">
        <w:rPr>
          <w:rFonts w:ascii="Book Antiqua" w:hAnsi="Book Antiqua" w:cs="Arial"/>
        </w:rPr>
        <w:t xml:space="preserve"> In essence, the appellant was denied a fair hearing.</w:t>
      </w:r>
    </w:p>
    <w:p w14:paraId="7670C936" w14:textId="7B37E29F" w:rsidR="00787CF8" w:rsidRDefault="00787CF8" w:rsidP="00454BD0">
      <w:pPr>
        <w:numPr>
          <w:ilvl w:val="0"/>
          <w:numId w:val="1"/>
        </w:numPr>
        <w:tabs>
          <w:tab w:val="clear" w:pos="567"/>
        </w:tabs>
        <w:spacing w:before="240"/>
        <w:jc w:val="both"/>
        <w:rPr>
          <w:rFonts w:ascii="Book Antiqua" w:hAnsi="Book Antiqua" w:cs="Arial"/>
        </w:rPr>
      </w:pPr>
      <w:r>
        <w:rPr>
          <w:rFonts w:ascii="Book Antiqua" w:hAnsi="Book Antiqua" w:cs="Arial"/>
        </w:rPr>
        <w:t xml:space="preserve">It is also argued in the grounds that </w:t>
      </w:r>
      <w:r w:rsidR="00157A77">
        <w:rPr>
          <w:rFonts w:ascii="Book Antiqua" w:hAnsi="Book Antiqua" w:cs="Arial"/>
        </w:rPr>
        <w:t xml:space="preserve">the respondent’s changed position (with reference to </w:t>
      </w:r>
      <w:r w:rsidR="00157A77">
        <w:rPr>
          <w:rFonts w:ascii="Book Antiqua" w:hAnsi="Book Antiqua" w:cs="Arial"/>
          <w:i/>
        </w:rPr>
        <w:t>Mosira</w:t>
      </w:r>
      <w:r w:rsidR="00157A77">
        <w:rPr>
          <w:rFonts w:ascii="Book Antiqua" w:hAnsi="Book Antiqua" w:cs="Arial"/>
        </w:rPr>
        <w:t xml:space="preserve">) </w:t>
      </w:r>
      <w:r w:rsidR="00DF2CF0">
        <w:rPr>
          <w:rFonts w:ascii="Book Antiqua" w:hAnsi="Book Antiqua" w:cs="Arial"/>
        </w:rPr>
        <w:t xml:space="preserve">required the appellant and his representatives further time to address the issues. </w:t>
      </w:r>
      <w:r w:rsidR="009B4C4C">
        <w:rPr>
          <w:rFonts w:ascii="Book Antiqua" w:hAnsi="Book Antiqua" w:cs="Arial"/>
        </w:rPr>
        <w:t xml:space="preserve">In addition, the FtJ had failed to make an assessment as to whether </w:t>
      </w:r>
      <w:r w:rsidR="00E664A9">
        <w:rPr>
          <w:rFonts w:ascii="Book Antiqua" w:hAnsi="Book Antiqua" w:cs="Arial"/>
        </w:rPr>
        <w:t>he</w:t>
      </w:r>
      <w:r w:rsidR="009B4C4C">
        <w:rPr>
          <w:rFonts w:ascii="Book Antiqua" w:hAnsi="Book Antiqua" w:cs="Arial"/>
        </w:rPr>
        <w:t xml:space="preserve"> could fairly and justly decide the appeal in the absence of the appellant.</w:t>
      </w:r>
    </w:p>
    <w:p w14:paraId="04EA1DE7" w14:textId="2692BFF8" w:rsidR="00C337C5" w:rsidRDefault="00C337C5" w:rsidP="00454BD0">
      <w:pPr>
        <w:numPr>
          <w:ilvl w:val="0"/>
          <w:numId w:val="1"/>
        </w:numPr>
        <w:tabs>
          <w:tab w:val="clear" w:pos="567"/>
        </w:tabs>
        <w:spacing w:before="240"/>
        <w:jc w:val="both"/>
        <w:rPr>
          <w:rFonts w:ascii="Book Antiqua" w:hAnsi="Book Antiqua" w:cs="Arial"/>
        </w:rPr>
      </w:pPr>
      <w:r>
        <w:rPr>
          <w:rFonts w:ascii="Book Antiqua" w:hAnsi="Book Antiqua" w:cs="Arial"/>
        </w:rPr>
        <w:t xml:space="preserve">Ground 2 </w:t>
      </w:r>
      <w:r w:rsidR="003420E6">
        <w:rPr>
          <w:rFonts w:ascii="Book Antiqua" w:hAnsi="Book Antiqua" w:cs="Arial"/>
        </w:rPr>
        <w:t xml:space="preserve">asserts that </w:t>
      </w:r>
      <w:r w:rsidR="00DC20DD">
        <w:rPr>
          <w:rFonts w:ascii="Book Antiqua" w:hAnsi="Book Antiqua" w:cs="Arial"/>
        </w:rPr>
        <w:t xml:space="preserve">the FtJ wrongly concluded that with reference to </w:t>
      </w:r>
      <w:r w:rsidR="00DC20DD">
        <w:rPr>
          <w:rFonts w:ascii="Book Antiqua" w:hAnsi="Book Antiqua" w:cs="Arial"/>
          <w:i/>
        </w:rPr>
        <w:t>Mosira</w:t>
      </w:r>
      <w:r w:rsidR="00DC20DD">
        <w:rPr>
          <w:rFonts w:ascii="Book Antiqua" w:hAnsi="Book Antiqua" w:cs="Arial"/>
        </w:rPr>
        <w:t xml:space="preserve"> the appellant </w:t>
      </w:r>
      <w:r w:rsidR="00286941">
        <w:rPr>
          <w:rFonts w:ascii="Book Antiqua" w:hAnsi="Book Antiqua" w:cs="Arial"/>
        </w:rPr>
        <w:t>could not be considered a refugee</w:t>
      </w:r>
      <w:r w:rsidR="00D01EDB">
        <w:rPr>
          <w:rFonts w:ascii="Book Antiqua" w:hAnsi="Book Antiqua" w:cs="Arial"/>
        </w:rPr>
        <w:t xml:space="preserve">. That ground also </w:t>
      </w:r>
      <w:r w:rsidR="00B84548">
        <w:rPr>
          <w:rFonts w:ascii="Book Antiqua" w:hAnsi="Book Antiqua" w:cs="Arial"/>
        </w:rPr>
        <w:t>argues that</w:t>
      </w:r>
      <w:r w:rsidR="00D01EDB">
        <w:rPr>
          <w:rFonts w:ascii="Book Antiqua" w:hAnsi="Book Antiqua" w:cs="Arial"/>
        </w:rPr>
        <w:t xml:space="preserve"> the FtJ</w:t>
      </w:r>
      <w:r w:rsidR="00D0372F">
        <w:rPr>
          <w:rFonts w:ascii="Book Antiqua" w:hAnsi="Book Antiqua" w:cs="Arial"/>
        </w:rPr>
        <w:t xml:space="preserve"> was wrong to decide as he did in relation to </w:t>
      </w:r>
      <w:r w:rsidR="00B84548">
        <w:rPr>
          <w:rFonts w:ascii="Book Antiqua" w:hAnsi="Book Antiqua" w:cs="Arial"/>
        </w:rPr>
        <w:t xml:space="preserve">the </w:t>
      </w:r>
      <w:r w:rsidR="000107B5">
        <w:rPr>
          <w:rFonts w:ascii="Book Antiqua" w:hAnsi="Book Antiqua" w:cs="Arial"/>
        </w:rPr>
        <w:t>refugee policy that applied at the time of the grant to the appellant</w:t>
      </w:r>
      <w:r w:rsidR="0083504E">
        <w:rPr>
          <w:rFonts w:ascii="Book Antiqua" w:hAnsi="Book Antiqua" w:cs="Arial"/>
        </w:rPr>
        <w:t xml:space="preserve"> (as a dependant</w:t>
      </w:r>
      <w:r w:rsidR="00BA33C1">
        <w:rPr>
          <w:rFonts w:ascii="Book Antiqua" w:hAnsi="Book Antiqua" w:cs="Arial"/>
        </w:rPr>
        <w:t>)</w:t>
      </w:r>
      <w:r w:rsidR="000107B5">
        <w:rPr>
          <w:rFonts w:ascii="Book Antiqua" w:hAnsi="Book Antiqua" w:cs="Arial"/>
        </w:rPr>
        <w:t xml:space="preserve">, erroneously seeking to distinguish </w:t>
      </w:r>
      <w:r w:rsidR="000107B5">
        <w:rPr>
          <w:rFonts w:ascii="Book Antiqua" w:hAnsi="Book Antiqua" w:cs="Arial"/>
          <w:i/>
        </w:rPr>
        <w:t>Mosira</w:t>
      </w:r>
      <w:r w:rsidR="000107B5">
        <w:rPr>
          <w:rFonts w:ascii="Book Antiqua" w:hAnsi="Book Antiqua" w:cs="Arial"/>
        </w:rPr>
        <w:t xml:space="preserve"> on that point.</w:t>
      </w:r>
    </w:p>
    <w:p w14:paraId="5844067E" w14:textId="1C4E569F" w:rsidR="00881F67" w:rsidRDefault="00881F67" w:rsidP="00454BD0">
      <w:pPr>
        <w:numPr>
          <w:ilvl w:val="0"/>
          <w:numId w:val="1"/>
        </w:numPr>
        <w:tabs>
          <w:tab w:val="clear" w:pos="567"/>
        </w:tabs>
        <w:spacing w:before="240"/>
        <w:jc w:val="both"/>
        <w:rPr>
          <w:rFonts w:ascii="Book Antiqua" w:hAnsi="Book Antiqua" w:cs="Arial"/>
        </w:rPr>
      </w:pPr>
      <w:r>
        <w:rPr>
          <w:rFonts w:ascii="Book Antiqua" w:hAnsi="Book Antiqua" w:cs="Arial"/>
        </w:rPr>
        <w:t xml:space="preserve">Ground 3 </w:t>
      </w:r>
      <w:r w:rsidR="005F3835">
        <w:rPr>
          <w:rFonts w:ascii="Book Antiqua" w:hAnsi="Book Antiqua" w:cs="Arial"/>
        </w:rPr>
        <w:t xml:space="preserve">contends that </w:t>
      </w:r>
      <w:r w:rsidR="005C208B">
        <w:rPr>
          <w:rFonts w:ascii="Book Antiqua" w:hAnsi="Book Antiqua" w:cs="Arial"/>
        </w:rPr>
        <w:t>th</w:t>
      </w:r>
      <w:r w:rsidR="009C3BFC">
        <w:rPr>
          <w:rFonts w:ascii="Book Antiqua" w:hAnsi="Book Antiqua" w:cs="Arial"/>
        </w:rPr>
        <w:t xml:space="preserve">ere was an erroneous reliance by the FtJ on </w:t>
      </w:r>
      <w:r w:rsidR="00E52406">
        <w:rPr>
          <w:rFonts w:ascii="Book Antiqua" w:hAnsi="Book Antiqua" w:cs="Arial"/>
        </w:rPr>
        <w:t>the</w:t>
      </w:r>
      <w:r w:rsidR="00B96169">
        <w:rPr>
          <w:rFonts w:ascii="Book Antiqua" w:hAnsi="Book Antiqua" w:cs="Arial"/>
        </w:rPr>
        <w:t xml:space="preserve"> basis of the </w:t>
      </w:r>
      <w:r w:rsidR="00E52406">
        <w:rPr>
          <w:rFonts w:ascii="Book Antiqua" w:hAnsi="Book Antiqua" w:cs="Arial"/>
        </w:rPr>
        <w:t xml:space="preserve">respondent’s </w:t>
      </w:r>
      <w:r w:rsidR="00B96169">
        <w:rPr>
          <w:rFonts w:ascii="Book Antiqua" w:hAnsi="Book Antiqua" w:cs="Arial"/>
        </w:rPr>
        <w:t xml:space="preserve">decision not </w:t>
      </w:r>
      <w:r w:rsidR="00217E5F">
        <w:rPr>
          <w:rFonts w:ascii="Book Antiqua" w:hAnsi="Book Antiqua" w:cs="Arial"/>
        </w:rPr>
        <w:t>relied on by the respondent</w:t>
      </w:r>
      <w:r w:rsidR="000A30E2">
        <w:rPr>
          <w:rFonts w:ascii="Book Antiqua" w:hAnsi="Book Antiqua" w:cs="Arial"/>
        </w:rPr>
        <w:t xml:space="preserve"> in that the decision was made on the basis of </w:t>
      </w:r>
      <w:r w:rsidR="00654FF2">
        <w:rPr>
          <w:rFonts w:ascii="Book Antiqua" w:hAnsi="Book Antiqua" w:cs="Arial"/>
        </w:rPr>
        <w:t>changed circumstances in Iran but the FtJ had decided the appeal on the basis that the appellant was not at risk</w:t>
      </w:r>
      <w:r w:rsidR="005A3DE9">
        <w:rPr>
          <w:rFonts w:ascii="Book Antiqua" w:hAnsi="Book Antiqua" w:cs="Arial"/>
        </w:rPr>
        <w:t xml:space="preserve"> because he had not been persecuted in the past. However, that was not the import of the decision letter or of the information provided to the UNHCR </w:t>
      </w:r>
      <w:r w:rsidR="00961847">
        <w:rPr>
          <w:rFonts w:ascii="Book Antiqua" w:hAnsi="Book Antiqua" w:cs="Arial"/>
        </w:rPr>
        <w:t>by the respondent, or the</w:t>
      </w:r>
      <w:r w:rsidR="00580F6C">
        <w:rPr>
          <w:rFonts w:ascii="Book Antiqua" w:hAnsi="Book Antiqua" w:cs="Arial"/>
        </w:rPr>
        <w:t xml:space="preserve"> UNHCR’s</w:t>
      </w:r>
      <w:r w:rsidR="00961847">
        <w:rPr>
          <w:rFonts w:ascii="Book Antiqua" w:hAnsi="Book Antiqua" w:cs="Arial"/>
        </w:rPr>
        <w:t xml:space="preserve"> response to the proposal to cease his refugee status.</w:t>
      </w:r>
    </w:p>
    <w:p w14:paraId="5287C1CF" w14:textId="613C8893" w:rsidR="00961847" w:rsidRPr="00454BD0" w:rsidRDefault="00C85853" w:rsidP="00454BD0">
      <w:pPr>
        <w:numPr>
          <w:ilvl w:val="0"/>
          <w:numId w:val="1"/>
        </w:numPr>
        <w:tabs>
          <w:tab w:val="clear" w:pos="567"/>
        </w:tabs>
        <w:spacing w:before="240"/>
        <w:jc w:val="both"/>
        <w:rPr>
          <w:rFonts w:ascii="Book Antiqua" w:hAnsi="Book Antiqua" w:cs="Arial"/>
        </w:rPr>
      </w:pPr>
      <w:r>
        <w:rPr>
          <w:rFonts w:ascii="Book Antiqua" w:hAnsi="Book Antiqua" w:cs="Arial"/>
        </w:rPr>
        <w:t xml:space="preserve">Ground 4 (described as ground 5 in the written grounds) simply says that “The FTTJ </w:t>
      </w:r>
      <w:r w:rsidR="00F56685">
        <w:rPr>
          <w:rFonts w:ascii="Book Antiqua" w:hAnsi="Book Antiqua" w:cs="Arial"/>
        </w:rPr>
        <w:t>has made no decision separately under Humanitarian protection policy. Further FTTJ’s decision on article 8 is not well reasoned.”</w:t>
      </w:r>
    </w:p>
    <w:p w14:paraId="410D77FE" w14:textId="77777777" w:rsidR="00183F6D" w:rsidRDefault="00AA16EE" w:rsidP="00183F6D">
      <w:pPr>
        <w:numPr>
          <w:ilvl w:val="0"/>
          <w:numId w:val="1"/>
        </w:numPr>
        <w:tabs>
          <w:tab w:val="clear" w:pos="567"/>
        </w:tabs>
        <w:spacing w:before="240"/>
        <w:jc w:val="both"/>
        <w:rPr>
          <w:rFonts w:ascii="Book Antiqua" w:hAnsi="Book Antiqua" w:cs="Arial"/>
        </w:rPr>
      </w:pPr>
      <w:r>
        <w:rPr>
          <w:rFonts w:ascii="Book Antiqua" w:hAnsi="Book Antiqua" w:cs="Arial"/>
        </w:rPr>
        <w:lastRenderedPageBreak/>
        <w:t>In his submissions Mr Rehman</w:t>
      </w:r>
      <w:r w:rsidR="003900A3">
        <w:rPr>
          <w:rFonts w:ascii="Book Antiqua" w:hAnsi="Book Antiqua" w:cs="Arial"/>
        </w:rPr>
        <w:t xml:space="preserve"> relied on the grounds, referring to various aspects of the FtJ’s decision. </w:t>
      </w:r>
      <w:r w:rsidR="00B478C2">
        <w:rPr>
          <w:rFonts w:ascii="Book Antiqua" w:hAnsi="Book Antiqua" w:cs="Arial"/>
        </w:rPr>
        <w:t xml:space="preserve">In response to </w:t>
      </w:r>
      <w:r w:rsidR="00341374">
        <w:rPr>
          <w:rFonts w:ascii="Book Antiqua" w:hAnsi="Book Antiqua" w:cs="Arial"/>
        </w:rPr>
        <w:t xml:space="preserve">my enquiry as to </w:t>
      </w:r>
      <w:r w:rsidR="00094611">
        <w:rPr>
          <w:rFonts w:ascii="Book Antiqua" w:hAnsi="Book Antiqua" w:cs="Arial"/>
        </w:rPr>
        <w:t xml:space="preserve">what would have been sought to have been achieved on behalf of the appellant by an adjournment, it was submitted that </w:t>
      </w:r>
      <w:r w:rsidR="00610446">
        <w:rPr>
          <w:rFonts w:ascii="Book Antiqua" w:hAnsi="Book Antiqua" w:cs="Arial"/>
        </w:rPr>
        <w:t xml:space="preserve">the decision letter </w:t>
      </w:r>
      <w:r w:rsidR="00C1301B">
        <w:rPr>
          <w:rFonts w:ascii="Book Antiqua" w:hAnsi="Book Antiqua" w:cs="Arial"/>
        </w:rPr>
        <w:t xml:space="preserve">either needed to </w:t>
      </w:r>
      <w:r w:rsidR="002B085A">
        <w:rPr>
          <w:rFonts w:ascii="Book Antiqua" w:hAnsi="Book Antiqua" w:cs="Arial"/>
        </w:rPr>
        <w:t xml:space="preserve">have been amended and re-served. </w:t>
      </w:r>
    </w:p>
    <w:p w14:paraId="79C39AAD" w14:textId="77777777" w:rsidR="00751806" w:rsidRDefault="00183F6D" w:rsidP="00183F6D">
      <w:pPr>
        <w:numPr>
          <w:ilvl w:val="0"/>
          <w:numId w:val="1"/>
        </w:numPr>
        <w:tabs>
          <w:tab w:val="clear" w:pos="567"/>
        </w:tabs>
        <w:spacing w:before="240"/>
        <w:jc w:val="both"/>
        <w:rPr>
          <w:rFonts w:ascii="Book Antiqua" w:hAnsi="Book Antiqua" w:cs="Arial"/>
        </w:rPr>
      </w:pPr>
      <w:r>
        <w:rPr>
          <w:rFonts w:ascii="Book Antiqua" w:hAnsi="Book Antiqua" w:cs="Arial"/>
        </w:rPr>
        <w:t>In relation to what the FtJ said at [99] about the</w:t>
      </w:r>
      <w:r w:rsidR="006C6927">
        <w:rPr>
          <w:rFonts w:ascii="Book Antiqua" w:hAnsi="Book Antiqua" w:cs="Arial"/>
        </w:rPr>
        <w:t xml:space="preserve"> lack of evidence of remorse/risk of reoffending, the</w:t>
      </w:r>
      <w:r w:rsidR="002B085A">
        <w:rPr>
          <w:rFonts w:ascii="Book Antiqua" w:hAnsi="Book Antiqua" w:cs="Arial"/>
        </w:rPr>
        <w:t xml:space="preserve"> appellant should have been afforded the opportunity to provide evidence addressing the point.</w:t>
      </w:r>
      <w:r w:rsidR="00F05770">
        <w:rPr>
          <w:rFonts w:ascii="Book Antiqua" w:hAnsi="Book Antiqua" w:cs="Arial"/>
        </w:rPr>
        <w:t xml:space="preserve"> An OASys report should have been provided</w:t>
      </w:r>
      <w:r w:rsidR="00751806">
        <w:rPr>
          <w:rFonts w:ascii="Book Antiqua" w:hAnsi="Book Antiqua" w:cs="Arial"/>
        </w:rPr>
        <w:t xml:space="preserve">. </w:t>
      </w:r>
    </w:p>
    <w:p w14:paraId="2BEE4497" w14:textId="49B34EFE" w:rsidR="00C27DBC" w:rsidRDefault="00751806" w:rsidP="00183F6D">
      <w:pPr>
        <w:numPr>
          <w:ilvl w:val="0"/>
          <w:numId w:val="1"/>
        </w:numPr>
        <w:tabs>
          <w:tab w:val="clear" w:pos="567"/>
        </w:tabs>
        <w:spacing w:before="240"/>
        <w:jc w:val="both"/>
        <w:rPr>
          <w:rFonts w:ascii="Book Antiqua" w:hAnsi="Book Antiqua" w:cs="Arial"/>
        </w:rPr>
      </w:pPr>
      <w:r>
        <w:rPr>
          <w:rFonts w:ascii="Book Antiqua" w:hAnsi="Book Antiqua" w:cs="Arial"/>
        </w:rPr>
        <w:t>It was accepted that there was no witness statement from the appellant even now</w:t>
      </w:r>
      <w:r w:rsidR="009870A9">
        <w:rPr>
          <w:rFonts w:ascii="Book Antiqua" w:hAnsi="Book Antiqua" w:cs="Arial"/>
        </w:rPr>
        <w:t>, although given that the initial issue was whether there was an error of law on the part of the FtJ, a witness statement was not necessary to establish that fact</w:t>
      </w:r>
      <w:r>
        <w:rPr>
          <w:rFonts w:ascii="Book Antiqua" w:hAnsi="Book Antiqua" w:cs="Arial"/>
        </w:rPr>
        <w:t>.</w:t>
      </w:r>
      <w:r w:rsidR="003D5328">
        <w:rPr>
          <w:rFonts w:ascii="Book Antiqua" w:hAnsi="Book Antiqua" w:cs="Arial"/>
        </w:rPr>
        <w:t xml:space="preserve"> </w:t>
      </w:r>
      <w:r w:rsidR="00C61411">
        <w:rPr>
          <w:rFonts w:ascii="Book Antiqua" w:hAnsi="Book Antiqua" w:cs="Arial"/>
        </w:rPr>
        <w:t>Mr Rehman</w:t>
      </w:r>
      <w:r w:rsidR="003D5328">
        <w:rPr>
          <w:rFonts w:ascii="Book Antiqua" w:hAnsi="Book Antiqua" w:cs="Arial"/>
        </w:rPr>
        <w:t xml:space="preserve"> accepted that the FtJ was told</w:t>
      </w:r>
      <w:r w:rsidR="000052A7">
        <w:rPr>
          <w:rFonts w:ascii="Book Antiqua" w:hAnsi="Book Antiqua" w:cs="Arial"/>
        </w:rPr>
        <w:t xml:space="preserve"> that he was not sure why the appellant had not attended the hearing.</w:t>
      </w:r>
      <w:r w:rsidR="00AA748E">
        <w:rPr>
          <w:rFonts w:ascii="Book Antiqua" w:hAnsi="Book Antiqua" w:cs="Arial"/>
        </w:rPr>
        <w:t xml:space="preserve"> It was submitted that no decision had been made on the written application for an adjournment dated 26 September which was faxed to the Tribunal</w:t>
      </w:r>
      <w:r w:rsidR="00AD7909">
        <w:rPr>
          <w:rFonts w:ascii="Book Antiqua" w:hAnsi="Book Antiqua" w:cs="Arial"/>
        </w:rPr>
        <w:t>.</w:t>
      </w:r>
    </w:p>
    <w:p w14:paraId="24A6E8A2" w14:textId="2D5FF332" w:rsidR="00AD7909" w:rsidRDefault="00AD7909" w:rsidP="00183F6D">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w:t>
      </w:r>
      <w:r>
        <w:rPr>
          <w:rFonts w:ascii="Book Antiqua" w:hAnsi="Book Antiqua" w:cs="Arial"/>
          <w:i/>
        </w:rPr>
        <w:t>Mosira</w:t>
      </w:r>
      <w:r w:rsidR="003F72FC">
        <w:rPr>
          <w:rFonts w:ascii="Book Antiqua" w:hAnsi="Book Antiqua" w:cs="Arial"/>
        </w:rPr>
        <w:t>,</w:t>
      </w:r>
      <w:r>
        <w:rPr>
          <w:rFonts w:ascii="Book Antiqua" w:hAnsi="Book Antiqua" w:cs="Arial"/>
        </w:rPr>
        <w:t xml:space="preserve"> the passage the FtJ relied on was </w:t>
      </w:r>
      <w:r>
        <w:rPr>
          <w:rFonts w:ascii="Book Antiqua" w:hAnsi="Book Antiqua" w:cs="Arial"/>
          <w:i/>
        </w:rPr>
        <w:t>obiter</w:t>
      </w:r>
      <w:r w:rsidR="00F1535C">
        <w:rPr>
          <w:rFonts w:ascii="Book Antiqua" w:hAnsi="Book Antiqua" w:cs="Arial"/>
        </w:rPr>
        <w:t xml:space="preserve"> and the Court of Appeal had not heard full argument on the point.</w:t>
      </w:r>
    </w:p>
    <w:p w14:paraId="266BD0F5" w14:textId="4F0FF160" w:rsidR="00F1535C" w:rsidRDefault="00F1535C" w:rsidP="00183F6D">
      <w:pPr>
        <w:numPr>
          <w:ilvl w:val="0"/>
          <w:numId w:val="1"/>
        </w:numPr>
        <w:tabs>
          <w:tab w:val="clear" w:pos="567"/>
        </w:tabs>
        <w:spacing w:before="240"/>
        <w:jc w:val="both"/>
        <w:rPr>
          <w:rFonts w:ascii="Book Antiqua" w:hAnsi="Book Antiqua" w:cs="Arial"/>
        </w:rPr>
      </w:pPr>
      <w:r>
        <w:rPr>
          <w:rFonts w:ascii="Book Antiqua" w:hAnsi="Book Antiqua" w:cs="Arial"/>
        </w:rPr>
        <w:t>In his submissions Mr M</w:t>
      </w:r>
      <w:r w:rsidR="00230F83">
        <w:rPr>
          <w:rFonts w:ascii="Book Antiqua" w:hAnsi="Book Antiqua" w:cs="Arial"/>
        </w:rPr>
        <w:t>cGirr said that the appellant was given the opportunity to attend the hearing</w:t>
      </w:r>
      <w:r w:rsidR="00DB3D03">
        <w:rPr>
          <w:rFonts w:ascii="Book Antiqua" w:hAnsi="Book Antiqua" w:cs="Arial"/>
        </w:rPr>
        <w:t xml:space="preserve"> and a 45 minute adjournment was given in order for further preparation on behalf of the appellant. The FtJ had considered the adjournment issue in terms of fairness</w:t>
      </w:r>
      <w:r w:rsidR="001C721A">
        <w:rPr>
          <w:rFonts w:ascii="Book Antiqua" w:hAnsi="Book Antiqua" w:cs="Arial"/>
        </w:rPr>
        <w:t>.</w:t>
      </w:r>
    </w:p>
    <w:p w14:paraId="31ABDD6C" w14:textId="6CAC1475" w:rsidR="001C721A" w:rsidRDefault="001C721A" w:rsidP="00183F6D">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the </w:t>
      </w:r>
      <w:r>
        <w:rPr>
          <w:rFonts w:ascii="Book Antiqua" w:hAnsi="Book Antiqua" w:cs="Arial"/>
          <w:i/>
        </w:rPr>
        <w:t>Mosira</w:t>
      </w:r>
      <w:r>
        <w:rPr>
          <w:rFonts w:ascii="Book Antiqua" w:hAnsi="Book Antiqua" w:cs="Arial"/>
        </w:rPr>
        <w:t xml:space="preserve"> point, </w:t>
      </w:r>
      <w:r w:rsidR="00D4134F">
        <w:rPr>
          <w:rFonts w:ascii="Book Antiqua" w:hAnsi="Book Antiqua" w:cs="Arial"/>
        </w:rPr>
        <w:t>it is true that the respondent’s stance changed</w:t>
      </w:r>
      <w:r w:rsidR="00A0784C">
        <w:rPr>
          <w:rFonts w:ascii="Book Antiqua" w:hAnsi="Book Antiqua" w:cs="Arial"/>
        </w:rPr>
        <w:t xml:space="preserve"> but the appellant’s representative was given the opportunity to prepare and respond. </w:t>
      </w:r>
      <w:r w:rsidR="00F9309F">
        <w:rPr>
          <w:rFonts w:ascii="Book Antiqua" w:hAnsi="Book Antiqua" w:cs="Arial"/>
        </w:rPr>
        <w:t>If the appellant had failed to give instructions that was not the responsibility of the FtJ.</w:t>
      </w:r>
    </w:p>
    <w:p w14:paraId="2099ABAA" w14:textId="3EEDA29F" w:rsidR="00B60B58" w:rsidRDefault="00B60B58" w:rsidP="00183F6D">
      <w:pPr>
        <w:numPr>
          <w:ilvl w:val="0"/>
          <w:numId w:val="1"/>
        </w:numPr>
        <w:tabs>
          <w:tab w:val="clear" w:pos="567"/>
        </w:tabs>
        <w:spacing w:before="240"/>
        <w:jc w:val="both"/>
        <w:rPr>
          <w:rFonts w:ascii="Book Antiqua" w:hAnsi="Book Antiqua" w:cs="Arial"/>
        </w:rPr>
      </w:pPr>
      <w:r>
        <w:rPr>
          <w:rFonts w:ascii="Book Antiqua" w:hAnsi="Book Antiqua" w:cs="Arial"/>
        </w:rPr>
        <w:t>As to ground 3, there was a finding on humanitarian protection at [85]</w:t>
      </w:r>
      <w:r w:rsidR="00954098">
        <w:rPr>
          <w:rFonts w:ascii="Book Antiqua" w:hAnsi="Book Antiqua" w:cs="Arial"/>
        </w:rPr>
        <w:t xml:space="preserve">. As regards article 8, there was a full assessment at </w:t>
      </w:r>
      <w:r w:rsidR="00347536">
        <w:rPr>
          <w:rFonts w:ascii="Book Antiqua" w:hAnsi="Book Antiqua" w:cs="Arial"/>
        </w:rPr>
        <w:t xml:space="preserve">[86]-[103]. Any disadvantage to the appellant was his </w:t>
      </w:r>
      <w:r w:rsidR="00122BF6">
        <w:rPr>
          <w:rFonts w:ascii="Book Antiqua" w:hAnsi="Book Antiqua" w:cs="Arial"/>
        </w:rPr>
        <w:t>responsibility by having failed to provide evidence.</w:t>
      </w:r>
    </w:p>
    <w:p w14:paraId="46357D65" w14:textId="6A8C60A2" w:rsidR="00A23575" w:rsidRDefault="00122BF6" w:rsidP="00C27DBC">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Mr Rehman submitted that the respondent’s new position on cessation of </w:t>
      </w:r>
      <w:r w:rsidR="003D67E0">
        <w:rPr>
          <w:rFonts w:ascii="Book Antiqua" w:hAnsi="Book Antiqua" w:cs="Arial"/>
        </w:rPr>
        <w:t>refugee status “affected the whole scenario”.</w:t>
      </w:r>
    </w:p>
    <w:p w14:paraId="26640EC7" w14:textId="56D62153" w:rsidR="003D67E0" w:rsidRPr="008B4A2B" w:rsidRDefault="008B4A2B" w:rsidP="008B4A2B">
      <w:pPr>
        <w:spacing w:before="240"/>
        <w:ind w:left="567"/>
        <w:jc w:val="both"/>
        <w:rPr>
          <w:rFonts w:ascii="Book Antiqua" w:hAnsi="Book Antiqua" w:cs="Arial"/>
          <w:i/>
        </w:rPr>
      </w:pPr>
      <w:r>
        <w:rPr>
          <w:rFonts w:ascii="Book Antiqua" w:hAnsi="Book Antiqua" w:cs="Arial"/>
          <w:i/>
        </w:rPr>
        <w:t>Assessment</w:t>
      </w:r>
    </w:p>
    <w:p w14:paraId="708B6579" w14:textId="7A766897" w:rsidR="008B4A2B" w:rsidRDefault="006335B9" w:rsidP="00C27DBC">
      <w:pPr>
        <w:numPr>
          <w:ilvl w:val="0"/>
          <w:numId w:val="1"/>
        </w:numPr>
        <w:tabs>
          <w:tab w:val="clear" w:pos="567"/>
        </w:tabs>
        <w:spacing w:before="240"/>
        <w:jc w:val="both"/>
        <w:rPr>
          <w:rFonts w:ascii="Book Antiqua" w:hAnsi="Book Antiqua" w:cs="Arial"/>
        </w:rPr>
      </w:pPr>
      <w:r w:rsidRPr="006335B9">
        <w:rPr>
          <w:rFonts w:ascii="Book Antiqua" w:hAnsi="Book Antiqua" w:cs="Arial"/>
        </w:rPr>
        <w:t>The Tribunal Procedure (First-tier Tribunal) (Immigration and Asylum Chamber) Rules 2014</w:t>
      </w:r>
      <w:r>
        <w:rPr>
          <w:rFonts w:ascii="Book Antiqua" w:hAnsi="Book Antiqua" w:cs="Arial"/>
        </w:rPr>
        <w:t xml:space="preserve"> (</w:t>
      </w:r>
      <w:r w:rsidR="003F72FC">
        <w:rPr>
          <w:rFonts w:ascii="Book Antiqua" w:hAnsi="Book Antiqua" w:cs="Arial"/>
        </w:rPr>
        <w:t>“</w:t>
      </w:r>
      <w:r>
        <w:rPr>
          <w:rFonts w:ascii="Book Antiqua" w:hAnsi="Book Antiqua" w:cs="Arial"/>
        </w:rPr>
        <w:t>the Procedure Rules</w:t>
      </w:r>
      <w:r w:rsidR="003F72FC">
        <w:rPr>
          <w:rFonts w:ascii="Book Antiqua" w:hAnsi="Book Antiqua" w:cs="Arial"/>
        </w:rPr>
        <w:t>”</w:t>
      </w:r>
      <w:r>
        <w:rPr>
          <w:rFonts w:ascii="Book Antiqua" w:hAnsi="Book Antiqua" w:cs="Arial"/>
        </w:rPr>
        <w:t>) provides as follows:</w:t>
      </w:r>
    </w:p>
    <w:p w14:paraId="5306C889" w14:textId="1E709730" w:rsidR="00662C90" w:rsidRPr="00357F6D" w:rsidRDefault="00357F6D" w:rsidP="00662C90">
      <w:pPr>
        <w:spacing w:before="240"/>
        <w:ind w:left="1134"/>
        <w:jc w:val="both"/>
        <w:rPr>
          <w:rFonts w:ascii="Book Antiqua" w:hAnsi="Book Antiqua" w:cs="Arial"/>
          <w:b/>
          <w:sz w:val="22"/>
          <w:szCs w:val="22"/>
        </w:rPr>
      </w:pPr>
      <w:r w:rsidRPr="00357F6D">
        <w:rPr>
          <w:rFonts w:ascii="Book Antiqua" w:hAnsi="Book Antiqua" w:cs="Arial"/>
          <w:b/>
          <w:sz w:val="22"/>
          <w:szCs w:val="22"/>
        </w:rPr>
        <w:t>“</w:t>
      </w:r>
      <w:r w:rsidR="00662C90" w:rsidRPr="00357F6D">
        <w:rPr>
          <w:rFonts w:ascii="Book Antiqua" w:hAnsi="Book Antiqua" w:cs="Arial"/>
          <w:b/>
          <w:sz w:val="22"/>
          <w:szCs w:val="22"/>
        </w:rPr>
        <w:t xml:space="preserve">Overriding objective and parties’ obligation to co-operate with the Tribunal </w:t>
      </w:r>
    </w:p>
    <w:p w14:paraId="23177224" w14:textId="77777777" w:rsidR="00CD461A"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2.—(1) The overriding objective of these Rules is to enable the Tribunal to deal with cases fairly and justly. </w:t>
      </w:r>
    </w:p>
    <w:p w14:paraId="1510C0EB" w14:textId="77777777" w:rsidR="00990870"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(2) Dealing with a case fairly and justly includes— </w:t>
      </w:r>
    </w:p>
    <w:p w14:paraId="43BBD006" w14:textId="77777777" w:rsidR="00990870"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(a) dealing with the case in ways which are proportionate to the importance of the case, the complexity of the issues, the anticipated costs and the resources of the parties and of the Tribunal; </w:t>
      </w:r>
    </w:p>
    <w:p w14:paraId="02AC294F" w14:textId="77777777" w:rsidR="00990870"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lastRenderedPageBreak/>
        <w:t xml:space="preserve">(b) avoiding unnecessary formality and seeking flexibility in the proceedings; </w:t>
      </w:r>
    </w:p>
    <w:p w14:paraId="6158499E" w14:textId="77777777" w:rsidR="00990870"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(c) ensuring, so far as practicable, that the parties are able to participate fully in the proceedings;</w:t>
      </w:r>
    </w:p>
    <w:p w14:paraId="64F9420D" w14:textId="77777777" w:rsidR="00990870"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(d) using any special expertise of the Tribunal effectively; and </w:t>
      </w:r>
    </w:p>
    <w:p w14:paraId="2BBC7065" w14:textId="77777777" w:rsidR="00400D78"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(e) avoiding delay, so far as compatible with proper consideration of the issues. </w:t>
      </w:r>
    </w:p>
    <w:p w14:paraId="1C8F262C" w14:textId="77777777" w:rsidR="00400D78"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(3) The Tribunal must seek to give effect to the overriding objective when it— </w:t>
      </w:r>
    </w:p>
    <w:p w14:paraId="480563E1" w14:textId="77777777" w:rsidR="00400D78"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(a) exercises any power under these Rules; or </w:t>
      </w:r>
    </w:p>
    <w:p w14:paraId="2A41B181" w14:textId="77777777" w:rsidR="00357F6D"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(b) interprets any rule or practice direction. </w:t>
      </w:r>
    </w:p>
    <w:p w14:paraId="78831ED8" w14:textId="77777777" w:rsidR="00357F6D"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(4) Parties must— </w:t>
      </w:r>
    </w:p>
    <w:p w14:paraId="0477AE9E" w14:textId="77777777" w:rsidR="00357F6D" w:rsidRPr="00357F6D" w:rsidRDefault="00662C90" w:rsidP="00662C90">
      <w:pPr>
        <w:spacing w:before="240"/>
        <w:ind w:left="1134"/>
        <w:jc w:val="both"/>
        <w:rPr>
          <w:rFonts w:ascii="Book Antiqua" w:hAnsi="Book Antiqua" w:cs="Arial"/>
          <w:sz w:val="22"/>
          <w:szCs w:val="22"/>
        </w:rPr>
      </w:pPr>
      <w:r w:rsidRPr="00357F6D">
        <w:rPr>
          <w:rFonts w:ascii="Book Antiqua" w:hAnsi="Book Antiqua" w:cs="Arial"/>
          <w:sz w:val="22"/>
          <w:szCs w:val="22"/>
        </w:rPr>
        <w:t xml:space="preserve">(a) help the Tribunal to further the overriding objective; and </w:t>
      </w:r>
    </w:p>
    <w:p w14:paraId="0E54C573" w14:textId="3C4778E5" w:rsidR="006335B9" w:rsidRDefault="00662C90" w:rsidP="00F43F1E">
      <w:pPr>
        <w:spacing w:before="240"/>
        <w:ind w:left="1134"/>
        <w:jc w:val="both"/>
        <w:rPr>
          <w:rFonts w:ascii="Book Antiqua" w:hAnsi="Book Antiqua" w:cs="Arial"/>
        </w:rPr>
      </w:pPr>
      <w:r w:rsidRPr="00357F6D">
        <w:rPr>
          <w:rFonts w:ascii="Book Antiqua" w:hAnsi="Book Antiqua" w:cs="Arial"/>
          <w:sz w:val="22"/>
          <w:szCs w:val="22"/>
        </w:rPr>
        <w:t>(b) co-operate with the Tribunal generally.</w:t>
      </w:r>
    </w:p>
    <w:p w14:paraId="49FF4DB6" w14:textId="23C8209D" w:rsidR="008B4A2B" w:rsidRDefault="00F43F1E" w:rsidP="00AD3D0C">
      <w:pPr>
        <w:numPr>
          <w:ilvl w:val="0"/>
          <w:numId w:val="1"/>
        </w:numPr>
        <w:tabs>
          <w:tab w:val="clear" w:pos="567"/>
        </w:tabs>
        <w:spacing w:before="240"/>
        <w:jc w:val="both"/>
        <w:rPr>
          <w:rFonts w:ascii="Book Antiqua" w:hAnsi="Book Antiqua" w:cs="Arial"/>
        </w:rPr>
      </w:pPr>
      <w:r w:rsidRPr="00D21A1B">
        <w:rPr>
          <w:rFonts w:ascii="Book Antiqua" w:hAnsi="Book Antiqua" w:cs="Arial"/>
        </w:rPr>
        <w:t>Rule 4</w:t>
      </w:r>
      <w:r w:rsidR="003519E0" w:rsidRPr="00D21A1B">
        <w:rPr>
          <w:rFonts w:ascii="Book Antiqua" w:hAnsi="Book Antiqua" w:cs="Arial"/>
        </w:rPr>
        <w:t>(</w:t>
      </w:r>
      <w:r w:rsidRPr="00D21A1B">
        <w:rPr>
          <w:rFonts w:ascii="Book Antiqua" w:hAnsi="Book Antiqua" w:cs="Arial"/>
        </w:rPr>
        <w:t>3</w:t>
      </w:r>
      <w:r w:rsidR="003519E0" w:rsidRPr="00D21A1B">
        <w:rPr>
          <w:rFonts w:ascii="Book Antiqua" w:hAnsi="Book Antiqua" w:cs="Arial"/>
        </w:rPr>
        <w:t>)(</w:t>
      </w:r>
      <w:r w:rsidRPr="00D21A1B">
        <w:rPr>
          <w:rFonts w:ascii="Book Antiqua" w:hAnsi="Book Antiqua" w:cs="Arial"/>
        </w:rPr>
        <w:t>h</w:t>
      </w:r>
      <w:r w:rsidR="003519E0" w:rsidRPr="00D21A1B">
        <w:rPr>
          <w:rFonts w:ascii="Book Antiqua" w:hAnsi="Book Antiqua" w:cs="Arial"/>
        </w:rPr>
        <w:t>)</w:t>
      </w:r>
      <w:r w:rsidR="00C62169" w:rsidRPr="00D21A1B">
        <w:rPr>
          <w:rFonts w:ascii="Book Antiqua" w:hAnsi="Book Antiqua" w:cs="Arial"/>
        </w:rPr>
        <w:t xml:space="preserve"> of the Procedure Rules</w:t>
      </w:r>
      <w:r w:rsidR="003519E0" w:rsidRPr="00D21A1B">
        <w:rPr>
          <w:rFonts w:ascii="Book Antiqua" w:hAnsi="Book Antiqua" w:cs="Arial"/>
        </w:rPr>
        <w:t xml:space="preserve"> provides the power to adjourn a hearing</w:t>
      </w:r>
      <w:r w:rsidR="00D21A1B">
        <w:rPr>
          <w:rFonts w:ascii="Book Antiqua" w:hAnsi="Book Antiqua" w:cs="Arial"/>
        </w:rPr>
        <w:t>.</w:t>
      </w:r>
    </w:p>
    <w:p w14:paraId="4F97F76F" w14:textId="00BCFBDE" w:rsidR="00D21A1B" w:rsidRDefault="00C87CEE" w:rsidP="00AD3D0C">
      <w:pPr>
        <w:numPr>
          <w:ilvl w:val="0"/>
          <w:numId w:val="1"/>
        </w:numPr>
        <w:tabs>
          <w:tab w:val="clear" w:pos="567"/>
        </w:tabs>
        <w:spacing w:before="240"/>
        <w:jc w:val="both"/>
        <w:rPr>
          <w:rFonts w:ascii="Book Antiqua" w:hAnsi="Book Antiqua" w:cs="Arial"/>
        </w:rPr>
      </w:pPr>
      <w:r>
        <w:rPr>
          <w:rFonts w:ascii="Book Antiqua" w:hAnsi="Book Antiqua" w:cs="Arial"/>
        </w:rPr>
        <w:t>In relation to holding a hearing in the absence of an appellant</w:t>
      </w:r>
      <w:r w:rsidR="004A7B2C">
        <w:rPr>
          <w:rFonts w:ascii="Book Antiqua" w:hAnsi="Book Antiqua" w:cs="Arial"/>
        </w:rPr>
        <w:t>, the Procedure Rules state as follows:</w:t>
      </w:r>
    </w:p>
    <w:p w14:paraId="4024B7AC" w14:textId="688BBD2B" w:rsidR="004A7B2C" w:rsidRPr="0073271F" w:rsidRDefault="0073271F" w:rsidP="004A7B2C">
      <w:pPr>
        <w:spacing w:before="240"/>
        <w:ind w:left="1134"/>
        <w:jc w:val="both"/>
        <w:rPr>
          <w:rFonts w:ascii="Book Antiqua" w:hAnsi="Book Antiqua" w:cs="Arial"/>
          <w:b/>
          <w:sz w:val="22"/>
          <w:szCs w:val="22"/>
        </w:rPr>
      </w:pPr>
      <w:r w:rsidRPr="0073271F">
        <w:rPr>
          <w:rFonts w:ascii="Book Antiqua" w:hAnsi="Book Antiqua" w:cs="Arial"/>
          <w:b/>
          <w:sz w:val="22"/>
          <w:szCs w:val="22"/>
        </w:rPr>
        <w:t>“</w:t>
      </w:r>
      <w:r w:rsidR="004A7B2C" w:rsidRPr="0073271F">
        <w:rPr>
          <w:rFonts w:ascii="Book Antiqua" w:hAnsi="Book Antiqua" w:cs="Arial"/>
          <w:b/>
          <w:sz w:val="22"/>
          <w:szCs w:val="22"/>
        </w:rPr>
        <w:t xml:space="preserve">Hearing in a party’s absence </w:t>
      </w:r>
    </w:p>
    <w:p w14:paraId="3F149E27" w14:textId="77777777" w:rsidR="008A03DD" w:rsidRPr="0073271F" w:rsidRDefault="004A7B2C" w:rsidP="004A7B2C">
      <w:pPr>
        <w:spacing w:before="240"/>
        <w:ind w:left="1134"/>
        <w:jc w:val="both"/>
        <w:rPr>
          <w:rFonts w:ascii="Book Antiqua" w:hAnsi="Book Antiqua" w:cs="Arial"/>
          <w:sz w:val="22"/>
          <w:szCs w:val="22"/>
        </w:rPr>
      </w:pPr>
      <w:r w:rsidRPr="0073271F">
        <w:rPr>
          <w:rFonts w:ascii="Book Antiqua" w:hAnsi="Book Antiqua" w:cs="Arial"/>
          <w:sz w:val="22"/>
          <w:szCs w:val="22"/>
        </w:rPr>
        <w:t xml:space="preserve">28. If a party fails to attend a hearing the Tribunal may proceed with the hearing if the Tribunal— </w:t>
      </w:r>
    </w:p>
    <w:p w14:paraId="32912AB1" w14:textId="406E41DD" w:rsidR="004A7B2C" w:rsidRPr="0073271F" w:rsidRDefault="004A7B2C" w:rsidP="0073271F">
      <w:pPr>
        <w:spacing w:before="240"/>
        <w:ind w:left="1134"/>
        <w:jc w:val="both"/>
        <w:rPr>
          <w:rFonts w:ascii="Book Antiqua" w:hAnsi="Book Antiqua" w:cs="Arial"/>
          <w:sz w:val="22"/>
          <w:szCs w:val="22"/>
        </w:rPr>
      </w:pPr>
      <w:r w:rsidRPr="0073271F">
        <w:rPr>
          <w:rFonts w:ascii="Book Antiqua" w:hAnsi="Book Antiqua" w:cs="Arial"/>
          <w:sz w:val="22"/>
          <w:szCs w:val="22"/>
        </w:rPr>
        <w:t xml:space="preserve">(a) is satisfied that the party has been notified of the hearing or that reasonable steps have been taken to notify the party of the hearing; and </w:t>
      </w:r>
    </w:p>
    <w:p w14:paraId="6D171D02" w14:textId="1971A95C" w:rsidR="004A7B2C" w:rsidRPr="0073271F" w:rsidRDefault="004A7B2C" w:rsidP="004A7B2C">
      <w:pPr>
        <w:spacing w:before="240"/>
        <w:ind w:left="1134"/>
        <w:jc w:val="both"/>
        <w:rPr>
          <w:rFonts w:ascii="Book Antiqua" w:hAnsi="Book Antiqua" w:cs="Arial"/>
          <w:sz w:val="22"/>
          <w:szCs w:val="22"/>
        </w:rPr>
      </w:pPr>
      <w:r w:rsidRPr="0073271F">
        <w:rPr>
          <w:rFonts w:ascii="Book Antiqua" w:hAnsi="Book Antiqua" w:cs="Arial"/>
          <w:sz w:val="22"/>
          <w:szCs w:val="22"/>
        </w:rPr>
        <w:t>(b) considers that it is in the interests of justice to proceed with the hearing.</w:t>
      </w:r>
      <w:r w:rsidR="0073271F" w:rsidRPr="0073271F">
        <w:rPr>
          <w:rFonts w:ascii="Book Antiqua" w:hAnsi="Book Antiqua" w:cs="Arial"/>
          <w:sz w:val="22"/>
          <w:szCs w:val="22"/>
        </w:rPr>
        <w:t>”</w:t>
      </w:r>
    </w:p>
    <w:p w14:paraId="628F94E9" w14:textId="22F96ADB" w:rsidR="004A7B2C" w:rsidRPr="00BE0C96" w:rsidRDefault="00331318" w:rsidP="00AD3D0C">
      <w:pPr>
        <w:numPr>
          <w:ilvl w:val="0"/>
          <w:numId w:val="1"/>
        </w:numPr>
        <w:tabs>
          <w:tab w:val="clear" w:pos="567"/>
        </w:tabs>
        <w:spacing w:before="240"/>
        <w:jc w:val="both"/>
        <w:rPr>
          <w:rFonts w:ascii="Book Antiqua" w:hAnsi="Book Antiqua" w:cs="Arial"/>
        </w:rPr>
      </w:pPr>
      <w:r w:rsidRPr="00BE0C96">
        <w:rPr>
          <w:rFonts w:ascii="Book Antiqua" w:hAnsi="Book Antiqua" w:cs="Arial"/>
        </w:rPr>
        <w:t xml:space="preserve">In </w:t>
      </w:r>
      <w:r w:rsidR="00E41509" w:rsidRPr="00BE0C96">
        <w:rPr>
          <w:rFonts w:ascii="Book Antiqua" w:hAnsi="Book Antiqua" w:cs="Arial"/>
          <w:i/>
        </w:rPr>
        <w:t xml:space="preserve">SH (Afghanistan) v Secretary of State for the Home Department </w:t>
      </w:r>
      <w:r w:rsidR="00516FE6" w:rsidRPr="00BE0C96">
        <w:rPr>
          <w:rFonts w:ascii="Book Antiqua" w:hAnsi="Book Antiqua"/>
          <w:bCs/>
        </w:rPr>
        <w:t xml:space="preserve">[2011] EWCA Civ 1284 it was said that the </w:t>
      </w:r>
      <w:r w:rsidR="008A60CC" w:rsidRPr="00BE0C96">
        <w:rPr>
          <w:rFonts w:ascii="Book Antiqua" w:hAnsi="Book Antiqua"/>
          <w:bCs/>
        </w:rPr>
        <w:t>sole test in considering whether to grant an adjournment was fairness.</w:t>
      </w:r>
      <w:r w:rsidR="002B150D" w:rsidRPr="00BE0C96">
        <w:rPr>
          <w:rFonts w:ascii="Book Antiqua" w:hAnsi="Book Antiqua"/>
          <w:bCs/>
        </w:rPr>
        <w:t xml:space="preserve"> </w:t>
      </w:r>
      <w:r w:rsidR="007D380A" w:rsidRPr="00BE0C96">
        <w:rPr>
          <w:rFonts w:ascii="Book Antiqua" w:hAnsi="Book Antiqua" w:cs="Arial"/>
          <w:i/>
          <w:color w:val="000000"/>
        </w:rPr>
        <w:t xml:space="preserve">Nwaigwe </w:t>
      </w:r>
      <w:r w:rsidR="007D380A" w:rsidRPr="00BE0C96">
        <w:rPr>
          <w:rFonts w:ascii="Book Antiqua" w:hAnsi="Book Antiqua" w:cs="Arial"/>
          <w:color w:val="000000"/>
        </w:rPr>
        <w:t>in the Upper Tribunal is to the same effect.</w:t>
      </w:r>
    </w:p>
    <w:p w14:paraId="1A2E3B82" w14:textId="384F3423" w:rsidR="003D212F" w:rsidRDefault="001D3B0A" w:rsidP="00AD3D0C">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the FtJ’s decision, </w:t>
      </w:r>
      <w:r w:rsidR="00A40283">
        <w:rPr>
          <w:rFonts w:ascii="Book Antiqua" w:hAnsi="Book Antiqua" w:cs="Arial"/>
        </w:rPr>
        <w:t xml:space="preserve">although I consider that it would have been preferable for </w:t>
      </w:r>
      <w:r w:rsidR="002A4355">
        <w:rPr>
          <w:rFonts w:ascii="Book Antiqua" w:hAnsi="Book Antiqua" w:cs="Arial"/>
        </w:rPr>
        <w:t xml:space="preserve">him to have </w:t>
      </w:r>
      <w:r w:rsidR="009C405B">
        <w:rPr>
          <w:rFonts w:ascii="Book Antiqua" w:hAnsi="Book Antiqua" w:cs="Arial"/>
        </w:rPr>
        <w:t>referred to the Procedure Rules</w:t>
      </w:r>
      <w:r w:rsidR="00BE0C96">
        <w:rPr>
          <w:rFonts w:ascii="Book Antiqua" w:hAnsi="Book Antiqua" w:cs="Arial"/>
        </w:rPr>
        <w:t>, even</w:t>
      </w:r>
      <w:r w:rsidR="009C405B">
        <w:rPr>
          <w:rFonts w:ascii="Book Antiqua" w:hAnsi="Book Antiqua" w:cs="Arial"/>
        </w:rPr>
        <w:t xml:space="preserve"> if not to any relevant authority, </w:t>
      </w:r>
      <w:r>
        <w:rPr>
          <w:rFonts w:ascii="Book Antiqua" w:hAnsi="Book Antiqua" w:cs="Arial"/>
        </w:rPr>
        <w:t xml:space="preserve">I reject the contention that his decision to refuse an adjournment </w:t>
      </w:r>
      <w:r w:rsidR="00FB00B3">
        <w:rPr>
          <w:rFonts w:ascii="Book Antiqua" w:hAnsi="Book Antiqua" w:cs="Arial"/>
        </w:rPr>
        <w:t xml:space="preserve">was not based on the test of what fairness required. </w:t>
      </w:r>
      <w:r w:rsidR="00B656DA">
        <w:rPr>
          <w:rFonts w:ascii="Book Antiqua" w:hAnsi="Book Antiqua" w:cs="Arial"/>
        </w:rPr>
        <w:t>N</w:t>
      </w:r>
      <w:r w:rsidR="00FB00B3">
        <w:rPr>
          <w:rFonts w:ascii="Book Antiqua" w:hAnsi="Book Antiqua" w:cs="Arial"/>
        </w:rPr>
        <w:t>aturally</w:t>
      </w:r>
      <w:r w:rsidR="00B656DA">
        <w:rPr>
          <w:rFonts w:ascii="Book Antiqua" w:hAnsi="Book Antiqua" w:cs="Arial"/>
        </w:rPr>
        <w:t xml:space="preserve">, what is fair depends </w:t>
      </w:r>
      <w:r w:rsidR="001220C3">
        <w:rPr>
          <w:rFonts w:ascii="Book Antiqua" w:hAnsi="Book Antiqua" w:cs="Arial"/>
        </w:rPr>
        <w:t>on</w:t>
      </w:r>
      <w:r w:rsidR="00B656DA">
        <w:rPr>
          <w:rFonts w:ascii="Book Antiqua" w:hAnsi="Book Antiqua" w:cs="Arial"/>
        </w:rPr>
        <w:t xml:space="preserve"> all the circumstances and it was not immaterial for the FtJ to consider the extent to which the appellant through his representatives had cooperated in the Tribunal’s</w:t>
      </w:r>
      <w:r w:rsidR="003D06DF">
        <w:rPr>
          <w:rFonts w:ascii="Book Antiqua" w:hAnsi="Book Antiqua" w:cs="Arial"/>
        </w:rPr>
        <w:t xml:space="preserve"> determination</w:t>
      </w:r>
      <w:r w:rsidR="00504A56">
        <w:rPr>
          <w:rFonts w:ascii="Book Antiqua" w:hAnsi="Book Antiqua" w:cs="Arial"/>
        </w:rPr>
        <w:t xml:space="preserve"> of his appeal. </w:t>
      </w:r>
      <w:r w:rsidR="00C44C85">
        <w:rPr>
          <w:rFonts w:ascii="Book Antiqua" w:hAnsi="Book Antiqua" w:cs="Arial"/>
        </w:rPr>
        <w:t>It is notable that not only was there no evidence provided by the appellant in documentary form</w:t>
      </w:r>
      <w:r w:rsidR="003D212F">
        <w:rPr>
          <w:rFonts w:ascii="Book Antiqua" w:hAnsi="Book Antiqua" w:cs="Arial"/>
        </w:rPr>
        <w:t>, as set out by the FtJ, but he did not attend the hearing and provided no explanation for not having done so.</w:t>
      </w:r>
    </w:p>
    <w:p w14:paraId="74695697" w14:textId="77777777" w:rsidR="00835494" w:rsidRDefault="003D212F" w:rsidP="004476D2">
      <w:pPr>
        <w:numPr>
          <w:ilvl w:val="0"/>
          <w:numId w:val="1"/>
        </w:numPr>
        <w:tabs>
          <w:tab w:val="clear" w:pos="567"/>
        </w:tabs>
        <w:spacing w:before="240"/>
        <w:jc w:val="both"/>
        <w:rPr>
          <w:rFonts w:ascii="Book Antiqua" w:hAnsi="Book Antiqua" w:cs="Arial"/>
        </w:rPr>
      </w:pPr>
      <w:r>
        <w:rPr>
          <w:rFonts w:ascii="Book Antiqua" w:hAnsi="Book Antiqua" w:cs="Arial"/>
        </w:rPr>
        <w:t>I</w:t>
      </w:r>
      <w:r w:rsidR="001220C3">
        <w:rPr>
          <w:rFonts w:ascii="Book Antiqua" w:hAnsi="Book Antiqua" w:cs="Arial"/>
        </w:rPr>
        <w:t xml:space="preserve">n concrete terms one can clearly see that the FtJ’s focus was on the principal of fairness. </w:t>
      </w:r>
      <w:r w:rsidR="00E56037">
        <w:rPr>
          <w:rFonts w:ascii="Book Antiqua" w:hAnsi="Book Antiqua" w:cs="Arial"/>
        </w:rPr>
        <w:t xml:space="preserve">At [55] he </w:t>
      </w:r>
      <w:r w:rsidR="00BE5CAE">
        <w:rPr>
          <w:rFonts w:ascii="Book Antiqua" w:hAnsi="Book Antiqua" w:cs="Arial"/>
        </w:rPr>
        <w:t xml:space="preserve">said that the </w:t>
      </w:r>
      <w:r w:rsidR="00401D0E">
        <w:rPr>
          <w:rFonts w:ascii="Book Antiqua" w:hAnsi="Book Antiqua" w:cs="Arial"/>
        </w:rPr>
        <w:t xml:space="preserve">adjournment request on the basis of the missing </w:t>
      </w:r>
      <w:r w:rsidR="00401D0E">
        <w:rPr>
          <w:rFonts w:ascii="Book Antiqua" w:hAnsi="Book Antiqua" w:cs="Arial"/>
        </w:rPr>
        <w:lastRenderedPageBreak/>
        <w:t xml:space="preserve">documents was “inherently unmeritorious” </w:t>
      </w:r>
      <w:r w:rsidR="009B7D32">
        <w:rPr>
          <w:rFonts w:ascii="Book Antiqua" w:hAnsi="Book Antiqua" w:cs="Arial"/>
        </w:rPr>
        <w:t>and that the absence of those documents did not remotely justify the</w:t>
      </w:r>
      <w:r w:rsidR="00CA5ABA">
        <w:rPr>
          <w:rFonts w:ascii="Book Antiqua" w:hAnsi="Book Antiqua" w:cs="Arial"/>
        </w:rPr>
        <w:t xml:space="preserve"> total</w:t>
      </w:r>
      <w:r w:rsidR="009B7D32">
        <w:rPr>
          <w:rFonts w:ascii="Book Antiqua" w:hAnsi="Book Antiqua" w:cs="Arial"/>
        </w:rPr>
        <w:t xml:space="preserve"> failure of the </w:t>
      </w:r>
      <w:r w:rsidR="00CA5ABA">
        <w:rPr>
          <w:rFonts w:ascii="Book Antiqua" w:hAnsi="Book Antiqua" w:cs="Arial"/>
        </w:rPr>
        <w:t>appellant to file evidence in support of his article 8 claim, including a witness statement from himself.</w:t>
      </w:r>
      <w:r w:rsidR="00982067">
        <w:rPr>
          <w:rFonts w:ascii="Book Antiqua" w:hAnsi="Book Antiqua" w:cs="Arial"/>
        </w:rPr>
        <w:t xml:space="preserve"> At [58] he said that the</w:t>
      </w:r>
      <w:r w:rsidR="00416667">
        <w:rPr>
          <w:rFonts w:ascii="Book Antiqua" w:hAnsi="Book Antiqua" w:cs="Arial"/>
        </w:rPr>
        <w:t xml:space="preserve"> production of the</w:t>
      </w:r>
      <w:r w:rsidR="00982067">
        <w:rPr>
          <w:rFonts w:ascii="Book Antiqua" w:hAnsi="Book Antiqua" w:cs="Arial"/>
        </w:rPr>
        <w:t xml:space="preserve"> determination in his father’s appeal </w:t>
      </w:r>
      <w:r w:rsidR="00416667">
        <w:rPr>
          <w:rFonts w:ascii="Book Antiqua" w:hAnsi="Book Antiqua" w:cs="Arial"/>
        </w:rPr>
        <w:t>was “completely unnecessary for a fair disposal” of the appeal</w:t>
      </w:r>
      <w:r w:rsidR="004476D2">
        <w:rPr>
          <w:rFonts w:ascii="Book Antiqua" w:hAnsi="Book Antiqua" w:cs="Arial"/>
        </w:rPr>
        <w:t xml:space="preserve">, for the reasons he explained. </w:t>
      </w:r>
    </w:p>
    <w:p w14:paraId="5A00FD68" w14:textId="084B15E2" w:rsidR="004A7B2C" w:rsidRDefault="004476D2" w:rsidP="004476D2">
      <w:pPr>
        <w:numPr>
          <w:ilvl w:val="0"/>
          <w:numId w:val="1"/>
        </w:numPr>
        <w:tabs>
          <w:tab w:val="clear" w:pos="567"/>
        </w:tabs>
        <w:spacing w:before="240"/>
        <w:jc w:val="both"/>
        <w:rPr>
          <w:rFonts w:ascii="Book Antiqua" w:hAnsi="Book Antiqua" w:cs="Arial"/>
        </w:rPr>
      </w:pPr>
      <w:r>
        <w:rPr>
          <w:rFonts w:ascii="Book Antiqua" w:hAnsi="Book Antiqua" w:cs="Arial"/>
        </w:rPr>
        <w:t xml:space="preserve">At [59] he said that he informed the parties that </w:t>
      </w:r>
      <w:r w:rsidR="003C4A3A">
        <w:rPr>
          <w:rFonts w:ascii="Book Antiqua" w:hAnsi="Book Antiqua" w:cs="Arial"/>
        </w:rPr>
        <w:t>it was “in the interests of justice” to proceed on the basis of the available evidence.</w:t>
      </w:r>
      <w:r w:rsidR="00835494">
        <w:rPr>
          <w:rFonts w:ascii="Book Antiqua" w:hAnsi="Book Antiqua" w:cs="Arial"/>
        </w:rPr>
        <w:t xml:space="preserve"> He gave sound reasons for concluding that the evidence of the appellant’s recent convictions should be admitted</w:t>
      </w:r>
      <w:r w:rsidR="00256C17">
        <w:rPr>
          <w:rFonts w:ascii="Book Antiqua" w:hAnsi="Book Antiqua" w:cs="Arial"/>
        </w:rPr>
        <w:t xml:space="preserve"> but excluded other evidence </w:t>
      </w:r>
      <w:r w:rsidR="00E63FE6">
        <w:rPr>
          <w:rFonts w:ascii="Book Antiqua" w:hAnsi="Book Antiqua" w:cs="Arial"/>
        </w:rPr>
        <w:t>that the respondent sought to adduce because, in part, the appellant had not had a reasonable opportunity to address that evidence.</w:t>
      </w:r>
    </w:p>
    <w:p w14:paraId="43933E1E" w14:textId="5719F7DF" w:rsidR="00343DF8" w:rsidRDefault="00343DF8" w:rsidP="004476D2">
      <w:pPr>
        <w:numPr>
          <w:ilvl w:val="0"/>
          <w:numId w:val="1"/>
        </w:numPr>
        <w:tabs>
          <w:tab w:val="clear" w:pos="567"/>
        </w:tabs>
        <w:spacing w:before="240"/>
        <w:jc w:val="both"/>
        <w:rPr>
          <w:rFonts w:ascii="Book Antiqua" w:hAnsi="Book Antiqua" w:cs="Arial"/>
        </w:rPr>
      </w:pPr>
      <w:r>
        <w:rPr>
          <w:rFonts w:ascii="Book Antiqua" w:hAnsi="Book Antiqua" w:cs="Arial"/>
        </w:rPr>
        <w:t xml:space="preserve">The FtJ granted a short adjournment to allow time for further </w:t>
      </w:r>
      <w:r w:rsidR="00FC1DE7">
        <w:rPr>
          <w:rFonts w:ascii="Book Antiqua" w:hAnsi="Book Antiqua" w:cs="Arial"/>
        </w:rPr>
        <w:t>preparation on behalf of the appellant in the light of</w:t>
      </w:r>
      <w:r w:rsidR="003D06DF">
        <w:rPr>
          <w:rFonts w:ascii="Book Antiqua" w:hAnsi="Book Antiqua" w:cs="Arial"/>
        </w:rPr>
        <w:t xml:space="preserve"> what was said to </w:t>
      </w:r>
      <w:r w:rsidR="00B46942">
        <w:rPr>
          <w:rFonts w:ascii="Book Antiqua" w:hAnsi="Book Antiqua" w:cs="Arial"/>
        </w:rPr>
        <w:t>be</w:t>
      </w:r>
      <w:r w:rsidR="00FC1DE7">
        <w:rPr>
          <w:rFonts w:ascii="Book Antiqua" w:hAnsi="Book Antiqua" w:cs="Arial"/>
        </w:rPr>
        <w:t xml:space="preserve"> the respondent’s altered position in r</w:t>
      </w:r>
      <w:r w:rsidR="00A41D1B">
        <w:rPr>
          <w:rFonts w:ascii="Book Antiqua" w:hAnsi="Book Antiqua" w:cs="Arial"/>
        </w:rPr>
        <w:t>elation to the cessation of refugee status</w:t>
      </w:r>
      <w:r w:rsidR="00B46942">
        <w:rPr>
          <w:rFonts w:ascii="Book Antiqua" w:hAnsi="Book Antiqua" w:cs="Arial"/>
        </w:rPr>
        <w:t>,</w:t>
      </w:r>
      <w:r w:rsidR="00A41D1B">
        <w:rPr>
          <w:rFonts w:ascii="Book Antiqua" w:hAnsi="Book Antiqua" w:cs="Arial"/>
        </w:rPr>
        <w:t xml:space="preserve"> and for the appellant to be contacted.</w:t>
      </w:r>
      <w:r w:rsidR="00C360B2">
        <w:rPr>
          <w:rFonts w:ascii="Book Antiqua" w:hAnsi="Book Antiqua" w:cs="Arial"/>
        </w:rPr>
        <w:t xml:space="preserve"> It is not apparent what submissions the appellant’s representative would have wanted to make in relation to the cessation point that he was prevented from making because </w:t>
      </w:r>
      <w:r w:rsidR="007D1B89">
        <w:rPr>
          <w:rFonts w:ascii="Book Antiqua" w:hAnsi="Book Antiqua" w:cs="Arial"/>
        </w:rPr>
        <w:t xml:space="preserve">the hearing was not adjourned. </w:t>
      </w:r>
    </w:p>
    <w:p w14:paraId="72190D9A" w14:textId="0FD7F8FD" w:rsidR="00443098" w:rsidRPr="004476D2" w:rsidRDefault="00A40283" w:rsidP="004476D2">
      <w:pPr>
        <w:numPr>
          <w:ilvl w:val="0"/>
          <w:numId w:val="1"/>
        </w:numPr>
        <w:tabs>
          <w:tab w:val="clear" w:pos="567"/>
        </w:tabs>
        <w:spacing w:before="240"/>
        <w:jc w:val="both"/>
        <w:rPr>
          <w:rFonts w:ascii="Book Antiqua" w:hAnsi="Book Antiqua" w:cs="Arial"/>
        </w:rPr>
      </w:pPr>
      <w:r>
        <w:rPr>
          <w:rFonts w:ascii="Book Antiqua" w:hAnsi="Book Antiqua" w:cs="Arial"/>
        </w:rPr>
        <w:t>The</w:t>
      </w:r>
      <w:r w:rsidR="007D1B89">
        <w:rPr>
          <w:rFonts w:ascii="Book Antiqua" w:hAnsi="Book Antiqua" w:cs="Arial"/>
        </w:rPr>
        <w:t xml:space="preserve"> decision to proceed in the absence of the appellant was </w:t>
      </w:r>
      <w:r w:rsidR="009E757F">
        <w:rPr>
          <w:rFonts w:ascii="Book Antiqua" w:hAnsi="Book Antiqua" w:cs="Arial"/>
        </w:rPr>
        <w:t>entirely fair and in accord</w:t>
      </w:r>
      <w:r w:rsidR="00994B1D">
        <w:rPr>
          <w:rFonts w:ascii="Book Antiqua" w:hAnsi="Book Antiqua" w:cs="Arial"/>
        </w:rPr>
        <w:t>ance</w:t>
      </w:r>
      <w:r w:rsidR="009E757F">
        <w:rPr>
          <w:rFonts w:ascii="Book Antiqua" w:hAnsi="Book Antiqua" w:cs="Arial"/>
        </w:rPr>
        <w:t xml:space="preserve"> with rule 28 of the Procedure Rules. Even </w:t>
      </w:r>
      <w:r w:rsidR="00DE7D4E">
        <w:rPr>
          <w:rFonts w:ascii="Book Antiqua" w:hAnsi="Book Antiqua" w:cs="Arial"/>
        </w:rPr>
        <w:t>now no explanation has been put forward as to why the appellant did not attend the hearing</w:t>
      </w:r>
      <w:r w:rsidR="00AE370B">
        <w:rPr>
          <w:rFonts w:ascii="Book Antiqua" w:hAnsi="Book Antiqua" w:cs="Arial"/>
        </w:rPr>
        <w:t>.</w:t>
      </w:r>
      <w:r w:rsidR="009C405B">
        <w:rPr>
          <w:rFonts w:ascii="Book Antiqua" w:hAnsi="Book Antiqua" w:cs="Arial"/>
        </w:rPr>
        <w:t xml:space="preserve"> </w:t>
      </w:r>
      <w:r>
        <w:rPr>
          <w:rFonts w:ascii="Book Antiqua" w:hAnsi="Book Antiqua" w:cs="Arial"/>
        </w:rPr>
        <w:t xml:space="preserve"> </w:t>
      </w:r>
    </w:p>
    <w:p w14:paraId="0A5F97CD" w14:textId="77777777" w:rsidR="000D48BA" w:rsidRDefault="00C36376" w:rsidP="00AD3D0C">
      <w:pPr>
        <w:numPr>
          <w:ilvl w:val="0"/>
          <w:numId w:val="1"/>
        </w:numPr>
        <w:tabs>
          <w:tab w:val="clear" w:pos="567"/>
        </w:tabs>
        <w:spacing w:before="240"/>
        <w:jc w:val="both"/>
        <w:rPr>
          <w:rFonts w:ascii="Book Antiqua" w:hAnsi="Book Antiqua" w:cs="Arial"/>
        </w:rPr>
      </w:pPr>
      <w:r>
        <w:rPr>
          <w:rFonts w:ascii="Book Antiqua" w:hAnsi="Book Antiqua" w:cs="Arial"/>
        </w:rPr>
        <w:t xml:space="preserve">As to the </w:t>
      </w:r>
      <w:r>
        <w:rPr>
          <w:rFonts w:ascii="Book Antiqua" w:hAnsi="Book Antiqua" w:cs="Arial"/>
          <w:i/>
        </w:rPr>
        <w:t>Mosira</w:t>
      </w:r>
      <w:r>
        <w:rPr>
          <w:rFonts w:ascii="Book Antiqua" w:hAnsi="Book Antiqua" w:cs="Arial"/>
        </w:rPr>
        <w:t xml:space="preserve"> point, I do not in fact accept that the respondent’s decision letter </w:t>
      </w:r>
      <w:r w:rsidR="00C80C22">
        <w:rPr>
          <w:rFonts w:ascii="Book Antiqua" w:hAnsi="Book Antiqua" w:cs="Arial"/>
        </w:rPr>
        <w:t>bases cessation</w:t>
      </w:r>
      <w:r w:rsidR="00BF0DB8">
        <w:rPr>
          <w:rFonts w:ascii="Book Antiqua" w:hAnsi="Book Antiqua" w:cs="Arial"/>
        </w:rPr>
        <w:t xml:space="preserve"> on changes of a </w:t>
      </w:r>
      <w:r w:rsidR="00834D76">
        <w:rPr>
          <w:rFonts w:ascii="Book Antiqua" w:hAnsi="Book Antiqua" w:cs="Arial"/>
        </w:rPr>
        <w:t xml:space="preserve">fundamental and </w:t>
      </w:r>
      <w:r w:rsidR="00BF0DB8">
        <w:rPr>
          <w:rFonts w:ascii="Book Antiqua" w:hAnsi="Book Antiqua" w:cs="Arial"/>
        </w:rPr>
        <w:t xml:space="preserve">durable nature in </w:t>
      </w:r>
      <w:r w:rsidR="00834D76">
        <w:rPr>
          <w:rFonts w:ascii="Book Antiqua" w:hAnsi="Book Antiqua" w:cs="Arial"/>
        </w:rPr>
        <w:t>Iran.</w:t>
      </w:r>
      <w:r w:rsidR="00BD635C">
        <w:rPr>
          <w:rFonts w:ascii="Book Antiqua" w:hAnsi="Book Antiqua" w:cs="Arial"/>
        </w:rPr>
        <w:t xml:space="preserve"> </w:t>
      </w:r>
      <w:r w:rsidR="000D48BA">
        <w:rPr>
          <w:rFonts w:ascii="Book Antiqua" w:hAnsi="Book Antiqua" w:cs="Arial"/>
        </w:rPr>
        <w:t>At para 17 of the letter it states as follows:</w:t>
      </w:r>
    </w:p>
    <w:p w14:paraId="3C8F714D" w14:textId="23364C74" w:rsidR="000D48BA" w:rsidRPr="00A971F5" w:rsidRDefault="000D48BA" w:rsidP="000D48BA">
      <w:pPr>
        <w:spacing w:before="240"/>
        <w:ind w:left="1134"/>
        <w:jc w:val="both"/>
        <w:rPr>
          <w:rFonts w:ascii="Book Antiqua" w:hAnsi="Book Antiqua" w:cs="Arial"/>
          <w:sz w:val="22"/>
          <w:szCs w:val="22"/>
        </w:rPr>
      </w:pPr>
      <w:r w:rsidRPr="00A971F5">
        <w:rPr>
          <w:rFonts w:ascii="Book Antiqua" w:hAnsi="Book Antiqua" w:cs="Arial"/>
          <w:sz w:val="22"/>
          <w:szCs w:val="22"/>
        </w:rPr>
        <w:t>“</w:t>
      </w:r>
      <w:r w:rsidR="00896580" w:rsidRPr="00A971F5">
        <w:rPr>
          <w:rFonts w:ascii="Book Antiqua" w:hAnsi="Book Antiqua" w:cs="Arial"/>
          <w:sz w:val="22"/>
          <w:szCs w:val="22"/>
        </w:rPr>
        <w:t>You were granted family reunion as a dependent child under 18</w:t>
      </w:r>
      <w:r w:rsidR="007D2889" w:rsidRPr="00A971F5">
        <w:rPr>
          <w:rFonts w:ascii="Book Antiqua" w:hAnsi="Book Antiqua" w:cs="Arial"/>
          <w:sz w:val="22"/>
          <w:szCs w:val="22"/>
        </w:rPr>
        <w:t xml:space="preserve"> you are now 28 years old and an adult. This is considered to be a significant</w:t>
      </w:r>
      <w:r w:rsidR="00781EB1" w:rsidRPr="00A971F5">
        <w:rPr>
          <w:rFonts w:ascii="Book Antiqua" w:hAnsi="Book Antiqua" w:cs="Arial"/>
          <w:sz w:val="22"/>
          <w:szCs w:val="22"/>
        </w:rPr>
        <w:t xml:space="preserve"> and durable change in your circumstances </w:t>
      </w:r>
      <w:r w:rsidR="00A71494" w:rsidRPr="00A971F5">
        <w:rPr>
          <w:rFonts w:ascii="Book Antiqua" w:hAnsi="Book Antiqua" w:cs="Arial"/>
          <w:sz w:val="22"/>
          <w:szCs w:val="22"/>
        </w:rPr>
        <w:t xml:space="preserve">as you are now considered to be of an age when you </w:t>
      </w:r>
      <w:r w:rsidR="00932278" w:rsidRPr="00A971F5">
        <w:rPr>
          <w:rFonts w:ascii="Book Antiqua" w:hAnsi="Book Antiqua" w:cs="Arial"/>
          <w:sz w:val="22"/>
          <w:szCs w:val="22"/>
        </w:rPr>
        <w:t>can live an independent life.”</w:t>
      </w:r>
    </w:p>
    <w:p w14:paraId="1ACE0094" w14:textId="006FE96D" w:rsidR="000D48BA" w:rsidRDefault="002C5ED9" w:rsidP="00AD3D0C">
      <w:pPr>
        <w:numPr>
          <w:ilvl w:val="0"/>
          <w:numId w:val="1"/>
        </w:numPr>
        <w:tabs>
          <w:tab w:val="clear" w:pos="567"/>
        </w:tabs>
        <w:spacing w:before="240"/>
        <w:jc w:val="both"/>
        <w:rPr>
          <w:rFonts w:ascii="Book Antiqua" w:hAnsi="Book Antiqua" w:cs="Arial"/>
        </w:rPr>
      </w:pPr>
      <w:r>
        <w:rPr>
          <w:rFonts w:ascii="Book Antiqua" w:hAnsi="Book Antiqua" w:cs="Arial"/>
        </w:rPr>
        <w:t>At para 20 it refers to his not having</w:t>
      </w:r>
      <w:r w:rsidR="0042112B">
        <w:rPr>
          <w:rFonts w:ascii="Book Antiqua" w:hAnsi="Book Antiqua" w:cs="Arial"/>
        </w:rPr>
        <w:t xml:space="preserve"> been of adverse interest to the authorities </w:t>
      </w:r>
      <w:r w:rsidR="00D10E92">
        <w:rPr>
          <w:rFonts w:ascii="Book Antiqua" w:hAnsi="Book Antiqua" w:cs="Arial"/>
        </w:rPr>
        <w:t xml:space="preserve">prior to his leaving </w:t>
      </w:r>
      <w:r w:rsidR="002E5E53">
        <w:rPr>
          <w:rFonts w:ascii="Book Antiqua" w:hAnsi="Book Antiqua" w:cs="Arial"/>
        </w:rPr>
        <w:t>Iran and</w:t>
      </w:r>
      <w:r w:rsidR="008F23C7">
        <w:rPr>
          <w:rFonts w:ascii="Book Antiqua" w:hAnsi="Book Antiqua" w:cs="Arial"/>
        </w:rPr>
        <w:t xml:space="preserve"> had not been involved in political activities in the UK which would result in </w:t>
      </w:r>
      <w:r w:rsidR="003758CD">
        <w:rPr>
          <w:rFonts w:ascii="Book Antiqua" w:hAnsi="Book Antiqua" w:cs="Arial"/>
        </w:rPr>
        <w:t xml:space="preserve">his having an adverse political profile in Iran. </w:t>
      </w:r>
    </w:p>
    <w:p w14:paraId="24F1BBBB" w14:textId="17F09526" w:rsidR="00891277" w:rsidRDefault="00136BDA" w:rsidP="00AD3D0C">
      <w:pPr>
        <w:numPr>
          <w:ilvl w:val="0"/>
          <w:numId w:val="1"/>
        </w:numPr>
        <w:tabs>
          <w:tab w:val="clear" w:pos="567"/>
        </w:tabs>
        <w:spacing w:before="240"/>
        <w:jc w:val="both"/>
        <w:rPr>
          <w:rFonts w:ascii="Book Antiqua" w:hAnsi="Book Antiqua" w:cs="Arial"/>
        </w:rPr>
      </w:pPr>
      <w:r>
        <w:rPr>
          <w:rFonts w:ascii="Book Antiqua" w:hAnsi="Book Antiqua" w:cs="Arial"/>
        </w:rPr>
        <w:t>The UNHCR</w:t>
      </w:r>
      <w:r w:rsidR="00067358">
        <w:rPr>
          <w:rFonts w:ascii="Book Antiqua" w:hAnsi="Book Antiqua" w:cs="Arial"/>
        </w:rPr>
        <w:t xml:space="preserve"> letter</w:t>
      </w:r>
      <w:r>
        <w:rPr>
          <w:rFonts w:ascii="Book Antiqua" w:hAnsi="Book Antiqua" w:cs="Arial"/>
        </w:rPr>
        <w:t xml:space="preserve"> dated</w:t>
      </w:r>
      <w:r w:rsidR="008A5DC9">
        <w:rPr>
          <w:rFonts w:ascii="Book Antiqua" w:hAnsi="Book Antiqua" w:cs="Arial"/>
        </w:rPr>
        <w:t xml:space="preserve"> 22 June 2017</w:t>
      </w:r>
      <w:r w:rsidR="00311C6D">
        <w:rPr>
          <w:rFonts w:ascii="Book Antiqua" w:hAnsi="Book Antiqua" w:cs="Arial"/>
        </w:rPr>
        <w:t xml:space="preserve"> </w:t>
      </w:r>
      <w:r w:rsidR="00D56AA8">
        <w:rPr>
          <w:rFonts w:ascii="Book Antiqua" w:hAnsi="Book Antiqua" w:cs="Arial"/>
        </w:rPr>
        <w:t xml:space="preserve">seems to me to misunderstand the respondent’s position in relation to the appellant whereby the emphasis </w:t>
      </w:r>
      <w:r w:rsidR="00215CC9">
        <w:rPr>
          <w:rFonts w:ascii="Book Antiqua" w:hAnsi="Book Antiqua" w:cs="Arial"/>
        </w:rPr>
        <w:t xml:space="preserve">was not on the situation in Iran in terms of durable and fundamental changes, rather that the appellant’s </w:t>
      </w:r>
      <w:r w:rsidR="008B7F1B">
        <w:rPr>
          <w:rFonts w:ascii="Book Antiqua" w:hAnsi="Book Antiqua" w:cs="Arial"/>
        </w:rPr>
        <w:t>personal</w:t>
      </w:r>
      <w:r w:rsidR="00215CC9">
        <w:rPr>
          <w:rFonts w:ascii="Book Antiqua" w:hAnsi="Book Antiqua" w:cs="Arial"/>
        </w:rPr>
        <w:t xml:space="preserve"> circumstances had changed.</w:t>
      </w:r>
      <w:r w:rsidR="00893705">
        <w:rPr>
          <w:rFonts w:ascii="Book Antiqua" w:hAnsi="Book Antiqua" w:cs="Arial"/>
        </w:rPr>
        <w:t xml:space="preserve"> </w:t>
      </w:r>
      <w:r w:rsidR="00F203EB">
        <w:rPr>
          <w:rFonts w:ascii="Book Antiqua" w:hAnsi="Book Antiqua" w:cs="Arial"/>
        </w:rPr>
        <w:t xml:space="preserve">For example, </w:t>
      </w:r>
      <w:r w:rsidR="000D7519">
        <w:rPr>
          <w:rFonts w:ascii="Book Antiqua" w:hAnsi="Book Antiqua" w:cs="Arial"/>
        </w:rPr>
        <w:t xml:space="preserve">on page four of the letter it states in the penultimate paragraph that </w:t>
      </w:r>
      <w:r w:rsidR="00136D21">
        <w:rPr>
          <w:rFonts w:ascii="Book Antiqua" w:hAnsi="Book Antiqua" w:cs="Arial"/>
        </w:rPr>
        <w:t>“…the HO maintain that</w:t>
      </w:r>
      <w:r w:rsidR="002A7640">
        <w:rPr>
          <w:rFonts w:ascii="Book Antiqua" w:hAnsi="Book Antiqua" w:cs="Arial"/>
        </w:rPr>
        <w:t xml:space="preserve"> the security landscape of Iran in respect of political affiliation has improved </w:t>
      </w:r>
      <w:r w:rsidR="009D2F86">
        <w:rPr>
          <w:rFonts w:ascii="Book Antiqua" w:hAnsi="Book Antiqua" w:cs="Arial"/>
        </w:rPr>
        <w:t>fundamentally and durably since the grant of [</w:t>
      </w:r>
      <w:r w:rsidR="003E7299">
        <w:rPr>
          <w:rFonts w:ascii="Book Antiqua" w:hAnsi="Book Antiqua" w:cs="Arial"/>
        </w:rPr>
        <w:t>the appellant’s] refugee status”</w:t>
      </w:r>
      <w:r w:rsidR="00C928E3">
        <w:rPr>
          <w:rFonts w:ascii="Book Antiqua" w:hAnsi="Book Antiqua" w:cs="Arial"/>
        </w:rPr>
        <w:t xml:space="preserve"> and on page six with reference to the </w:t>
      </w:r>
      <w:r w:rsidR="003810A1">
        <w:rPr>
          <w:rFonts w:ascii="Book Antiqua" w:hAnsi="Book Antiqua" w:cs="Arial"/>
        </w:rPr>
        <w:t>c</w:t>
      </w:r>
      <w:r w:rsidR="00C928E3">
        <w:rPr>
          <w:rFonts w:ascii="Book Antiqua" w:hAnsi="Book Antiqua" w:cs="Arial"/>
        </w:rPr>
        <w:t xml:space="preserve">ountry of </w:t>
      </w:r>
      <w:r w:rsidR="003810A1">
        <w:rPr>
          <w:rFonts w:ascii="Book Antiqua" w:hAnsi="Book Antiqua" w:cs="Arial"/>
        </w:rPr>
        <w:t>o</w:t>
      </w:r>
      <w:r w:rsidR="00C928E3">
        <w:rPr>
          <w:rFonts w:ascii="Book Antiqua" w:hAnsi="Book Antiqua" w:cs="Arial"/>
        </w:rPr>
        <w:t>rigin</w:t>
      </w:r>
      <w:r w:rsidR="003810A1">
        <w:rPr>
          <w:rFonts w:ascii="Book Antiqua" w:hAnsi="Book Antiqua" w:cs="Arial"/>
        </w:rPr>
        <w:t xml:space="preserve"> </w:t>
      </w:r>
      <w:r w:rsidR="00975E01">
        <w:rPr>
          <w:rFonts w:ascii="Book Antiqua" w:hAnsi="Book Antiqua" w:cs="Arial"/>
        </w:rPr>
        <w:t xml:space="preserve"> i</w:t>
      </w:r>
      <w:r w:rsidR="00C928E3">
        <w:rPr>
          <w:rFonts w:ascii="Book Antiqua" w:hAnsi="Book Antiqua" w:cs="Arial"/>
        </w:rPr>
        <w:t xml:space="preserve">nformation </w:t>
      </w:r>
      <w:r w:rsidR="00975E01">
        <w:rPr>
          <w:rFonts w:ascii="Book Antiqua" w:hAnsi="Book Antiqua" w:cs="Arial"/>
        </w:rPr>
        <w:t xml:space="preserve">(“COI”) </w:t>
      </w:r>
      <w:r w:rsidR="00C928E3">
        <w:rPr>
          <w:rFonts w:ascii="Book Antiqua" w:hAnsi="Book Antiqua" w:cs="Arial"/>
        </w:rPr>
        <w:t xml:space="preserve">on </w:t>
      </w:r>
      <w:r w:rsidR="00CE6311">
        <w:rPr>
          <w:rFonts w:ascii="Book Antiqua" w:hAnsi="Book Antiqua" w:cs="Arial"/>
        </w:rPr>
        <w:t xml:space="preserve">Iran that “the above-mentioned COI indicates a lack of </w:t>
      </w:r>
      <w:r w:rsidR="00A76182">
        <w:rPr>
          <w:rFonts w:ascii="Book Antiqua" w:hAnsi="Book Antiqua" w:cs="Arial"/>
        </w:rPr>
        <w:t>fundamental and durable change in Iran, contrary to the HO’s conclusions</w:t>
      </w:r>
      <w:r w:rsidR="00891277">
        <w:rPr>
          <w:rFonts w:ascii="Book Antiqua" w:hAnsi="Book Antiqua" w:cs="Arial"/>
        </w:rPr>
        <w:t>”.</w:t>
      </w:r>
    </w:p>
    <w:p w14:paraId="1C217447" w14:textId="3CD7D719" w:rsidR="00E52A0D" w:rsidRDefault="00891277" w:rsidP="00AD3D0C">
      <w:pPr>
        <w:numPr>
          <w:ilvl w:val="0"/>
          <w:numId w:val="1"/>
        </w:numPr>
        <w:tabs>
          <w:tab w:val="clear" w:pos="567"/>
        </w:tabs>
        <w:spacing w:before="240"/>
        <w:jc w:val="both"/>
        <w:rPr>
          <w:rFonts w:ascii="Book Antiqua" w:hAnsi="Book Antiqua" w:cs="Arial"/>
        </w:rPr>
      </w:pPr>
      <w:r>
        <w:rPr>
          <w:rFonts w:ascii="Book Antiqua" w:hAnsi="Book Antiqua" w:cs="Arial"/>
        </w:rPr>
        <w:t xml:space="preserve">Having said that, it does appear to me that the respondent’s decision was </w:t>
      </w:r>
      <w:r w:rsidR="001D4F96">
        <w:rPr>
          <w:rFonts w:ascii="Book Antiqua" w:hAnsi="Book Antiqua" w:cs="Arial"/>
        </w:rPr>
        <w:t>to some extent ambiguous</w:t>
      </w:r>
      <w:r w:rsidR="00C371DA">
        <w:rPr>
          <w:rFonts w:ascii="Book Antiqua" w:hAnsi="Book Antiqua" w:cs="Arial"/>
        </w:rPr>
        <w:t xml:space="preserve">. However, </w:t>
      </w:r>
      <w:r w:rsidR="001D4F96">
        <w:rPr>
          <w:rFonts w:ascii="Book Antiqua" w:hAnsi="Book Antiqua" w:cs="Arial"/>
        </w:rPr>
        <w:t xml:space="preserve">the </w:t>
      </w:r>
      <w:r w:rsidR="0000520C">
        <w:rPr>
          <w:rFonts w:ascii="Book Antiqua" w:hAnsi="Book Antiqua" w:cs="Arial"/>
        </w:rPr>
        <w:t>s</w:t>
      </w:r>
      <w:r w:rsidR="00C371DA">
        <w:rPr>
          <w:rFonts w:ascii="Book Antiqua" w:hAnsi="Book Antiqua" w:cs="Arial"/>
        </w:rPr>
        <w:t>uggestion in the grounds</w:t>
      </w:r>
      <w:r w:rsidR="0000520C">
        <w:rPr>
          <w:rFonts w:ascii="Book Antiqua" w:hAnsi="Book Antiqua" w:cs="Arial"/>
        </w:rPr>
        <w:t xml:space="preserve"> that the </w:t>
      </w:r>
      <w:r w:rsidR="00987CDC">
        <w:rPr>
          <w:rFonts w:ascii="Book Antiqua" w:hAnsi="Book Antiqua" w:cs="Arial"/>
        </w:rPr>
        <w:t>UNHCR letter supports the view t</w:t>
      </w:r>
      <w:r w:rsidR="00CF2C06">
        <w:rPr>
          <w:rFonts w:ascii="Book Antiqua" w:hAnsi="Book Antiqua" w:cs="Arial"/>
        </w:rPr>
        <w:t xml:space="preserve">hat the way the FtJ characterised the </w:t>
      </w:r>
      <w:r w:rsidR="00C371DA">
        <w:rPr>
          <w:rFonts w:ascii="Book Antiqua" w:hAnsi="Book Antiqua" w:cs="Arial"/>
        </w:rPr>
        <w:t>respondent’s case</w:t>
      </w:r>
      <w:r w:rsidR="00CF2C06">
        <w:rPr>
          <w:rFonts w:ascii="Book Antiqua" w:hAnsi="Book Antiqua" w:cs="Arial"/>
        </w:rPr>
        <w:t xml:space="preserve"> at [82]</w:t>
      </w:r>
      <w:r w:rsidR="00C371DA">
        <w:rPr>
          <w:rFonts w:ascii="Book Antiqua" w:hAnsi="Book Antiqua" w:cs="Arial"/>
        </w:rPr>
        <w:t xml:space="preserve"> of </w:t>
      </w:r>
      <w:r w:rsidR="00C371DA">
        <w:rPr>
          <w:rFonts w:ascii="Book Antiqua" w:hAnsi="Book Antiqua" w:cs="Arial"/>
        </w:rPr>
        <w:lastRenderedPageBreak/>
        <w:t>his decision</w:t>
      </w:r>
      <w:r w:rsidR="00DE46D2">
        <w:rPr>
          <w:rFonts w:ascii="Book Antiqua" w:hAnsi="Book Antiqua" w:cs="Arial"/>
        </w:rPr>
        <w:t xml:space="preserve"> was wrong, is itself misplaced.</w:t>
      </w:r>
      <w:r w:rsidR="003C5B67">
        <w:rPr>
          <w:rFonts w:ascii="Book Antiqua" w:hAnsi="Book Antiqua" w:cs="Arial"/>
        </w:rPr>
        <w:t xml:space="preserve"> </w:t>
      </w:r>
      <w:r w:rsidR="00AB7F0E">
        <w:rPr>
          <w:rFonts w:ascii="Book Antiqua" w:hAnsi="Book Antiqua" w:cs="Arial"/>
        </w:rPr>
        <w:t>Furthermore</w:t>
      </w:r>
      <w:r w:rsidR="003C5B67">
        <w:rPr>
          <w:rFonts w:ascii="Book Antiqua" w:hAnsi="Book Antiqua" w:cs="Arial"/>
        </w:rPr>
        <w:t>, the way that the UNHCR interpreted the respondent’s case</w:t>
      </w:r>
      <w:r w:rsidR="00AB7F0E">
        <w:rPr>
          <w:rFonts w:ascii="Book Antiqua" w:hAnsi="Book Antiqua" w:cs="Arial"/>
        </w:rPr>
        <w:t xml:space="preserve"> is not much to the point if the UNHCR </w:t>
      </w:r>
      <w:r w:rsidR="00E52A0D">
        <w:rPr>
          <w:rFonts w:ascii="Book Antiqua" w:hAnsi="Book Antiqua" w:cs="Arial"/>
        </w:rPr>
        <w:t>misinterpreted it.</w:t>
      </w:r>
    </w:p>
    <w:p w14:paraId="5605A489" w14:textId="677EBDD1" w:rsidR="00CC3282" w:rsidRDefault="003B05A9" w:rsidP="00AD3D0C">
      <w:pPr>
        <w:numPr>
          <w:ilvl w:val="0"/>
          <w:numId w:val="1"/>
        </w:numPr>
        <w:tabs>
          <w:tab w:val="clear" w:pos="567"/>
        </w:tabs>
        <w:spacing w:before="240"/>
        <w:jc w:val="both"/>
        <w:rPr>
          <w:rFonts w:ascii="Book Antiqua" w:hAnsi="Book Antiqua" w:cs="Arial"/>
        </w:rPr>
      </w:pPr>
      <w:r>
        <w:rPr>
          <w:rFonts w:ascii="Book Antiqua" w:hAnsi="Book Antiqua" w:cs="Arial"/>
        </w:rPr>
        <w:t xml:space="preserve">The FtJ </w:t>
      </w:r>
      <w:r w:rsidR="00050454">
        <w:rPr>
          <w:rFonts w:ascii="Book Antiqua" w:hAnsi="Book Antiqua" w:cs="Arial"/>
        </w:rPr>
        <w:t xml:space="preserve">considered what was said in </w:t>
      </w:r>
      <w:r w:rsidR="00050454">
        <w:rPr>
          <w:rFonts w:ascii="Book Antiqua" w:hAnsi="Book Antiqua" w:cs="Arial"/>
          <w:i/>
        </w:rPr>
        <w:t>Mosira</w:t>
      </w:r>
      <w:r w:rsidR="00CD6D96">
        <w:rPr>
          <w:rFonts w:ascii="Book Antiqua" w:hAnsi="Book Antiqua" w:cs="Arial"/>
        </w:rPr>
        <w:t xml:space="preserve"> and what it implied about the policy that applied between 2003 and 2007</w:t>
      </w:r>
      <w:r w:rsidR="0057676B">
        <w:rPr>
          <w:rFonts w:ascii="Book Antiqua" w:hAnsi="Book Antiqua" w:cs="Arial"/>
        </w:rPr>
        <w:t xml:space="preserve"> in terms of the grant of refugee status to those applying for leave as a family member of a person granted refugee status.</w:t>
      </w:r>
      <w:r w:rsidR="00674087">
        <w:rPr>
          <w:rFonts w:ascii="Book Antiqua" w:hAnsi="Book Antiqua" w:cs="Arial"/>
        </w:rPr>
        <w:t xml:space="preserve"> The FtJ however, said at </w:t>
      </w:r>
      <w:r w:rsidR="00736DB0">
        <w:rPr>
          <w:rFonts w:ascii="Book Antiqua" w:hAnsi="Book Antiqua" w:cs="Arial"/>
        </w:rPr>
        <w:t xml:space="preserve">[73] that he had looked at what was said on this issue in </w:t>
      </w:r>
      <w:r w:rsidR="00D36920">
        <w:rPr>
          <w:rFonts w:ascii="Book Antiqua" w:hAnsi="Book Antiqua" w:cs="Arial"/>
        </w:rPr>
        <w:t>MacDonald’</w:t>
      </w:r>
      <w:r w:rsidR="00085075">
        <w:rPr>
          <w:rFonts w:ascii="Book Antiqua" w:hAnsi="Book Antiqua" w:cs="Arial"/>
        </w:rPr>
        <w:t>s</w:t>
      </w:r>
      <w:r w:rsidR="00D36920">
        <w:rPr>
          <w:rFonts w:ascii="Book Antiqua" w:hAnsi="Book Antiqua" w:cs="Arial"/>
        </w:rPr>
        <w:t xml:space="preserve"> Immigration Law </w:t>
      </w:r>
      <w:r w:rsidR="00085075">
        <w:rPr>
          <w:rFonts w:ascii="Book Antiqua" w:hAnsi="Book Antiqua" w:cs="Arial"/>
        </w:rPr>
        <w:t>&amp;</w:t>
      </w:r>
      <w:r w:rsidR="00D36920">
        <w:rPr>
          <w:rFonts w:ascii="Book Antiqua" w:hAnsi="Book Antiqua" w:cs="Arial"/>
        </w:rPr>
        <w:t xml:space="preserve"> Practice</w:t>
      </w:r>
      <w:r w:rsidR="00ED37D5">
        <w:rPr>
          <w:rFonts w:ascii="Book Antiqua" w:hAnsi="Book Antiqua" w:cs="Arial"/>
        </w:rPr>
        <w:t xml:space="preserve">, </w:t>
      </w:r>
      <w:r w:rsidR="00142232">
        <w:rPr>
          <w:rFonts w:ascii="Book Antiqua" w:hAnsi="Book Antiqua" w:cs="Arial"/>
        </w:rPr>
        <w:t>seventh</w:t>
      </w:r>
      <w:r w:rsidR="001E512B">
        <w:rPr>
          <w:rFonts w:ascii="Book Antiqua" w:hAnsi="Book Antiqua" w:cs="Arial"/>
        </w:rPr>
        <w:t xml:space="preserve"> edition at para 12.96 and one of the decisions in the footnotes, namely </w:t>
      </w:r>
      <w:r w:rsidR="005F76BA" w:rsidRPr="005F76BA">
        <w:rPr>
          <w:rFonts w:ascii="Book Antiqua" w:hAnsi="Book Antiqua" w:cs="Arial"/>
          <w:i/>
        </w:rPr>
        <w:t>A v Entry Clearance Officer, Pretoria (Somalia)</w:t>
      </w:r>
      <w:r w:rsidR="005F76BA" w:rsidRPr="005F76BA">
        <w:rPr>
          <w:rFonts w:ascii="Book Antiqua" w:hAnsi="Book Antiqua" w:cs="Arial"/>
        </w:rPr>
        <w:t xml:space="preserve"> [2004] UKIAT 00031</w:t>
      </w:r>
      <w:r w:rsidR="002F13D2">
        <w:rPr>
          <w:rFonts w:ascii="Book Antiqua" w:hAnsi="Book Antiqua" w:cs="Arial"/>
        </w:rPr>
        <w:t xml:space="preserve"> (although the</w:t>
      </w:r>
      <w:r w:rsidR="008245F5">
        <w:rPr>
          <w:rFonts w:ascii="Book Antiqua" w:hAnsi="Book Antiqua" w:cs="Arial"/>
        </w:rPr>
        <w:t xml:space="preserve"> most recent edition is </w:t>
      </w:r>
      <w:r w:rsidR="002F13D2">
        <w:rPr>
          <w:rFonts w:ascii="Book Antiqua" w:hAnsi="Book Antiqua" w:cs="Arial"/>
        </w:rPr>
        <w:t>the ninth edition</w:t>
      </w:r>
      <w:r w:rsidR="006A661C">
        <w:rPr>
          <w:rFonts w:ascii="Book Antiqua" w:hAnsi="Book Antiqua" w:cs="Arial"/>
        </w:rPr>
        <w:t xml:space="preserve">, published in 2014). </w:t>
      </w:r>
      <w:r w:rsidR="008B7F1B">
        <w:rPr>
          <w:rFonts w:ascii="Book Antiqua" w:hAnsi="Book Antiqua" w:cs="Arial"/>
        </w:rPr>
        <w:t>Thus,</w:t>
      </w:r>
      <w:r w:rsidR="00CC3282">
        <w:rPr>
          <w:rFonts w:ascii="Book Antiqua" w:hAnsi="Book Antiqua" w:cs="Arial"/>
        </w:rPr>
        <w:t xml:space="preserve"> he doubted whether </w:t>
      </w:r>
      <w:r w:rsidR="009E2248">
        <w:rPr>
          <w:rFonts w:ascii="Book Antiqua" w:hAnsi="Book Antiqua" w:cs="Arial"/>
        </w:rPr>
        <w:t>the policy did in fact apply throughout that period.</w:t>
      </w:r>
    </w:p>
    <w:p w14:paraId="6BFD4CF7" w14:textId="76A0C249" w:rsidR="00C27F77" w:rsidRDefault="00CC3282" w:rsidP="00AD3D0C">
      <w:pPr>
        <w:numPr>
          <w:ilvl w:val="0"/>
          <w:numId w:val="1"/>
        </w:numPr>
        <w:tabs>
          <w:tab w:val="clear" w:pos="567"/>
        </w:tabs>
        <w:spacing w:before="240"/>
        <w:jc w:val="both"/>
        <w:rPr>
          <w:rFonts w:ascii="Book Antiqua" w:hAnsi="Book Antiqua" w:cs="Arial"/>
        </w:rPr>
      </w:pPr>
      <w:r>
        <w:rPr>
          <w:rFonts w:ascii="Book Antiqua" w:hAnsi="Book Antiqua" w:cs="Arial"/>
        </w:rPr>
        <w:t xml:space="preserve">He </w:t>
      </w:r>
      <w:r w:rsidR="00157286">
        <w:rPr>
          <w:rFonts w:ascii="Book Antiqua" w:hAnsi="Book Antiqua" w:cs="Arial"/>
        </w:rPr>
        <w:t xml:space="preserve">went on to say that it was assumed in the appellant’s favour that </w:t>
      </w:r>
      <w:r w:rsidR="000132CF">
        <w:rPr>
          <w:rFonts w:ascii="Book Antiqua" w:hAnsi="Book Antiqua" w:cs="Arial"/>
        </w:rPr>
        <w:t>he, like Mosira, was admitted as a “refugee” pursuant to the 2003 policy</w:t>
      </w:r>
      <w:r w:rsidR="00BF4D36">
        <w:rPr>
          <w:rFonts w:ascii="Book Antiqua" w:hAnsi="Book Antiqua" w:cs="Arial"/>
        </w:rPr>
        <w:t xml:space="preserve">, and that that must have been the assumption of the criminal casework team. However, he rejected any contention that the appellant </w:t>
      </w:r>
      <w:r w:rsidR="00D04F58">
        <w:rPr>
          <w:rFonts w:ascii="Book Antiqua" w:hAnsi="Book Antiqua" w:cs="Arial"/>
        </w:rPr>
        <w:t xml:space="preserve">had, or continued to have, any legitimate expectation that his status as a </w:t>
      </w:r>
      <w:r w:rsidR="008F73FA">
        <w:rPr>
          <w:rFonts w:ascii="Book Antiqua" w:hAnsi="Book Antiqua" w:cs="Arial"/>
        </w:rPr>
        <w:t>“</w:t>
      </w:r>
      <w:r w:rsidR="00D04F58">
        <w:rPr>
          <w:rFonts w:ascii="Book Antiqua" w:hAnsi="Book Antiqua" w:cs="Arial"/>
        </w:rPr>
        <w:t>refugee</w:t>
      </w:r>
      <w:r w:rsidR="008F73FA">
        <w:rPr>
          <w:rFonts w:ascii="Book Antiqua" w:hAnsi="Book Antiqua" w:cs="Arial"/>
        </w:rPr>
        <w:t>”</w:t>
      </w:r>
      <w:r w:rsidR="00D04F58">
        <w:rPr>
          <w:rFonts w:ascii="Book Antiqua" w:hAnsi="Book Antiqua" w:cs="Arial"/>
        </w:rPr>
        <w:t xml:space="preserve"> was perma</w:t>
      </w:r>
      <w:r w:rsidR="008F73FA">
        <w:rPr>
          <w:rFonts w:ascii="Book Antiqua" w:hAnsi="Book Antiqua" w:cs="Arial"/>
        </w:rPr>
        <w:t>n</w:t>
      </w:r>
      <w:r w:rsidR="00D04F58">
        <w:rPr>
          <w:rFonts w:ascii="Book Antiqua" w:hAnsi="Book Antiqua" w:cs="Arial"/>
        </w:rPr>
        <w:t>ent</w:t>
      </w:r>
      <w:r w:rsidR="008F73FA">
        <w:rPr>
          <w:rFonts w:ascii="Book Antiqua" w:hAnsi="Book Antiqua" w:cs="Arial"/>
        </w:rPr>
        <w:t>.</w:t>
      </w:r>
      <w:r w:rsidR="00D9227C">
        <w:rPr>
          <w:rFonts w:ascii="Book Antiqua" w:hAnsi="Book Antiqua" w:cs="Arial"/>
        </w:rPr>
        <w:t xml:space="preserve"> Referring to </w:t>
      </w:r>
      <w:r w:rsidR="00C518CA">
        <w:rPr>
          <w:rFonts w:ascii="Book Antiqua" w:hAnsi="Book Antiqua" w:cs="Arial"/>
        </w:rPr>
        <w:t>Articles 32(1) and 33(1) of the Refugee Convention and</w:t>
      </w:r>
      <w:r w:rsidR="006427FB">
        <w:rPr>
          <w:rFonts w:ascii="Book Antiqua" w:hAnsi="Book Antiqua" w:cs="Arial"/>
        </w:rPr>
        <w:t xml:space="preserve"> noting that </w:t>
      </w:r>
      <w:r w:rsidR="006427FB">
        <w:rPr>
          <w:rFonts w:ascii="Book Antiqua" w:hAnsi="Book Antiqua" w:cs="Arial"/>
          <w:i/>
        </w:rPr>
        <w:t>Dang</w:t>
      </w:r>
      <w:r w:rsidR="006427FB">
        <w:rPr>
          <w:rFonts w:ascii="Book Antiqua" w:hAnsi="Book Antiqua" w:cs="Arial"/>
        </w:rPr>
        <w:t xml:space="preserve"> clarified that </w:t>
      </w:r>
      <w:r w:rsidR="001E40AC">
        <w:rPr>
          <w:rFonts w:ascii="Book Antiqua" w:hAnsi="Book Antiqua" w:cs="Arial"/>
        </w:rPr>
        <w:t>Article 33(1) (protection from refoulement)</w:t>
      </w:r>
      <w:r w:rsidR="000F0B3C">
        <w:rPr>
          <w:rFonts w:ascii="Book Antiqua" w:hAnsi="Book Antiqua" w:cs="Arial"/>
        </w:rPr>
        <w:t xml:space="preserve">, was forward looking, he concluded that </w:t>
      </w:r>
      <w:r w:rsidR="00472A80">
        <w:rPr>
          <w:rFonts w:ascii="Book Antiqua" w:hAnsi="Book Antiqua" w:cs="Arial"/>
        </w:rPr>
        <w:t>the appellant had no such legitimate expectation</w:t>
      </w:r>
      <w:r w:rsidR="006C1E52">
        <w:rPr>
          <w:rFonts w:ascii="Book Antiqua" w:hAnsi="Book Antiqua" w:cs="Arial"/>
        </w:rPr>
        <w:t xml:space="preserve"> (and given the basis upon which the appellant achieved status</w:t>
      </w:r>
      <w:r w:rsidR="00C27F77">
        <w:rPr>
          <w:rFonts w:ascii="Book Antiqua" w:hAnsi="Book Antiqua" w:cs="Arial"/>
        </w:rPr>
        <w:t>).</w:t>
      </w:r>
    </w:p>
    <w:p w14:paraId="6BA9B34C" w14:textId="07D58A17" w:rsidR="00136D21" w:rsidRDefault="00C27F77" w:rsidP="00AD3D0C">
      <w:pPr>
        <w:numPr>
          <w:ilvl w:val="0"/>
          <w:numId w:val="1"/>
        </w:numPr>
        <w:tabs>
          <w:tab w:val="clear" w:pos="567"/>
        </w:tabs>
        <w:spacing w:before="240"/>
        <w:jc w:val="both"/>
        <w:rPr>
          <w:rFonts w:ascii="Book Antiqua" w:hAnsi="Book Antiqua" w:cs="Arial"/>
        </w:rPr>
      </w:pPr>
      <w:r>
        <w:rPr>
          <w:rFonts w:ascii="Book Antiqua" w:hAnsi="Book Antiqua" w:cs="Arial"/>
        </w:rPr>
        <w:t xml:space="preserve">Nothing in the grounds or in the submissions on behalf of the appellant reveal </w:t>
      </w:r>
      <w:r w:rsidR="009B0BDC">
        <w:rPr>
          <w:rFonts w:ascii="Book Antiqua" w:hAnsi="Book Antiqua" w:cs="Arial"/>
        </w:rPr>
        <w:t xml:space="preserve">any legal </w:t>
      </w:r>
      <w:r w:rsidR="00827CD3">
        <w:rPr>
          <w:rFonts w:ascii="Book Antiqua" w:hAnsi="Book Antiqua" w:cs="Arial"/>
        </w:rPr>
        <w:t>error</w:t>
      </w:r>
      <w:r w:rsidR="009B0BDC">
        <w:rPr>
          <w:rFonts w:ascii="Book Antiqua" w:hAnsi="Book Antiqua" w:cs="Arial"/>
        </w:rPr>
        <w:t xml:space="preserve"> in the FtJ’s analysis.</w:t>
      </w:r>
      <w:r w:rsidR="00044B55">
        <w:rPr>
          <w:rFonts w:ascii="Book Antiqua" w:hAnsi="Book Antiqua" w:cs="Arial"/>
        </w:rPr>
        <w:t xml:space="preserve"> His reliance on [32] of </w:t>
      </w:r>
      <w:r w:rsidR="00044B55">
        <w:rPr>
          <w:rFonts w:ascii="Book Antiqua" w:hAnsi="Book Antiqua" w:cs="Arial"/>
          <w:i/>
        </w:rPr>
        <w:t>Mosira</w:t>
      </w:r>
      <w:r w:rsidR="00044B55">
        <w:rPr>
          <w:rFonts w:ascii="Book Antiqua" w:hAnsi="Book Antiqua" w:cs="Arial"/>
        </w:rPr>
        <w:t xml:space="preserve"> was apposite</w:t>
      </w:r>
      <w:r w:rsidR="00C9210F">
        <w:rPr>
          <w:rFonts w:ascii="Book Antiqua" w:hAnsi="Book Antiqua" w:cs="Arial"/>
        </w:rPr>
        <w:t xml:space="preserve">. </w:t>
      </w:r>
      <w:r w:rsidR="005079D5">
        <w:rPr>
          <w:rFonts w:ascii="Book Antiqua" w:hAnsi="Book Antiqua" w:cs="Arial"/>
        </w:rPr>
        <w:t>In that paragraph the Court of Appeal said this:</w:t>
      </w:r>
    </w:p>
    <w:p w14:paraId="261F54A5" w14:textId="79923768" w:rsidR="005079D5" w:rsidRPr="00C15550" w:rsidRDefault="00BB79CF" w:rsidP="005079D5">
      <w:pPr>
        <w:spacing w:before="240"/>
        <w:ind w:left="1134"/>
        <w:jc w:val="both"/>
        <w:rPr>
          <w:rFonts w:ascii="Book Antiqua" w:hAnsi="Book Antiqua" w:cs="Arial"/>
          <w:sz w:val="22"/>
          <w:szCs w:val="22"/>
        </w:rPr>
      </w:pPr>
      <w:r w:rsidRPr="00C15550">
        <w:rPr>
          <w:rFonts w:ascii="Book Antiqua" w:hAnsi="Book Antiqua" w:cs="Arial"/>
          <w:sz w:val="22"/>
          <w:szCs w:val="22"/>
        </w:rPr>
        <w:t>“I pause here to observe that at this point it was open to the Secretary of State to seek to respond to the appeal by arguing (a) Mr Mosira was not a "refugee" as defined in Article 1A of the Refugee Convention and never had been (nor had he been recognised under para. 334 of the Immigration Rules as having refugee status), so there was no impediment arising from the Refugee Convention to his deportation to Zimbabwe and it was simply unnecessary to consider or apply Article 1C(5) of the Convention and para. 339A(v) of the Rules to remove that status; (b) alternatively, if Mr Mosira was entitled to maintain that he had refugee status attracting protection under or equivalent to that under the Refugee Convention (e.g. on the grounds that he had a legitimate expectation in domestic law to equivalent protection by reason of the grant of refugee status to him pursuant to the 2003 policy, which could entitle him to rely on the ground of appeal in section 84(1)(e) of the 2002 Act, if not on the ground in section 84(1)(g)), he could still lawfully be deported in accordance with the Refugee Convention on the grounds of "public order" as set out in Article 32(1); and (c) there was no impediment to his deportation arising from the ECHR and the Human Rights Act 1998. On the Secretary of State's case that Mr Mosira did not face a real risk of ill-treatment if returned to Zimbabwe, Article 33 of the Refugee Convention and section 72 of the 2002 Act were irrelevant.</w:t>
      </w:r>
      <w:r w:rsidR="00C15550" w:rsidRPr="00C15550">
        <w:rPr>
          <w:rFonts w:ascii="Book Antiqua" w:hAnsi="Book Antiqua" w:cs="Arial"/>
          <w:sz w:val="22"/>
          <w:szCs w:val="22"/>
        </w:rPr>
        <w:t>”</w:t>
      </w:r>
    </w:p>
    <w:p w14:paraId="577A6253" w14:textId="2CB5F3C9" w:rsidR="000D48BA" w:rsidRDefault="00646F09" w:rsidP="00AD3D0C">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w:t>
      </w:r>
      <w:r w:rsidR="002A0082">
        <w:rPr>
          <w:rFonts w:ascii="Book Antiqua" w:hAnsi="Book Antiqua" w:cs="Arial"/>
        </w:rPr>
        <w:t xml:space="preserve">ground 5 and the contention that the FtJ did not make a decision on humanitarian protection, </w:t>
      </w:r>
      <w:r w:rsidR="00863438">
        <w:rPr>
          <w:rFonts w:ascii="Book Antiqua" w:hAnsi="Book Antiqua" w:cs="Arial"/>
        </w:rPr>
        <w:t xml:space="preserve">he did, at [85] although in any event on the FtJ’s findings there is no basis for decision on humanitarian protection in his favour. </w:t>
      </w:r>
    </w:p>
    <w:p w14:paraId="280CBC3C" w14:textId="7C1E5570" w:rsidR="000D48BA" w:rsidRDefault="00863438" w:rsidP="00AD3D0C">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relation to article 8, </w:t>
      </w:r>
      <w:r w:rsidR="00D67ACD">
        <w:rPr>
          <w:rFonts w:ascii="Book Antiqua" w:hAnsi="Book Antiqua" w:cs="Arial"/>
        </w:rPr>
        <w:t xml:space="preserve">the bald assertion that the FtJ’s decision in that respect “is not well reasoned” </w:t>
      </w:r>
      <w:r w:rsidR="00A64373">
        <w:rPr>
          <w:rFonts w:ascii="Book Antiqua" w:hAnsi="Book Antiqua" w:cs="Arial"/>
        </w:rPr>
        <w:t xml:space="preserve">has no merit. There is a full analysis of </w:t>
      </w:r>
      <w:r w:rsidR="001C68B7">
        <w:rPr>
          <w:rFonts w:ascii="Book Antiqua" w:hAnsi="Book Antiqua" w:cs="Arial"/>
        </w:rPr>
        <w:t>article 8 between [86] and [102] and in respect of which the appellant provided no evidence.</w:t>
      </w:r>
    </w:p>
    <w:p w14:paraId="4F843504" w14:textId="4D5B5628" w:rsidR="004A7B2C" w:rsidRPr="00D21A1B" w:rsidRDefault="00C34B10" w:rsidP="00AD3D0C">
      <w:pPr>
        <w:numPr>
          <w:ilvl w:val="0"/>
          <w:numId w:val="1"/>
        </w:numPr>
        <w:tabs>
          <w:tab w:val="clear" w:pos="567"/>
        </w:tabs>
        <w:spacing w:before="240"/>
        <w:jc w:val="both"/>
        <w:rPr>
          <w:rFonts w:ascii="Book Antiqua" w:hAnsi="Book Antiqua" w:cs="Arial"/>
        </w:rPr>
      </w:pPr>
      <w:r>
        <w:rPr>
          <w:rFonts w:ascii="Book Antiqua" w:hAnsi="Book Antiqua" w:cs="Arial"/>
        </w:rPr>
        <w:t>In conclusion then, I am not satisfied that there is any error of law in the decision of the FtJ.</w:t>
      </w:r>
      <w:r w:rsidR="00C80C22">
        <w:rPr>
          <w:rFonts w:ascii="Book Antiqua" w:hAnsi="Book Antiqua" w:cs="Arial"/>
        </w:rPr>
        <w:t xml:space="preserve"> </w:t>
      </w:r>
    </w:p>
    <w:p w14:paraId="6EAEE41C" w14:textId="159FBBA4" w:rsidR="00A32B11" w:rsidRPr="003F2487" w:rsidRDefault="001A5C88" w:rsidP="00C27DBC">
      <w:pPr>
        <w:spacing w:before="240"/>
        <w:ind w:left="567"/>
        <w:jc w:val="both"/>
        <w:rPr>
          <w:rFonts w:ascii="Book Antiqua" w:hAnsi="Book Antiqua" w:cs="Arial"/>
        </w:rPr>
      </w:pPr>
      <w:r>
        <w:rPr>
          <w:rFonts w:ascii="Book Antiqua" w:hAnsi="Book Antiqua" w:cs="Arial"/>
          <w:i/>
        </w:rPr>
        <w:t>D</w:t>
      </w:r>
      <w:r w:rsidR="00A32B11" w:rsidRPr="003F2487">
        <w:rPr>
          <w:rFonts w:ascii="Book Antiqua" w:hAnsi="Book Antiqua" w:cs="Arial"/>
          <w:i/>
        </w:rPr>
        <w:t>ecision</w:t>
      </w:r>
    </w:p>
    <w:p w14:paraId="4671FD75" w14:textId="62258D2D" w:rsidR="00A32B11" w:rsidRDefault="00A32B11" w:rsidP="00A32B11">
      <w:pPr>
        <w:numPr>
          <w:ilvl w:val="0"/>
          <w:numId w:val="1"/>
        </w:numPr>
        <w:tabs>
          <w:tab w:val="clear" w:pos="567"/>
        </w:tabs>
        <w:spacing w:before="240"/>
        <w:jc w:val="both"/>
        <w:rPr>
          <w:rFonts w:ascii="Book Antiqua" w:hAnsi="Book Antiqua" w:cs="Arial"/>
        </w:rPr>
      </w:pPr>
      <w:r w:rsidRPr="003F2487">
        <w:rPr>
          <w:rFonts w:ascii="Book Antiqua" w:hAnsi="Book Antiqua" w:cs="Arial"/>
        </w:rPr>
        <w:t>The</w:t>
      </w:r>
      <w:r w:rsidR="00220899">
        <w:rPr>
          <w:rFonts w:ascii="Book Antiqua" w:hAnsi="Book Antiqua" w:cs="Arial"/>
        </w:rPr>
        <w:t xml:space="preserve"> decision of the First-tier Tribunal </w:t>
      </w:r>
      <w:r w:rsidR="00C27DBC">
        <w:rPr>
          <w:rFonts w:ascii="Book Antiqua" w:hAnsi="Book Antiqua" w:cs="Arial"/>
        </w:rPr>
        <w:t xml:space="preserve">did not </w:t>
      </w:r>
      <w:r w:rsidR="00220899">
        <w:rPr>
          <w:rFonts w:ascii="Book Antiqua" w:hAnsi="Book Antiqua" w:cs="Arial"/>
        </w:rPr>
        <w:t xml:space="preserve">involve the making of an error on a point of law.  Its decision </w:t>
      </w:r>
      <w:r w:rsidR="00C34B10">
        <w:rPr>
          <w:rFonts w:ascii="Book Antiqua" w:hAnsi="Book Antiqua" w:cs="Arial"/>
        </w:rPr>
        <w:t>to dismiss the appeal on all grounds stands.</w:t>
      </w:r>
      <w:r w:rsidR="00220899">
        <w:rPr>
          <w:rFonts w:ascii="Book Antiqua" w:hAnsi="Book Antiqua" w:cs="Arial"/>
        </w:rPr>
        <w:t xml:space="preserve">  </w:t>
      </w:r>
    </w:p>
    <w:p w14:paraId="211D2719" w14:textId="77777777" w:rsidR="0000252B" w:rsidRDefault="0000252B" w:rsidP="00A32B11">
      <w:pPr>
        <w:jc w:val="both"/>
        <w:rPr>
          <w:rFonts w:ascii="Book Antiqua" w:hAnsi="Book Antiqua" w:cs="Arial"/>
          <w:b/>
          <w:u w:val="single"/>
        </w:rPr>
      </w:pPr>
    </w:p>
    <w:p w14:paraId="0134976D" w14:textId="77777777" w:rsidR="0000252B" w:rsidRDefault="0000252B" w:rsidP="00A32B11">
      <w:pPr>
        <w:jc w:val="both"/>
        <w:rPr>
          <w:rFonts w:ascii="Book Antiqua" w:hAnsi="Book Antiqua" w:cs="Arial"/>
          <w:b/>
          <w:u w:val="single"/>
        </w:rPr>
      </w:pPr>
    </w:p>
    <w:p w14:paraId="1D0CDE33" w14:textId="77777777" w:rsidR="00B76FB0" w:rsidRPr="00544919" w:rsidRDefault="00B76FB0" w:rsidP="00B76FB0">
      <w:pPr>
        <w:jc w:val="both"/>
        <w:rPr>
          <w:rFonts w:ascii="Book Antiqua" w:hAnsi="Book Antiqua" w:cs="Arial"/>
          <w:b/>
        </w:rPr>
      </w:pPr>
      <w:r w:rsidRPr="00544919">
        <w:rPr>
          <w:rFonts w:ascii="Book Antiqua" w:hAnsi="Book Antiqua" w:cs="Arial"/>
          <w:b/>
          <w:u w:val="single"/>
        </w:rPr>
        <w:t>Direction Regarding Anonymity – Rule 14 of the Tribunal Procedure (Upper Tribunal) Rules 2008</w:t>
      </w:r>
    </w:p>
    <w:p w14:paraId="11B50367" w14:textId="77777777" w:rsidR="00B76FB0" w:rsidRPr="00A32B11" w:rsidRDefault="00B76FB0" w:rsidP="00B76FB0">
      <w:pPr>
        <w:jc w:val="both"/>
        <w:rPr>
          <w:rFonts w:ascii="Book Antiqua" w:hAnsi="Book Antiqua" w:cs="Arial"/>
        </w:rPr>
      </w:pPr>
    </w:p>
    <w:p w14:paraId="685034B9" w14:textId="77777777" w:rsidR="00B76FB0" w:rsidRPr="00687601" w:rsidRDefault="00B76FB0" w:rsidP="00B76FB0">
      <w:pPr>
        <w:jc w:val="both"/>
        <w:rPr>
          <w:rFonts w:ascii="Book Antiqua" w:hAnsi="Book Antiqua" w:cs="Arial"/>
        </w:rPr>
      </w:pPr>
      <w:r w:rsidRPr="00A32B11">
        <w:rPr>
          <w:rFonts w:ascii="Book Antiqua" w:hAnsi="Book Antiqua" w:cs="Arial"/>
        </w:rPr>
        <w:t xml:space="preserve">Unless and </w:t>
      </w:r>
      <w:r w:rsidRPr="00A32B11">
        <w:rPr>
          <w:rFonts w:ascii="Book Antiqua" w:hAnsi="Book Antiqua"/>
        </w:rPr>
        <w:t xml:space="preserve">until a Tribunal or court directs otherwise, the </w:t>
      </w:r>
      <w:r>
        <w:rPr>
          <w:rFonts w:ascii="Book Antiqua" w:hAnsi="Book Antiqua"/>
        </w:rPr>
        <w:t>a</w:t>
      </w:r>
      <w:r w:rsidRPr="00A32B11">
        <w:rPr>
          <w:rFonts w:ascii="Book Antiqua" w:hAnsi="Book Antiqua"/>
        </w:rPr>
        <w:t>ppellant is granted anonymity.  No report of these proceedings shall directly or indirectly identify him or any member of</w:t>
      </w:r>
      <w:r>
        <w:rPr>
          <w:rFonts w:ascii="Book Antiqua" w:hAnsi="Book Antiqua"/>
        </w:rPr>
        <w:t xml:space="preserve"> his</w:t>
      </w:r>
      <w:r w:rsidRPr="00A32B11">
        <w:rPr>
          <w:rFonts w:ascii="Book Antiqua" w:hAnsi="Book Antiqua"/>
        </w:rPr>
        <w:t xml:space="preserve"> family.  This direction applies both to the </w:t>
      </w:r>
      <w:r>
        <w:rPr>
          <w:rFonts w:ascii="Book Antiqua" w:hAnsi="Book Antiqua"/>
        </w:rPr>
        <w:t>a</w:t>
      </w:r>
      <w:r w:rsidRPr="00A32B11">
        <w:rPr>
          <w:rFonts w:ascii="Book Antiqua" w:hAnsi="Book Antiqua"/>
        </w:rPr>
        <w:t xml:space="preserve">ppellant and to the </w:t>
      </w:r>
      <w:r>
        <w:rPr>
          <w:rFonts w:ascii="Book Antiqua" w:hAnsi="Book Antiqua"/>
        </w:rPr>
        <w:t>r</w:t>
      </w:r>
      <w:r w:rsidRPr="00A32B11">
        <w:rPr>
          <w:rFonts w:ascii="Book Antiqua" w:hAnsi="Book Antiqua"/>
        </w:rPr>
        <w:t>espondent.  Failure to comply with this direction could lead to contempt of court proceedings.</w:t>
      </w:r>
    </w:p>
    <w:p w14:paraId="7CFBD14C" w14:textId="77777777" w:rsidR="009F5220" w:rsidRPr="001C5703" w:rsidRDefault="009F5220" w:rsidP="0000252B">
      <w:pPr>
        <w:jc w:val="both"/>
        <w:rPr>
          <w:rFonts w:ascii="Book Antiqua" w:hAnsi="Book Antiqua" w:cs="Arial"/>
        </w:rPr>
      </w:pPr>
    </w:p>
    <w:p w14:paraId="63995EBF" w14:textId="77777777" w:rsidR="001F2716" w:rsidRPr="001C5703" w:rsidRDefault="001F2716" w:rsidP="00780F86">
      <w:pPr>
        <w:ind w:left="540" w:hanging="540"/>
        <w:jc w:val="both"/>
        <w:rPr>
          <w:rFonts w:ascii="Book Antiqua" w:hAnsi="Book Antiqua" w:cs="Arial"/>
        </w:rPr>
      </w:pPr>
    </w:p>
    <w:p w14:paraId="0DD4B542" w14:textId="77777777" w:rsidR="00A509FA" w:rsidRPr="001C5703" w:rsidRDefault="00A509FA" w:rsidP="00780F86">
      <w:pPr>
        <w:ind w:left="540" w:hanging="540"/>
        <w:jc w:val="both"/>
        <w:rPr>
          <w:rFonts w:ascii="Book Antiqua" w:hAnsi="Book Antiqua" w:cs="Arial"/>
        </w:rPr>
      </w:pPr>
    </w:p>
    <w:p w14:paraId="3E76FF45" w14:textId="77777777" w:rsidR="001F2716" w:rsidRPr="001C5703" w:rsidRDefault="001F2716" w:rsidP="00402B9E">
      <w:pPr>
        <w:tabs>
          <w:tab w:val="left" w:pos="2520"/>
        </w:tabs>
        <w:ind w:left="540" w:hanging="540"/>
        <w:jc w:val="both"/>
        <w:rPr>
          <w:rFonts w:ascii="Book Antiqua" w:hAnsi="Book Antiqua" w:cs="Arial"/>
        </w:rPr>
      </w:pPr>
    </w:p>
    <w:p w14:paraId="762BC358" w14:textId="77777777" w:rsidR="001F2716" w:rsidRPr="001C5703" w:rsidRDefault="001F2716" w:rsidP="00402B9E">
      <w:pPr>
        <w:tabs>
          <w:tab w:val="left" w:pos="2520"/>
        </w:tabs>
        <w:ind w:left="540" w:hanging="540"/>
        <w:jc w:val="both"/>
        <w:rPr>
          <w:rFonts w:ascii="Book Antiqua" w:hAnsi="Book Antiqua" w:cs="Arial"/>
        </w:rPr>
      </w:pPr>
    </w:p>
    <w:p w14:paraId="07F1F98A" w14:textId="555CA363" w:rsidR="00B95326" w:rsidRDefault="003543A1" w:rsidP="005D42C5">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842E4B">
        <w:rPr>
          <w:rFonts w:ascii="Book Antiqua" w:hAnsi="Book Antiqua" w:cs="Arial"/>
          <w:color w:val="000000"/>
        </w:rPr>
        <w:t>Kopieczek</w:t>
      </w:r>
      <w:r w:rsidR="0000252B">
        <w:rPr>
          <w:rFonts w:ascii="Book Antiqua" w:hAnsi="Book Antiqua" w:cs="Arial"/>
          <w:color w:val="000000"/>
        </w:rPr>
        <w:tab/>
      </w:r>
      <w:r w:rsidR="0000252B">
        <w:rPr>
          <w:rFonts w:ascii="Book Antiqua" w:hAnsi="Book Antiqua" w:cs="Arial"/>
          <w:color w:val="000000"/>
        </w:rPr>
        <w:tab/>
      </w:r>
      <w:r w:rsidR="0000252B">
        <w:rPr>
          <w:rFonts w:ascii="Book Antiqua" w:hAnsi="Book Antiqua" w:cs="Arial"/>
          <w:color w:val="000000"/>
        </w:rPr>
        <w:tab/>
      </w:r>
      <w:r w:rsidR="0000252B">
        <w:rPr>
          <w:rFonts w:ascii="Book Antiqua" w:hAnsi="Book Antiqua" w:cs="Arial"/>
          <w:color w:val="000000"/>
        </w:rPr>
        <w:tab/>
      </w:r>
      <w:r w:rsidR="0000252B">
        <w:rPr>
          <w:rFonts w:ascii="Book Antiqua" w:hAnsi="Book Antiqua" w:cs="Arial"/>
          <w:color w:val="000000"/>
        </w:rPr>
        <w:tab/>
      </w:r>
      <w:r w:rsidR="0000252B">
        <w:rPr>
          <w:rFonts w:ascii="Book Antiqua" w:hAnsi="Book Antiqua" w:cs="Arial"/>
          <w:color w:val="000000"/>
        </w:rPr>
        <w:tab/>
      </w:r>
      <w:r w:rsidR="00C34B10">
        <w:rPr>
          <w:rFonts w:ascii="Book Antiqua" w:hAnsi="Book Antiqua" w:cs="Arial"/>
          <w:color w:val="000000"/>
        </w:rPr>
        <w:t>1</w:t>
      </w:r>
      <w:r w:rsidR="006329C3">
        <w:rPr>
          <w:rFonts w:ascii="Book Antiqua" w:hAnsi="Book Antiqua" w:cs="Arial"/>
          <w:color w:val="000000"/>
        </w:rPr>
        <w:t>7</w:t>
      </w:r>
      <w:r w:rsidR="00C34B10">
        <w:rPr>
          <w:rFonts w:ascii="Book Antiqua" w:hAnsi="Book Antiqua" w:cs="Arial"/>
          <w:color w:val="000000"/>
        </w:rPr>
        <w:t>/01</w:t>
      </w:r>
      <w:r w:rsidR="0000252B">
        <w:rPr>
          <w:rFonts w:ascii="Book Antiqua" w:hAnsi="Book Antiqua" w:cs="Arial"/>
          <w:color w:val="000000"/>
        </w:rPr>
        <w:t>/1</w:t>
      </w:r>
      <w:r w:rsidR="00C27DBC">
        <w:rPr>
          <w:rFonts w:ascii="Book Antiqua" w:hAnsi="Book Antiqua" w:cs="Arial"/>
          <w:color w:val="000000"/>
        </w:rPr>
        <w:t>9</w:t>
      </w:r>
    </w:p>
    <w:p w14:paraId="68FECC44" w14:textId="77777777" w:rsidR="00A32B11" w:rsidRDefault="00A32B11" w:rsidP="005D42C5">
      <w:pPr>
        <w:tabs>
          <w:tab w:val="left" w:pos="2520"/>
        </w:tabs>
        <w:ind w:left="540" w:hanging="540"/>
        <w:jc w:val="both"/>
        <w:rPr>
          <w:rFonts w:ascii="Book Antiqua" w:hAnsi="Book Antiqua" w:cs="Arial"/>
          <w:color w:val="000000"/>
        </w:rPr>
      </w:pPr>
    </w:p>
    <w:p w14:paraId="11EF4232" w14:textId="77777777" w:rsidR="00A32B11" w:rsidRPr="005D42C5" w:rsidRDefault="00A32B11" w:rsidP="005D42C5">
      <w:pPr>
        <w:tabs>
          <w:tab w:val="left" w:pos="2520"/>
        </w:tabs>
        <w:ind w:left="540" w:hanging="540"/>
        <w:jc w:val="both"/>
        <w:rPr>
          <w:rFonts w:ascii="Book Antiqua" w:hAnsi="Book Antiqua" w:cs="Arial"/>
          <w:color w:val="000000"/>
        </w:rPr>
      </w:pPr>
    </w:p>
    <w:sectPr w:rsidR="00A32B11" w:rsidRPr="005D42C5" w:rsidSect="009372B7">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342DE" w14:textId="77777777" w:rsidR="0024090D" w:rsidRDefault="0024090D">
      <w:r>
        <w:separator/>
      </w:r>
    </w:p>
  </w:endnote>
  <w:endnote w:type="continuationSeparator" w:id="0">
    <w:p w14:paraId="5EF31560" w14:textId="77777777" w:rsidR="0024090D" w:rsidRDefault="00240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8FE48" w14:textId="1A86E981" w:rsidR="0010335F" w:rsidRPr="009372B7" w:rsidRDefault="0010335F" w:rsidP="00593795">
    <w:pPr>
      <w:pStyle w:val="Footer"/>
      <w:jc w:val="center"/>
      <w:rPr>
        <w:rFonts w:ascii="Book Antiqua" w:hAnsi="Book Antiqua" w:cs="Arial"/>
      </w:rPr>
    </w:pPr>
    <w:r w:rsidRPr="009372B7">
      <w:rPr>
        <w:rStyle w:val="PageNumber"/>
        <w:rFonts w:ascii="Book Antiqua" w:hAnsi="Book Antiqua" w:cs="Arial"/>
      </w:rPr>
      <w:fldChar w:fldCharType="begin"/>
    </w:r>
    <w:r w:rsidRPr="009372B7">
      <w:rPr>
        <w:rStyle w:val="PageNumber"/>
        <w:rFonts w:ascii="Book Antiqua" w:hAnsi="Book Antiqua" w:cs="Arial"/>
      </w:rPr>
      <w:instrText xml:space="preserve"> PAGE </w:instrText>
    </w:r>
    <w:r w:rsidRPr="009372B7">
      <w:rPr>
        <w:rStyle w:val="PageNumber"/>
        <w:rFonts w:ascii="Book Antiqua" w:hAnsi="Book Antiqua" w:cs="Arial"/>
      </w:rPr>
      <w:fldChar w:fldCharType="separate"/>
    </w:r>
    <w:r w:rsidR="00195D76">
      <w:rPr>
        <w:rStyle w:val="PageNumber"/>
        <w:rFonts w:ascii="Book Antiqua" w:hAnsi="Book Antiqua" w:cs="Arial"/>
        <w:noProof/>
      </w:rPr>
      <w:t>10</w:t>
    </w:r>
    <w:r w:rsidRPr="009372B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D04FD" w14:textId="01F791E4"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C70B68">
      <w:rPr>
        <w:rFonts w:ascii="Book Antiqua" w:hAnsi="Book Antiqua" w:cs="Arial"/>
        <w:b/>
      </w:rPr>
      <w:t xml:space="preserve"> CROWN COPYRIGHT 201</w:t>
    </w:r>
    <w:r w:rsidR="00A4648C">
      <w:rPr>
        <w:rFonts w:ascii="Book Antiqua" w:hAnsi="Book Antiqua" w:cs="Arial"/>
        <w: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D3916" w14:textId="77777777" w:rsidR="0024090D" w:rsidRDefault="0024090D">
      <w:r>
        <w:separator/>
      </w:r>
    </w:p>
  </w:footnote>
  <w:footnote w:type="continuationSeparator" w:id="0">
    <w:p w14:paraId="39AD3373" w14:textId="77777777" w:rsidR="0024090D" w:rsidRDefault="00240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11E6C" w14:textId="60734EC6" w:rsidR="0010335F"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402401" w:rsidRPr="00402401">
      <w:rPr>
        <w:rFonts w:ascii="Book Antiqua" w:hAnsi="Book Antiqua" w:cs="Arial"/>
        <w:sz w:val="16"/>
        <w:szCs w:val="16"/>
      </w:rPr>
      <w:t>RP/00139/2017</w:t>
    </w:r>
  </w:p>
  <w:p w14:paraId="42A1F2B2" w14:textId="77777777" w:rsidR="009372B7" w:rsidRPr="001C5703" w:rsidRDefault="009372B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1AC37" w14:textId="6153736E"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0A444458"/>
    <w:lvl w:ilvl="0">
      <w:start w:val="1"/>
      <w:numFmt w:val="decimal"/>
      <w:lvlText w:val="%1."/>
      <w:lvlJc w:val="left"/>
      <w:pPr>
        <w:tabs>
          <w:tab w:val="num" w:pos="567"/>
        </w:tabs>
        <w:ind w:left="567" w:hanging="567"/>
      </w:pPr>
      <w:rPr>
        <w:rFonts w:hint="default"/>
        <w:i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88"/>
    <w:rsid w:val="00000621"/>
    <w:rsid w:val="00000A61"/>
    <w:rsid w:val="0000252B"/>
    <w:rsid w:val="000036C2"/>
    <w:rsid w:val="0000520C"/>
    <w:rsid w:val="000052A7"/>
    <w:rsid w:val="000107B5"/>
    <w:rsid w:val="000132CF"/>
    <w:rsid w:val="00017416"/>
    <w:rsid w:val="00027B18"/>
    <w:rsid w:val="0003019C"/>
    <w:rsid w:val="00033D3D"/>
    <w:rsid w:val="00034E58"/>
    <w:rsid w:val="00044B55"/>
    <w:rsid w:val="00050454"/>
    <w:rsid w:val="00061E7F"/>
    <w:rsid w:val="00062F02"/>
    <w:rsid w:val="00067358"/>
    <w:rsid w:val="000718E5"/>
    <w:rsid w:val="00071A7E"/>
    <w:rsid w:val="000746C0"/>
    <w:rsid w:val="000746DF"/>
    <w:rsid w:val="00074D1D"/>
    <w:rsid w:val="00074FBF"/>
    <w:rsid w:val="00075E85"/>
    <w:rsid w:val="00085075"/>
    <w:rsid w:val="00092580"/>
    <w:rsid w:val="000926D4"/>
    <w:rsid w:val="00093D4D"/>
    <w:rsid w:val="00094611"/>
    <w:rsid w:val="000A30E2"/>
    <w:rsid w:val="000A347E"/>
    <w:rsid w:val="000B200C"/>
    <w:rsid w:val="000B31AD"/>
    <w:rsid w:val="000B76CA"/>
    <w:rsid w:val="000D0983"/>
    <w:rsid w:val="000D28B8"/>
    <w:rsid w:val="000D3875"/>
    <w:rsid w:val="000D48BA"/>
    <w:rsid w:val="000D5D94"/>
    <w:rsid w:val="000D7519"/>
    <w:rsid w:val="000D7956"/>
    <w:rsid w:val="000E28AE"/>
    <w:rsid w:val="000F0B3C"/>
    <w:rsid w:val="000F1A0E"/>
    <w:rsid w:val="000F2591"/>
    <w:rsid w:val="000F30BD"/>
    <w:rsid w:val="000F3697"/>
    <w:rsid w:val="000F4943"/>
    <w:rsid w:val="000F7728"/>
    <w:rsid w:val="00101B60"/>
    <w:rsid w:val="0010335F"/>
    <w:rsid w:val="0010523C"/>
    <w:rsid w:val="00115CAC"/>
    <w:rsid w:val="001165A7"/>
    <w:rsid w:val="001200B6"/>
    <w:rsid w:val="00120BB6"/>
    <w:rsid w:val="001220C3"/>
    <w:rsid w:val="00122BF6"/>
    <w:rsid w:val="00122C12"/>
    <w:rsid w:val="00125BD9"/>
    <w:rsid w:val="001267B7"/>
    <w:rsid w:val="00126B9A"/>
    <w:rsid w:val="0013245B"/>
    <w:rsid w:val="00133C9E"/>
    <w:rsid w:val="001346A3"/>
    <w:rsid w:val="0013655E"/>
    <w:rsid w:val="00136BDA"/>
    <w:rsid w:val="00136D21"/>
    <w:rsid w:val="00142232"/>
    <w:rsid w:val="00157286"/>
    <w:rsid w:val="00157A77"/>
    <w:rsid w:val="001652F0"/>
    <w:rsid w:val="00167D3A"/>
    <w:rsid w:val="00174A01"/>
    <w:rsid w:val="001801C7"/>
    <w:rsid w:val="0018317B"/>
    <w:rsid w:val="00183F6D"/>
    <w:rsid w:val="001863AA"/>
    <w:rsid w:val="001875A3"/>
    <w:rsid w:val="001936CC"/>
    <w:rsid w:val="00195B33"/>
    <w:rsid w:val="00195D76"/>
    <w:rsid w:val="001A0D96"/>
    <w:rsid w:val="001A0EAC"/>
    <w:rsid w:val="001A10BA"/>
    <w:rsid w:val="001A2C1B"/>
    <w:rsid w:val="001A3082"/>
    <w:rsid w:val="001A4106"/>
    <w:rsid w:val="001A5C88"/>
    <w:rsid w:val="001A6885"/>
    <w:rsid w:val="001B186A"/>
    <w:rsid w:val="001B1E57"/>
    <w:rsid w:val="001B2F75"/>
    <w:rsid w:val="001B35DC"/>
    <w:rsid w:val="001C1B92"/>
    <w:rsid w:val="001C438F"/>
    <w:rsid w:val="001C53C0"/>
    <w:rsid w:val="001C55EE"/>
    <w:rsid w:val="001C5703"/>
    <w:rsid w:val="001C68B7"/>
    <w:rsid w:val="001C721A"/>
    <w:rsid w:val="001C76BA"/>
    <w:rsid w:val="001D39EF"/>
    <w:rsid w:val="001D3B0A"/>
    <w:rsid w:val="001D4F96"/>
    <w:rsid w:val="001D542A"/>
    <w:rsid w:val="001D605E"/>
    <w:rsid w:val="001D7CE4"/>
    <w:rsid w:val="001E050B"/>
    <w:rsid w:val="001E40AC"/>
    <w:rsid w:val="001E512B"/>
    <w:rsid w:val="001F2716"/>
    <w:rsid w:val="00207617"/>
    <w:rsid w:val="00211EDF"/>
    <w:rsid w:val="00212A0D"/>
    <w:rsid w:val="00215CC9"/>
    <w:rsid w:val="00216A0C"/>
    <w:rsid w:val="00217E5F"/>
    <w:rsid w:val="00220899"/>
    <w:rsid w:val="00223D84"/>
    <w:rsid w:val="00230F83"/>
    <w:rsid w:val="0023134B"/>
    <w:rsid w:val="00234F18"/>
    <w:rsid w:val="0024090D"/>
    <w:rsid w:val="002409AE"/>
    <w:rsid w:val="00244044"/>
    <w:rsid w:val="00244F0A"/>
    <w:rsid w:val="00256C17"/>
    <w:rsid w:val="002602D6"/>
    <w:rsid w:val="00265BF6"/>
    <w:rsid w:val="00267B60"/>
    <w:rsid w:val="0028263E"/>
    <w:rsid w:val="00283659"/>
    <w:rsid w:val="00284A9E"/>
    <w:rsid w:val="00286941"/>
    <w:rsid w:val="00297DDF"/>
    <w:rsid w:val="002A0082"/>
    <w:rsid w:val="002A16FD"/>
    <w:rsid w:val="002A4355"/>
    <w:rsid w:val="002A5E77"/>
    <w:rsid w:val="002A7640"/>
    <w:rsid w:val="002B085A"/>
    <w:rsid w:val="002B150D"/>
    <w:rsid w:val="002B6DBC"/>
    <w:rsid w:val="002C5CF5"/>
    <w:rsid w:val="002C5ED9"/>
    <w:rsid w:val="002C6BD4"/>
    <w:rsid w:val="002D68BF"/>
    <w:rsid w:val="002E5E53"/>
    <w:rsid w:val="002F13D2"/>
    <w:rsid w:val="002F6B98"/>
    <w:rsid w:val="00302A0B"/>
    <w:rsid w:val="003058D5"/>
    <w:rsid w:val="00311C6D"/>
    <w:rsid w:val="00311D54"/>
    <w:rsid w:val="003127BB"/>
    <w:rsid w:val="003205A5"/>
    <w:rsid w:val="003308C9"/>
    <w:rsid w:val="00331318"/>
    <w:rsid w:val="00336CBF"/>
    <w:rsid w:val="00340D33"/>
    <w:rsid w:val="00341374"/>
    <w:rsid w:val="003420E6"/>
    <w:rsid w:val="00343DF8"/>
    <w:rsid w:val="00343FE3"/>
    <w:rsid w:val="00347536"/>
    <w:rsid w:val="003519E0"/>
    <w:rsid w:val="003543A1"/>
    <w:rsid w:val="003546C8"/>
    <w:rsid w:val="00357F6D"/>
    <w:rsid w:val="00363528"/>
    <w:rsid w:val="00366640"/>
    <w:rsid w:val="003706F6"/>
    <w:rsid w:val="003758CD"/>
    <w:rsid w:val="003810A1"/>
    <w:rsid w:val="0038352E"/>
    <w:rsid w:val="00387A65"/>
    <w:rsid w:val="003900A3"/>
    <w:rsid w:val="00392CED"/>
    <w:rsid w:val="003A7CF2"/>
    <w:rsid w:val="003B05A9"/>
    <w:rsid w:val="003B712B"/>
    <w:rsid w:val="003C4A3A"/>
    <w:rsid w:val="003C506A"/>
    <w:rsid w:val="003C5B67"/>
    <w:rsid w:val="003C5CE5"/>
    <w:rsid w:val="003D06DF"/>
    <w:rsid w:val="003D212F"/>
    <w:rsid w:val="003D5328"/>
    <w:rsid w:val="003D67E0"/>
    <w:rsid w:val="003E267B"/>
    <w:rsid w:val="003E7299"/>
    <w:rsid w:val="003E78C1"/>
    <w:rsid w:val="003E7CD1"/>
    <w:rsid w:val="003F2487"/>
    <w:rsid w:val="003F29B7"/>
    <w:rsid w:val="003F6AF5"/>
    <w:rsid w:val="003F72FC"/>
    <w:rsid w:val="00400D78"/>
    <w:rsid w:val="00401D0E"/>
    <w:rsid w:val="00402401"/>
    <w:rsid w:val="00402B9E"/>
    <w:rsid w:val="00407965"/>
    <w:rsid w:val="0041084E"/>
    <w:rsid w:val="00416667"/>
    <w:rsid w:val="0042112B"/>
    <w:rsid w:val="00423FE0"/>
    <w:rsid w:val="004249CB"/>
    <w:rsid w:val="00425822"/>
    <w:rsid w:val="004276CA"/>
    <w:rsid w:val="0044127D"/>
    <w:rsid w:val="00443098"/>
    <w:rsid w:val="004448DB"/>
    <w:rsid w:val="0044530B"/>
    <w:rsid w:val="00446C9A"/>
    <w:rsid w:val="004476D2"/>
    <w:rsid w:val="00452F2B"/>
    <w:rsid w:val="00454BD0"/>
    <w:rsid w:val="00472A80"/>
    <w:rsid w:val="00477193"/>
    <w:rsid w:val="004871D1"/>
    <w:rsid w:val="00487FED"/>
    <w:rsid w:val="004A1848"/>
    <w:rsid w:val="004A208D"/>
    <w:rsid w:val="004A2A07"/>
    <w:rsid w:val="004A3111"/>
    <w:rsid w:val="004A53FC"/>
    <w:rsid w:val="004A6F4A"/>
    <w:rsid w:val="004A7B2C"/>
    <w:rsid w:val="004D6A14"/>
    <w:rsid w:val="004E4717"/>
    <w:rsid w:val="004E5B13"/>
    <w:rsid w:val="004F5F4C"/>
    <w:rsid w:val="00504A56"/>
    <w:rsid w:val="005079D5"/>
    <w:rsid w:val="00507FEC"/>
    <w:rsid w:val="00510F0E"/>
    <w:rsid w:val="005154C0"/>
    <w:rsid w:val="00516FE6"/>
    <w:rsid w:val="00520345"/>
    <w:rsid w:val="0052070D"/>
    <w:rsid w:val="00521354"/>
    <w:rsid w:val="00535673"/>
    <w:rsid w:val="00537221"/>
    <w:rsid w:val="0053729D"/>
    <w:rsid w:val="00544919"/>
    <w:rsid w:val="005479E1"/>
    <w:rsid w:val="00552779"/>
    <w:rsid w:val="00553E0A"/>
    <w:rsid w:val="005565ED"/>
    <w:rsid w:val="005569E2"/>
    <w:rsid w:val="005570FD"/>
    <w:rsid w:val="005575EA"/>
    <w:rsid w:val="00560912"/>
    <w:rsid w:val="00561AC2"/>
    <w:rsid w:val="00572DB1"/>
    <w:rsid w:val="00572FD2"/>
    <w:rsid w:val="0057676B"/>
    <w:rsid w:val="0057790C"/>
    <w:rsid w:val="00580F6C"/>
    <w:rsid w:val="005831B0"/>
    <w:rsid w:val="00593795"/>
    <w:rsid w:val="005A3DE9"/>
    <w:rsid w:val="005A75FF"/>
    <w:rsid w:val="005B1413"/>
    <w:rsid w:val="005B1C60"/>
    <w:rsid w:val="005C208B"/>
    <w:rsid w:val="005C2DBC"/>
    <w:rsid w:val="005C7D3F"/>
    <w:rsid w:val="005D10AB"/>
    <w:rsid w:val="005D2158"/>
    <w:rsid w:val="005D42C5"/>
    <w:rsid w:val="005E4D6E"/>
    <w:rsid w:val="005E5228"/>
    <w:rsid w:val="005E76F2"/>
    <w:rsid w:val="005F2B17"/>
    <w:rsid w:val="005F3835"/>
    <w:rsid w:val="005F568B"/>
    <w:rsid w:val="005F76BA"/>
    <w:rsid w:val="00601D8F"/>
    <w:rsid w:val="00607153"/>
    <w:rsid w:val="00610446"/>
    <w:rsid w:val="00610C8D"/>
    <w:rsid w:val="00621F0F"/>
    <w:rsid w:val="006329C3"/>
    <w:rsid w:val="006335B9"/>
    <w:rsid w:val="006427FB"/>
    <w:rsid w:val="00645226"/>
    <w:rsid w:val="00646611"/>
    <w:rsid w:val="00646F09"/>
    <w:rsid w:val="00653E97"/>
    <w:rsid w:val="00654FF2"/>
    <w:rsid w:val="00655923"/>
    <w:rsid w:val="00662C90"/>
    <w:rsid w:val="00662E8B"/>
    <w:rsid w:val="0066522A"/>
    <w:rsid w:val="00665B95"/>
    <w:rsid w:val="006704FC"/>
    <w:rsid w:val="006709E9"/>
    <w:rsid w:val="00674087"/>
    <w:rsid w:val="0068009F"/>
    <w:rsid w:val="00683FF7"/>
    <w:rsid w:val="00684A74"/>
    <w:rsid w:val="0068759F"/>
    <w:rsid w:val="006878F3"/>
    <w:rsid w:val="00690B8A"/>
    <w:rsid w:val="00691F47"/>
    <w:rsid w:val="00694ADF"/>
    <w:rsid w:val="0069508B"/>
    <w:rsid w:val="006A076B"/>
    <w:rsid w:val="006A661C"/>
    <w:rsid w:val="006A6D76"/>
    <w:rsid w:val="006C1E52"/>
    <w:rsid w:val="006C6927"/>
    <w:rsid w:val="006D5CE4"/>
    <w:rsid w:val="006E0200"/>
    <w:rsid w:val="006E6D76"/>
    <w:rsid w:val="006F2CF1"/>
    <w:rsid w:val="006F3929"/>
    <w:rsid w:val="006F3F32"/>
    <w:rsid w:val="007038ED"/>
    <w:rsid w:val="00703BC3"/>
    <w:rsid w:val="00704B61"/>
    <w:rsid w:val="00706231"/>
    <w:rsid w:val="0073271F"/>
    <w:rsid w:val="00736528"/>
    <w:rsid w:val="00736DB0"/>
    <w:rsid w:val="007372DE"/>
    <w:rsid w:val="0074059D"/>
    <w:rsid w:val="00745B3F"/>
    <w:rsid w:val="007479F6"/>
    <w:rsid w:val="00751806"/>
    <w:rsid w:val="007552A9"/>
    <w:rsid w:val="00761858"/>
    <w:rsid w:val="00763AF5"/>
    <w:rsid w:val="00766507"/>
    <w:rsid w:val="00767D59"/>
    <w:rsid w:val="00776E97"/>
    <w:rsid w:val="00780A2F"/>
    <w:rsid w:val="00780F86"/>
    <w:rsid w:val="00781EB1"/>
    <w:rsid w:val="00786952"/>
    <w:rsid w:val="00787CF8"/>
    <w:rsid w:val="007912AD"/>
    <w:rsid w:val="00791485"/>
    <w:rsid w:val="007976AD"/>
    <w:rsid w:val="007A09A8"/>
    <w:rsid w:val="007A4FB1"/>
    <w:rsid w:val="007A64E6"/>
    <w:rsid w:val="007B0824"/>
    <w:rsid w:val="007B0B95"/>
    <w:rsid w:val="007B5D3C"/>
    <w:rsid w:val="007C1FC3"/>
    <w:rsid w:val="007C50C7"/>
    <w:rsid w:val="007C6C06"/>
    <w:rsid w:val="007D1B89"/>
    <w:rsid w:val="007D2889"/>
    <w:rsid w:val="007D3301"/>
    <w:rsid w:val="007D380A"/>
    <w:rsid w:val="007E169C"/>
    <w:rsid w:val="007E209E"/>
    <w:rsid w:val="00802FCC"/>
    <w:rsid w:val="008034AA"/>
    <w:rsid w:val="00814344"/>
    <w:rsid w:val="00821B72"/>
    <w:rsid w:val="00823097"/>
    <w:rsid w:val="00823EF2"/>
    <w:rsid w:val="008245F5"/>
    <w:rsid w:val="00824EFC"/>
    <w:rsid w:val="00825DDF"/>
    <w:rsid w:val="00827CD3"/>
    <w:rsid w:val="008303B8"/>
    <w:rsid w:val="0083159C"/>
    <w:rsid w:val="008317F5"/>
    <w:rsid w:val="00833DCE"/>
    <w:rsid w:val="008347CA"/>
    <w:rsid w:val="00834D76"/>
    <w:rsid w:val="0083504E"/>
    <w:rsid w:val="00835494"/>
    <w:rsid w:val="00842E4B"/>
    <w:rsid w:val="00843C51"/>
    <w:rsid w:val="00847314"/>
    <w:rsid w:val="00857B2E"/>
    <w:rsid w:val="00863438"/>
    <w:rsid w:val="00871D34"/>
    <w:rsid w:val="00881F67"/>
    <w:rsid w:val="00887FAB"/>
    <w:rsid w:val="00891277"/>
    <w:rsid w:val="00893705"/>
    <w:rsid w:val="00896580"/>
    <w:rsid w:val="0089714B"/>
    <w:rsid w:val="008A030A"/>
    <w:rsid w:val="008A03DD"/>
    <w:rsid w:val="008A5DC9"/>
    <w:rsid w:val="008A60CC"/>
    <w:rsid w:val="008B21FC"/>
    <w:rsid w:val="008B270C"/>
    <w:rsid w:val="008B4A2B"/>
    <w:rsid w:val="008B5078"/>
    <w:rsid w:val="008B7F1B"/>
    <w:rsid w:val="008C3D3D"/>
    <w:rsid w:val="008C5987"/>
    <w:rsid w:val="008D092F"/>
    <w:rsid w:val="008D1AA2"/>
    <w:rsid w:val="008D4131"/>
    <w:rsid w:val="008E1011"/>
    <w:rsid w:val="008E3CBA"/>
    <w:rsid w:val="008E683F"/>
    <w:rsid w:val="008E6AC5"/>
    <w:rsid w:val="008F1932"/>
    <w:rsid w:val="008F1CBE"/>
    <w:rsid w:val="008F1D1C"/>
    <w:rsid w:val="008F23C7"/>
    <w:rsid w:val="008F5895"/>
    <w:rsid w:val="008F73FA"/>
    <w:rsid w:val="009012B7"/>
    <w:rsid w:val="00904924"/>
    <w:rsid w:val="00910852"/>
    <w:rsid w:val="009136B6"/>
    <w:rsid w:val="00914568"/>
    <w:rsid w:val="009153CA"/>
    <w:rsid w:val="00916D8E"/>
    <w:rsid w:val="00921062"/>
    <w:rsid w:val="009229EF"/>
    <w:rsid w:val="00926383"/>
    <w:rsid w:val="00931ADD"/>
    <w:rsid w:val="00931FE8"/>
    <w:rsid w:val="00932278"/>
    <w:rsid w:val="00932524"/>
    <w:rsid w:val="009372B7"/>
    <w:rsid w:val="009405A9"/>
    <w:rsid w:val="00951507"/>
    <w:rsid w:val="00954098"/>
    <w:rsid w:val="00961847"/>
    <w:rsid w:val="00962C88"/>
    <w:rsid w:val="009722BC"/>
    <w:rsid w:val="009727A3"/>
    <w:rsid w:val="00972C6C"/>
    <w:rsid w:val="00975E01"/>
    <w:rsid w:val="00982067"/>
    <w:rsid w:val="009870A9"/>
    <w:rsid w:val="00987774"/>
    <w:rsid w:val="00987CDC"/>
    <w:rsid w:val="00990870"/>
    <w:rsid w:val="00993E32"/>
    <w:rsid w:val="00994182"/>
    <w:rsid w:val="00994573"/>
    <w:rsid w:val="00994AC1"/>
    <w:rsid w:val="00994B1D"/>
    <w:rsid w:val="009A0C11"/>
    <w:rsid w:val="009A11E8"/>
    <w:rsid w:val="009B0BDC"/>
    <w:rsid w:val="009B4C4C"/>
    <w:rsid w:val="009B7D32"/>
    <w:rsid w:val="009C32F2"/>
    <w:rsid w:val="009C3BFC"/>
    <w:rsid w:val="009C405B"/>
    <w:rsid w:val="009C51B8"/>
    <w:rsid w:val="009D2F86"/>
    <w:rsid w:val="009D51B0"/>
    <w:rsid w:val="009D67ED"/>
    <w:rsid w:val="009E03DC"/>
    <w:rsid w:val="009E2248"/>
    <w:rsid w:val="009E757F"/>
    <w:rsid w:val="009F5220"/>
    <w:rsid w:val="00A03BC2"/>
    <w:rsid w:val="00A0784C"/>
    <w:rsid w:val="00A13DA7"/>
    <w:rsid w:val="00A15234"/>
    <w:rsid w:val="00A201AB"/>
    <w:rsid w:val="00A20948"/>
    <w:rsid w:val="00A23270"/>
    <w:rsid w:val="00A23575"/>
    <w:rsid w:val="00A240A1"/>
    <w:rsid w:val="00A24FB5"/>
    <w:rsid w:val="00A25623"/>
    <w:rsid w:val="00A272D3"/>
    <w:rsid w:val="00A31C8B"/>
    <w:rsid w:val="00A32B11"/>
    <w:rsid w:val="00A40283"/>
    <w:rsid w:val="00A41D1B"/>
    <w:rsid w:val="00A4648C"/>
    <w:rsid w:val="00A509FA"/>
    <w:rsid w:val="00A51701"/>
    <w:rsid w:val="00A5553E"/>
    <w:rsid w:val="00A56519"/>
    <w:rsid w:val="00A56A49"/>
    <w:rsid w:val="00A57B3D"/>
    <w:rsid w:val="00A63D37"/>
    <w:rsid w:val="00A64373"/>
    <w:rsid w:val="00A71494"/>
    <w:rsid w:val="00A76182"/>
    <w:rsid w:val="00A77DF1"/>
    <w:rsid w:val="00A81751"/>
    <w:rsid w:val="00A845DC"/>
    <w:rsid w:val="00A85FFF"/>
    <w:rsid w:val="00A93712"/>
    <w:rsid w:val="00A971F5"/>
    <w:rsid w:val="00AA16EE"/>
    <w:rsid w:val="00AA748E"/>
    <w:rsid w:val="00AB5E48"/>
    <w:rsid w:val="00AB7E9A"/>
    <w:rsid w:val="00AB7F0E"/>
    <w:rsid w:val="00AC53BC"/>
    <w:rsid w:val="00AD2184"/>
    <w:rsid w:val="00AD21DC"/>
    <w:rsid w:val="00AD43A9"/>
    <w:rsid w:val="00AD4834"/>
    <w:rsid w:val="00AD7909"/>
    <w:rsid w:val="00AE370B"/>
    <w:rsid w:val="00AE7219"/>
    <w:rsid w:val="00B027F8"/>
    <w:rsid w:val="00B03889"/>
    <w:rsid w:val="00B072E3"/>
    <w:rsid w:val="00B138FC"/>
    <w:rsid w:val="00B26AA2"/>
    <w:rsid w:val="00B3524D"/>
    <w:rsid w:val="00B35CD5"/>
    <w:rsid w:val="00B40F69"/>
    <w:rsid w:val="00B46616"/>
    <w:rsid w:val="00B46942"/>
    <w:rsid w:val="00B478C2"/>
    <w:rsid w:val="00B53E03"/>
    <w:rsid w:val="00B56B2E"/>
    <w:rsid w:val="00B6036A"/>
    <w:rsid w:val="00B60B58"/>
    <w:rsid w:val="00B656DA"/>
    <w:rsid w:val="00B7040A"/>
    <w:rsid w:val="00B76FB0"/>
    <w:rsid w:val="00B80729"/>
    <w:rsid w:val="00B83391"/>
    <w:rsid w:val="00B84548"/>
    <w:rsid w:val="00B95326"/>
    <w:rsid w:val="00B96169"/>
    <w:rsid w:val="00BA1499"/>
    <w:rsid w:val="00BA1DFC"/>
    <w:rsid w:val="00BA33C1"/>
    <w:rsid w:val="00BA3A97"/>
    <w:rsid w:val="00BB79CF"/>
    <w:rsid w:val="00BC3EF3"/>
    <w:rsid w:val="00BD1977"/>
    <w:rsid w:val="00BD4196"/>
    <w:rsid w:val="00BD635C"/>
    <w:rsid w:val="00BE0C96"/>
    <w:rsid w:val="00BE2814"/>
    <w:rsid w:val="00BE2B9B"/>
    <w:rsid w:val="00BE5CAE"/>
    <w:rsid w:val="00BE661F"/>
    <w:rsid w:val="00BE6786"/>
    <w:rsid w:val="00BF0DB8"/>
    <w:rsid w:val="00BF22CA"/>
    <w:rsid w:val="00BF23BB"/>
    <w:rsid w:val="00BF4D36"/>
    <w:rsid w:val="00C02167"/>
    <w:rsid w:val="00C04BEC"/>
    <w:rsid w:val="00C04EA1"/>
    <w:rsid w:val="00C10DEC"/>
    <w:rsid w:val="00C1301B"/>
    <w:rsid w:val="00C14DFD"/>
    <w:rsid w:val="00C15550"/>
    <w:rsid w:val="00C23729"/>
    <w:rsid w:val="00C24D4A"/>
    <w:rsid w:val="00C26032"/>
    <w:rsid w:val="00C27DBC"/>
    <w:rsid w:val="00C27F77"/>
    <w:rsid w:val="00C337C5"/>
    <w:rsid w:val="00C345E1"/>
    <w:rsid w:val="00C34B10"/>
    <w:rsid w:val="00C360B2"/>
    <w:rsid w:val="00C36376"/>
    <w:rsid w:val="00C371DA"/>
    <w:rsid w:val="00C43BFD"/>
    <w:rsid w:val="00C44C85"/>
    <w:rsid w:val="00C518CA"/>
    <w:rsid w:val="00C521F8"/>
    <w:rsid w:val="00C53DE6"/>
    <w:rsid w:val="00C55ED2"/>
    <w:rsid w:val="00C60FB4"/>
    <w:rsid w:val="00C61411"/>
    <w:rsid w:val="00C62169"/>
    <w:rsid w:val="00C70B68"/>
    <w:rsid w:val="00C7519B"/>
    <w:rsid w:val="00C75A49"/>
    <w:rsid w:val="00C80C22"/>
    <w:rsid w:val="00C823AB"/>
    <w:rsid w:val="00C834F0"/>
    <w:rsid w:val="00C85853"/>
    <w:rsid w:val="00C87CEE"/>
    <w:rsid w:val="00C9210F"/>
    <w:rsid w:val="00C928E3"/>
    <w:rsid w:val="00C95C56"/>
    <w:rsid w:val="00C96774"/>
    <w:rsid w:val="00C97AD2"/>
    <w:rsid w:val="00CA0A75"/>
    <w:rsid w:val="00CA5ABA"/>
    <w:rsid w:val="00CA7028"/>
    <w:rsid w:val="00CB4A74"/>
    <w:rsid w:val="00CB6E35"/>
    <w:rsid w:val="00CC3031"/>
    <w:rsid w:val="00CC3282"/>
    <w:rsid w:val="00CC74CF"/>
    <w:rsid w:val="00CD461A"/>
    <w:rsid w:val="00CD6D96"/>
    <w:rsid w:val="00CE1A46"/>
    <w:rsid w:val="00CE6311"/>
    <w:rsid w:val="00CE7287"/>
    <w:rsid w:val="00CF1776"/>
    <w:rsid w:val="00CF2C06"/>
    <w:rsid w:val="00D01EDB"/>
    <w:rsid w:val="00D0372F"/>
    <w:rsid w:val="00D04F58"/>
    <w:rsid w:val="00D07ED8"/>
    <w:rsid w:val="00D10E92"/>
    <w:rsid w:val="00D165A4"/>
    <w:rsid w:val="00D20757"/>
    <w:rsid w:val="00D21A1B"/>
    <w:rsid w:val="00D22636"/>
    <w:rsid w:val="00D258FC"/>
    <w:rsid w:val="00D268E7"/>
    <w:rsid w:val="00D35AC0"/>
    <w:rsid w:val="00D36920"/>
    <w:rsid w:val="00D40FD9"/>
    <w:rsid w:val="00D4134F"/>
    <w:rsid w:val="00D449A7"/>
    <w:rsid w:val="00D4505E"/>
    <w:rsid w:val="00D53769"/>
    <w:rsid w:val="00D56AA8"/>
    <w:rsid w:val="00D64505"/>
    <w:rsid w:val="00D67ACD"/>
    <w:rsid w:val="00D72D2F"/>
    <w:rsid w:val="00D73B5B"/>
    <w:rsid w:val="00D85443"/>
    <w:rsid w:val="00D85C13"/>
    <w:rsid w:val="00D9111A"/>
    <w:rsid w:val="00D91BE3"/>
    <w:rsid w:val="00D9227C"/>
    <w:rsid w:val="00D93488"/>
    <w:rsid w:val="00D94AFC"/>
    <w:rsid w:val="00D96B22"/>
    <w:rsid w:val="00DA31D0"/>
    <w:rsid w:val="00DA37EE"/>
    <w:rsid w:val="00DA5A9A"/>
    <w:rsid w:val="00DA6511"/>
    <w:rsid w:val="00DB3D03"/>
    <w:rsid w:val="00DB70AE"/>
    <w:rsid w:val="00DB7305"/>
    <w:rsid w:val="00DC03C5"/>
    <w:rsid w:val="00DC20DD"/>
    <w:rsid w:val="00DD5071"/>
    <w:rsid w:val="00DD5C39"/>
    <w:rsid w:val="00DE0177"/>
    <w:rsid w:val="00DE0194"/>
    <w:rsid w:val="00DE46D2"/>
    <w:rsid w:val="00DE508D"/>
    <w:rsid w:val="00DE7D4E"/>
    <w:rsid w:val="00DE7DB7"/>
    <w:rsid w:val="00DF2CF0"/>
    <w:rsid w:val="00E005C3"/>
    <w:rsid w:val="00E00A0A"/>
    <w:rsid w:val="00E02808"/>
    <w:rsid w:val="00E0362B"/>
    <w:rsid w:val="00E041EE"/>
    <w:rsid w:val="00E066DE"/>
    <w:rsid w:val="00E07F57"/>
    <w:rsid w:val="00E151E9"/>
    <w:rsid w:val="00E219DB"/>
    <w:rsid w:val="00E30683"/>
    <w:rsid w:val="00E315B2"/>
    <w:rsid w:val="00E33EF6"/>
    <w:rsid w:val="00E34576"/>
    <w:rsid w:val="00E41509"/>
    <w:rsid w:val="00E453D8"/>
    <w:rsid w:val="00E471E9"/>
    <w:rsid w:val="00E50BCE"/>
    <w:rsid w:val="00E52406"/>
    <w:rsid w:val="00E52A0D"/>
    <w:rsid w:val="00E56037"/>
    <w:rsid w:val="00E574BF"/>
    <w:rsid w:val="00E57DC8"/>
    <w:rsid w:val="00E61292"/>
    <w:rsid w:val="00E63FE6"/>
    <w:rsid w:val="00E664A9"/>
    <w:rsid w:val="00E74DB6"/>
    <w:rsid w:val="00E77C4D"/>
    <w:rsid w:val="00E81D01"/>
    <w:rsid w:val="00E85EC4"/>
    <w:rsid w:val="00EA0822"/>
    <w:rsid w:val="00EB002F"/>
    <w:rsid w:val="00EB3609"/>
    <w:rsid w:val="00EC23F8"/>
    <w:rsid w:val="00ED37D5"/>
    <w:rsid w:val="00ED6297"/>
    <w:rsid w:val="00ED6DFB"/>
    <w:rsid w:val="00EE28DD"/>
    <w:rsid w:val="00EE2CC5"/>
    <w:rsid w:val="00EE45D8"/>
    <w:rsid w:val="00EE4E2C"/>
    <w:rsid w:val="00F05770"/>
    <w:rsid w:val="00F1535C"/>
    <w:rsid w:val="00F203EB"/>
    <w:rsid w:val="00F22EDA"/>
    <w:rsid w:val="00F2459F"/>
    <w:rsid w:val="00F24E8F"/>
    <w:rsid w:val="00F33CD0"/>
    <w:rsid w:val="00F35A53"/>
    <w:rsid w:val="00F35CB9"/>
    <w:rsid w:val="00F35FEE"/>
    <w:rsid w:val="00F364CE"/>
    <w:rsid w:val="00F42286"/>
    <w:rsid w:val="00F42F91"/>
    <w:rsid w:val="00F43F1E"/>
    <w:rsid w:val="00F56685"/>
    <w:rsid w:val="00F575A0"/>
    <w:rsid w:val="00F676CC"/>
    <w:rsid w:val="00F67FF1"/>
    <w:rsid w:val="00F71B9D"/>
    <w:rsid w:val="00F824FE"/>
    <w:rsid w:val="00F849CF"/>
    <w:rsid w:val="00F905EA"/>
    <w:rsid w:val="00F9309F"/>
    <w:rsid w:val="00F93462"/>
    <w:rsid w:val="00FB00B3"/>
    <w:rsid w:val="00FB027C"/>
    <w:rsid w:val="00FB5F26"/>
    <w:rsid w:val="00FC1DE7"/>
    <w:rsid w:val="00FD4509"/>
    <w:rsid w:val="00FD45EC"/>
    <w:rsid w:val="00FE0151"/>
    <w:rsid w:val="00FF15CD"/>
    <w:rsid w:val="00FF4E36"/>
    <w:rsid w:val="00FF6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135E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28263E"/>
    <w:pPr>
      <w:ind w:left="720"/>
      <w:contextualSpacing/>
    </w:pPr>
  </w:style>
  <w:style w:type="paragraph" w:customStyle="1" w:styleId="p">
    <w:name w:val="p"/>
    <w:basedOn w:val="Normal"/>
    <w:rsid w:val="00DA5A9A"/>
    <w:pPr>
      <w:spacing w:before="100" w:beforeAutospacing="1" w:after="100" w:afterAutospacing="1"/>
    </w:pPr>
  </w:style>
  <w:style w:type="paragraph" w:styleId="NormalWeb">
    <w:name w:val="Normal (Web)"/>
    <w:basedOn w:val="Normal"/>
    <w:uiPriority w:val="99"/>
    <w:unhideWhenUsed/>
    <w:rsid w:val="00E315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9770">
      <w:bodyDiv w:val="1"/>
      <w:marLeft w:val="0"/>
      <w:marRight w:val="0"/>
      <w:marTop w:val="0"/>
      <w:marBottom w:val="0"/>
      <w:divBdr>
        <w:top w:val="none" w:sz="0" w:space="0" w:color="auto"/>
        <w:left w:val="none" w:sz="0" w:space="0" w:color="auto"/>
        <w:bottom w:val="none" w:sz="0" w:space="0" w:color="auto"/>
        <w:right w:val="none" w:sz="0" w:space="0" w:color="auto"/>
      </w:divBdr>
    </w:div>
    <w:div w:id="683894942">
      <w:bodyDiv w:val="1"/>
      <w:marLeft w:val="0"/>
      <w:marRight w:val="0"/>
      <w:marTop w:val="0"/>
      <w:marBottom w:val="0"/>
      <w:divBdr>
        <w:top w:val="none" w:sz="0" w:space="0" w:color="auto"/>
        <w:left w:val="none" w:sz="0" w:space="0" w:color="auto"/>
        <w:bottom w:val="none" w:sz="0" w:space="0" w:color="auto"/>
        <w:right w:val="none" w:sz="0" w:space="0" w:color="auto"/>
      </w:divBdr>
    </w:div>
    <w:div w:id="739210403">
      <w:bodyDiv w:val="1"/>
      <w:marLeft w:val="0"/>
      <w:marRight w:val="0"/>
      <w:marTop w:val="0"/>
      <w:marBottom w:val="0"/>
      <w:divBdr>
        <w:top w:val="none" w:sz="0" w:space="0" w:color="auto"/>
        <w:left w:val="none" w:sz="0" w:space="0" w:color="auto"/>
        <w:bottom w:val="none" w:sz="0" w:space="0" w:color="auto"/>
        <w:right w:val="none" w:sz="0" w:space="0" w:color="auto"/>
      </w:divBdr>
    </w:div>
    <w:div w:id="1336834410">
      <w:bodyDiv w:val="1"/>
      <w:marLeft w:val="0"/>
      <w:marRight w:val="0"/>
      <w:marTop w:val="0"/>
      <w:marBottom w:val="0"/>
      <w:divBdr>
        <w:top w:val="none" w:sz="0" w:space="0" w:color="auto"/>
        <w:left w:val="none" w:sz="0" w:space="0" w:color="auto"/>
        <w:bottom w:val="none" w:sz="0" w:space="0" w:color="auto"/>
        <w:right w:val="none" w:sz="0" w:space="0" w:color="auto"/>
      </w:divBdr>
    </w:div>
    <w:div w:id="1424498294">
      <w:bodyDiv w:val="1"/>
      <w:marLeft w:val="0"/>
      <w:marRight w:val="0"/>
      <w:marTop w:val="0"/>
      <w:marBottom w:val="0"/>
      <w:divBdr>
        <w:top w:val="none" w:sz="0" w:space="0" w:color="auto"/>
        <w:left w:val="none" w:sz="0" w:space="0" w:color="auto"/>
        <w:bottom w:val="none" w:sz="0" w:space="0" w:color="auto"/>
        <w:right w:val="none" w:sz="0" w:space="0" w:color="auto"/>
      </w:divBdr>
    </w:div>
    <w:div w:id="1453285358">
      <w:bodyDiv w:val="1"/>
      <w:marLeft w:val="0"/>
      <w:marRight w:val="0"/>
      <w:marTop w:val="0"/>
      <w:marBottom w:val="0"/>
      <w:divBdr>
        <w:top w:val="none" w:sz="0" w:space="0" w:color="auto"/>
        <w:left w:val="none" w:sz="0" w:space="0" w:color="auto"/>
        <w:bottom w:val="none" w:sz="0" w:space="0" w:color="auto"/>
        <w:right w:val="none" w:sz="0" w:space="0" w:color="auto"/>
      </w:divBdr>
    </w:div>
    <w:div w:id="1646423484">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AD4B1-08EE-4384-806B-32BFFEFB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4487</Words>
  <Characters>21667</Characters>
  <Application>Microsoft Office Word</Application>
  <DocSecurity>0</DocSecurity>
  <Lines>180</Lines>
  <Paragraphs>52</Paragraphs>
  <ScaleCrop>false</ScaleCrop>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2019-03-18T16:58:00Z</dcterms:created>
  <dcterms:modified xsi:type="dcterms:W3CDTF">2019-03-18T16:58:00Z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