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81C85F2" w14:textId="77777777" w:rsidR="008A6059" w:rsidRPr="00FA0910" w:rsidRDefault="005B052C" w:rsidP="008A6059">
      <w:pPr>
        <w:jc w:val="center"/>
        <w:rPr>
          <w:rFonts w:ascii="Book Antiqua" w:hAnsi="Book Antiqua" w:cs="Arial"/>
          <w:caps/>
          <w:color w:val="000000"/>
          <w:sz w:val="16"/>
          <w:szCs w:val="16"/>
        </w:rPr>
      </w:pPr>
      <w:r w:rsidRPr="00FA0910">
        <w:rPr>
          <w:noProof/>
          <w:sz w:val="16"/>
          <w:szCs w:val="16"/>
        </w:rPr>
        <w:drawing>
          <wp:inline distT="0" distB="0" distL="0" distR="0" wp14:anchorId="52B6A80A" wp14:editId="4459709B">
            <wp:extent cx="1047115" cy="9061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047115" cy="906145"/>
                    </a:xfrm>
                    <a:prstGeom prst="rect">
                      <a:avLst/>
                    </a:prstGeom>
                    <a:noFill/>
                    <a:ln>
                      <a:noFill/>
                    </a:ln>
                  </pic:spPr>
                </pic:pic>
              </a:graphicData>
            </a:graphic>
          </wp:inline>
        </w:drawing>
      </w:r>
    </w:p>
    <w:p w14:paraId="094B76D9" w14:textId="58D05B1A" w:rsidR="00D94AFC" w:rsidRPr="00FA0910" w:rsidRDefault="009B7433">
      <w:pPr>
        <w:rPr>
          <w:rFonts w:ascii="Book Antiqua" w:hAnsi="Book Antiqua" w:cs="Arial"/>
          <w:caps/>
          <w:color w:val="000000"/>
          <w:sz w:val="16"/>
          <w:szCs w:val="16"/>
        </w:rPr>
      </w:pPr>
      <w:r w:rsidRPr="00FA0910">
        <w:rPr>
          <w:rFonts w:ascii="Book Antiqua" w:hAnsi="Book Antiqua" w:cs="Arial"/>
          <w:caps/>
          <w:color w:val="000000"/>
          <w:sz w:val="16"/>
          <w:szCs w:val="16"/>
        </w:rPr>
        <w:t>IAC</w:t>
      </w:r>
      <w:r w:rsidR="00033588" w:rsidRPr="00FA0910">
        <w:rPr>
          <w:rFonts w:ascii="Book Antiqua" w:hAnsi="Book Antiqua" w:cs="Arial"/>
          <w:caps/>
          <w:color w:val="000000"/>
          <w:sz w:val="16"/>
          <w:szCs w:val="16"/>
        </w:rPr>
        <w:t>-</w:t>
      </w:r>
      <w:r w:rsidR="00955CDC" w:rsidRPr="00FA0910">
        <w:rPr>
          <w:rFonts w:ascii="Book Antiqua" w:hAnsi="Book Antiqua" w:cs="Arial"/>
          <w:caps/>
          <w:color w:val="000000"/>
          <w:sz w:val="16"/>
          <w:szCs w:val="16"/>
        </w:rPr>
        <w:t>F</w:t>
      </w:r>
      <w:r w:rsidR="00033588" w:rsidRPr="00FA0910">
        <w:rPr>
          <w:rFonts w:ascii="Book Antiqua" w:hAnsi="Book Antiqua" w:cs="Arial"/>
          <w:caps/>
          <w:color w:val="000000"/>
          <w:sz w:val="16"/>
          <w:szCs w:val="16"/>
        </w:rPr>
        <w:t>H-</w:t>
      </w:r>
      <w:r w:rsidR="00955CDC" w:rsidRPr="00FA0910">
        <w:rPr>
          <w:rFonts w:ascii="Book Antiqua" w:hAnsi="Book Antiqua" w:cs="Arial"/>
          <w:caps/>
          <w:color w:val="000000"/>
          <w:sz w:val="16"/>
          <w:szCs w:val="16"/>
        </w:rPr>
        <w:t>LW</w:t>
      </w:r>
      <w:r w:rsidR="00033588" w:rsidRPr="00FA0910">
        <w:rPr>
          <w:rFonts w:ascii="Book Antiqua" w:hAnsi="Book Antiqua" w:cs="Arial"/>
          <w:caps/>
          <w:color w:val="000000"/>
          <w:sz w:val="16"/>
          <w:szCs w:val="16"/>
        </w:rPr>
        <w:t>-V1</w:t>
      </w:r>
    </w:p>
    <w:p w14:paraId="4C43CAB0" w14:textId="77777777" w:rsidR="00FA0910" w:rsidRPr="00FA0910" w:rsidRDefault="00FA0910">
      <w:pPr>
        <w:rPr>
          <w:rFonts w:ascii="Book Antiqua" w:hAnsi="Book Antiqua" w:cs="Arial"/>
          <w:color w:val="000000"/>
          <w:sz w:val="16"/>
          <w:szCs w:val="16"/>
        </w:rPr>
      </w:pPr>
    </w:p>
    <w:p w14:paraId="2F1B25D2" w14:textId="77777777" w:rsidR="008A6059" w:rsidRPr="009B7433" w:rsidRDefault="008A6059" w:rsidP="00780F86">
      <w:pPr>
        <w:tabs>
          <w:tab w:val="right" w:pos="9720"/>
        </w:tabs>
        <w:ind w:right="-82"/>
        <w:rPr>
          <w:rFonts w:ascii="Book Antiqua" w:hAnsi="Book Antiqua" w:cs="Arial"/>
          <w:b/>
          <w:color w:val="000000"/>
        </w:rPr>
      </w:pPr>
      <w:r w:rsidRPr="009B7433">
        <w:rPr>
          <w:rFonts w:ascii="Book Antiqua" w:hAnsi="Book Antiqua" w:cs="Arial"/>
          <w:b/>
          <w:color w:val="000000"/>
        </w:rPr>
        <w:t xml:space="preserve">Upper Tribunal </w:t>
      </w:r>
    </w:p>
    <w:p w14:paraId="3F86AB9A" w14:textId="77777777" w:rsidR="007B0824" w:rsidRPr="009B7433" w:rsidRDefault="008A6059" w:rsidP="00780F86">
      <w:pPr>
        <w:tabs>
          <w:tab w:val="right" w:pos="9720"/>
        </w:tabs>
        <w:ind w:right="-82"/>
        <w:rPr>
          <w:rFonts w:ascii="Book Antiqua" w:hAnsi="Book Antiqua" w:cs="Arial"/>
          <w:color w:val="000000"/>
        </w:rPr>
      </w:pPr>
      <w:r w:rsidRPr="009B7433">
        <w:rPr>
          <w:rFonts w:ascii="Book Antiqua" w:hAnsi="Book Antiqua" w:cs="Arial"/>
          <w:b/>
          <w:color w:val="000000"/>
        </w:rPr>
        <w:t>(Immigration and Asylum Chamber)</w:t>
      </w:r>
      <w:r w:rsidR="00DB70AE" w:rsidRPr="009B7433">
        <w:rPr>
          <w:rFonts w:ascii="Book Antiqua" w:hAnsi="Book Antiqua" w:cs="Arial"/>
          <w:b/>
          <w:color w:val="000000"/>
        </w:rPr>
        <w:tab/>
      </w:r>
      <w:r w:rsidR="00B3524D" w:rsidRPr="009B7433">
        <w:rPr>
          <w:rFonts w:ascii="Book Antiqua" w:hAnsi="Book Antiqua" w:cs="Arial"/>
          <w:color w:val="000000"/>
        </w:rPr>
        <w:t>Appeal Number</w:t>
      </w:r>
      <w:r w:rsidR="00D53769" w:rsidRPr="009B7433">
        <w:rPr>
          <w:rFonts w:ascii="Book Antiqua" w:hAnsi="Book Antiqua" w:cs="Arial"/>
          <w:color w:val="000000"/>
        </w:rPr>
        <w:t>:</w:t>
      </w:r>
      <w:r w:rsidR="00B3524D" w:rsidRPr="009B7433">
        <w:rPr>
          <w:rFonts w:ascii="Book Antiqua" w:hAnsi="Book Antiqua" w:cs="Arial"/>
          <w:color w:val="000000"/>
        </w:rPr>
        <w:t xml:space="preserve"> </w:t>
      </w:r>
      <w:bookmarkStart w:id="0" w:name="_GoBack"/>
      <w:r w:rsidR="00955CDC" w:rsidRPr="00955CDC">
        <w:rPr>
          <w:rFonts w:ascii="Book Antiqua" w:hAnsi="Book Antiqua" w:cs="Arial"/>
          <w:caps/>
          <w:color w:val="000000"/>
        </w:rPr>
        <w:t>RP/00142/2017</w:t>
      </w:r>
      <w:bookmarkEnd w:id="0"/>
    </w:p>
    <w:p w14:paraId="2C720345" w14:textId="77777777" w:rsidR="00C345E1" w:rsidRPr="009B7433" w:rsidRDefault="00C345E1" w:rsidP="00C345E1">
      <w:pPr>
        <w:jc w:val="center"/>
        <w:rPr>
          <w:rFonts w:ascii="Book Antiqua" w:hAnsi="Book Antiqua" w:cs="Arial"/>
          <w:color w:val="000000"/>
        </w:rPr>
      </w:pPr>
    </w:p>
    <w:p w14:paraId="5DF2D39D" w14:textId="77777777" w:rsidR="00FA0910" w:rsidRDefault="00FA0910" w:rsidP="00C345E1">
      <w:pPr>
        <w:jc w:val="center"/>
        <w:rPr>
          <w:rFonts w:ascii="Book Antiqua" w:hAnsi="Book Antiqua" w:cs="Arial"/>
          <w:b/>
          <w:color w:val="000000"/>
          <w:u w:val="single"/>
        </w:rPr>
      </w:pPr>
    </w:p>
    <w:p w14:paraId="2CF43D1E" w14:textId="42147E90" w:rsidR="00C345E1" w:rsidRDefault="00C345E1" w:rsidP="00C345E1">
      <w:pPr>
        <w:jc w:val="center"/>
        <w:rPr>
          <w:rFonts w:ascii="Book Antiqua" w:hAnsi="Book Antiqua" w:cs="Arial"/>
          <w:b/>
          <w:color w:val="000000"/>
          <w:u w:val="single"/>
        </w:rPr>
      </w:pPr>
      <w:r w:rsidRPr="009B7433">
        <w:rPr>
          <w:rFonts w:ascii="Book Antiqua" w:hAnsi="Book Antiqua" w:cs="Arial"/>
          <w:b/>
          <w:color w:val="000000"/>
          <w:u w:val="single"/>
        </w:rPr>
        <w:t>THE IMMIGRATION ACTS</w:t>
      </w:r>
    </w:p>
    <w:p w14:paraId="27483B32" w14:textId="77777777" w:rsidR="00FA0910" w:rsidRPr="009B7433" w:rsidRDefault="00FA0910" w:rsidP="00C345E1">
      <w:pPr>
        <w:jc w:val="center"/>
        <w:rPr>
          <w:rFonts w:ascii="Book Antiqua" w:hAnsi="Book Antiqua" w:cs="Arial"/>
          <w:b/>
          <w:color w:val="000000"/>
          <w:u w:val="single"/>
        </w:rPr>
      </w:pPr>
    </w:p>
    <w:p w14:paraId="30D97394" w14:textId="77777777" w:rsidR="00C345E1" w:rsidRPr="009B7433" w:rsidRDefault="00C345E1" w:rsidP="00C345E1">
      <w:pPr>
        <w:jc w:val="center"/>
        <w:rPr>
          <w:rFonts w:ascii="Book Antiqua" w:hAnsi="Book Antiqua" w:cs="Arial"/>
          <w:b/>
          <w:u w:val="single"/>
        </w:rPr>
      </w:pPr>
    </w:p>
    <w:tbl>
      <w:tblPr>
        <w:tblStyle w:val="TableGrid"/>
        <w:tblW w:w="100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6048"/>
        <w:gridCol w:w="3960"/>
      </w:tblGrid>
      <w:tr w:rsidR="00D22636" w:rsidRPr="009B7433" w14:paraId="133835F9" w14:textId="77777777" w:rsidTr="00D949B7">
        <w:tc>
          <w:tcPr>
            <w:tcW w:w="6048" w:type="dxa"/>
          </w:tcPr>
          <w:p w14:paraId="2133B9C7"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Heard at </w:t>
            </w:r>
            <w:r w:rsidR="00955CDC">
              <w:rPr>
                <w:rFonts w:ascii="Book Antiqua" w:hAnsi="Book Antiqua" w:cs="Arial"/>
                <w:b/>
              </w:rPr>
              <w:t xml:space="preserve">Field House </w:t>
            </w:r>
          </w:p>
        </w:tc>
        <w:tc>
          <w:tcPr>
            <w:tcW w:w="3960" w:type="dxa"/>
          </w:tcPr>
          <w:p w14:paraId="586AC5EF" w14:textId="77777777" w:rsidR="00D22636" w:rsidRPr="009B7433" w:rsidRDefault="00D949B7" w:rsidP="00093D4D">
            <w:pPr>
              <w:jc w:val="both"/>
              <w:rPr>
                <w:rFonts w:ascii="Book Antiqua" w:hAnsi="Book Antiqua" w:cs="Arial"/>
                <w:b/>
                <w:color w:val="000000"/>
              </w:rPr>
            </w:pPr>
            <w:r>
              <w:rPr>
                <w:rFonts w:ascii="Book Antiqua" w:hAnsi="Book Antiqua" w:cs="Arial"/>
                <w:b/>
                <w:color w:val="000000"/>
              </w:rPr>
              <w:t>Decision &amp; Reasons</w:t>
            </w:r>
            <w:r w:rsidR="00283659" w:rsidRPr="009B7433">
              <w:rPr>
                <w:rFonts w:ascii="Book Antiqua" w:hAnsi="Book Antiqua" w:cs="Arial"/>
                <w:b/>
                <w:color w:val="000000"/>
              </w:rPr>
              <w:t xml:space="preserve"> Promulgated</w:t>
            </w:r>
          </w:p>
        </w:tc>
      </w:tr>
      <w:tr w:rsidR="00D22636" w:rsidRPr="009B7433" w14:paraId="4F596696" w14:textId="77777777" w:rsidTr="00D949B7">
        <w:tc>
          <w:tcPr>
            <w:tcW w:w="6048" w:type="dxa"/>
          </w:tcPr>
          <w:p w14:paraId="6E7B4442" w14:textId="77777777" w:rsidR="00D22636" w:rsidRPr="009B7433" w:rsidRDefault="00D22636" w:rsidP="004A1848">
            <w:pPr>
              <w:jc w:val="both"/>
              <w:rPr>
                <w:rFonts w:ascii="Book Antiqua" w:hAnsi="Book Antiqua" w:cs="Arial"/>
                <w:b/>
              </w:rPr>
            </w:pPr>
            <w:r w:rsidRPr="009B7433">
              <w:rPr>
                <w:rFonts w:ascii="Book Antiqua" w:hAnsi="Book Antiqua" w:cs="Arial"/>
                <w:b/>
              </w:rPr>
              <w:t xml:space="preserve">On </w:t>
            </w:r>
            <w:r w:rsidR="00955CDC">
              <w:rPr>
                <w:rFonts w:ascii="Book Antiqua" w:hAnsi="Book Antiqua" w:cs="Arial"/>
                <w:b/>
              </w:rPr>
              <w:t xml:space="preserve">20 August 2018 </w:t>
            </w:r>
          </w:p>
        </w:tc>
        <w:tc>
          <w:tcPr>
            <w:tcW w:w="3960" w:type="dxa"/>
          </w:tcPr>
          <w:p w14:paraId="09F677AA" w14:textId="77777777" w:rsidR="00FB1A86" w:rsidRPr="009B7433" w:rsidRDefault="00FB1A86" w:rsidP="004A1848">
            <w:pPr>
              <w:jc w:val="both"/>
              <w:rPr>
                <w:rFonts w:ascii="Book Antiqua" w:hAnsi="Book Antiqua" w:cs="Arial"/>
                <w:b/>
              </w:rPr>
            </w:pPr>
            <w:r>
              <w:rPr>
                <w:rFonts w:ascii="Book Antiqua" w:hAnsi="Book Antiqua" w:cs="Arial"/>
                <w:b/>
              </w:rPr>
              <w:t>On 03 September 2018</w:t>
            </w:r>
          </w:p>
        </w:tc>
      </w:tr>
      <w:tr w:rsidR="00D22636" w:rsidRPr="009B7433" w14:paraId="2D404050" w14:textId="77777777" w:rsidTr="00D949B7">
        <w:tc>
          <w:tcPr>
            <w:tcW w:w="6048" w:type="dxa"/>
          </w:tcPr>
          <w:p w14:paraId="33C15A51" w14:textId="77777777" w:rsidR="00D22636" w:rsidRPr="009B7433" w:rsidRDefault="003C6D66" w:rsidP="004A1848">
            <w:pPr>
              <w:jc w:val="both"/>
              <w:rPr>
                <w:rFonts w:ascii="Book Antiqua" w:hAnsi="Book Antiqua" w:cs="Arial"/>
                <w:b/>
              </w:rPr>
            </w:pPr>
            <w:r>
              <w:rPr>
                <w:rFonts w:ascii="Book Antiqua" w:hAnsi="Book Antiqua" w:cs="Arial"/>
                <w:b/>
              </w:rPr>
              <w:t>Extempore</w:t>
            </w:r>
          </w:p>
        </w:tc>
        <w:tc>
          <w:tcPr>
            <w:tcW w:w="3960" w:type="dxa"/>
          </w:tcPr>
          <w:p w14:paraId="1BB29664" w14:textId="77777777" w:rsidR="00D22636" w:rsidRPr="009B7433" w:rsidRDefault="00D22636" w:rsidP="004A1848">
            <w:pPr>
              <w:jc w:val="both"/>
              <w:rPr>
                <w:rFonts w:ascii="Book Antiqua" w:hAnsi="Book Antiqua" w:cs="Arial"/>
                <w:b/>
              </w:rPr>
            </w:pPr>
          </w:p>
        </w:tc>
      </w:tr>
    </w:tbl>
    <w:p w14:paraId="14F00991" w14:textId="77777777" w:rsidR="00A15234" w:rsidRPr="009B7433" w:rsidRDefault="00A15234" w:rsidP="00A15234">
      <w:pPr>
        <w:jc w:val="center"/>
        <w:rPr>
          <w:rFonts w:ascii="Book Antiqua" w:hAnsi="Book Antiqua" w:cs="Arial"/>
        </w:rPr>
      </w:pPr>
    </w:p>
    <w:p w14:paraId="00711D74" w14:textId="77777777" w:rsidR="00FA0910" w:rsidRDefault="00FA0910" w:rsidP="00A15234">
      <w:pPr>
        <w:jc w:val="center"/>
        <w:rPr>
          <w:rFonts w:ascii="Book Antiqua" w:hAnsi="Book Antiqua" w:cs="Arial"/>
          <w:b/>
        </w:rPr>
      </w:pPr>
    </w:p>
    <w:p w14:paraId="57ABC49C" w14:textId="1049F60D" w:rsidR="00A15234" w:rsidRPr="009B7433" w:rsidRDefault="00207617" w:rsidP="00A15234">
      <w:pPr>
        <w:jc w:val="center"/>
        <w:rPr>
          <w:rFonts w:ascii="Book Antiqua" w:hAnsi="Book Antiqua" w:cs="Arial"/>
          <w:b/>
        </w:rPr>
      </w:pPr>
      <w:r w:rsidRPr="009B7433">
        <w:rPr>
          <w:rFonts w:ascii="Book Antiqua" w:hAnsi="Book Antiqua" w:cs="Arial"/>
          <w:b/>
        </w:rPr>
        <w:t>Befo</w:t>
      </w:r>
      <w:r w:rsidR="00A15234" w:rsidRPr="009B7433">
        <w:rPr>
          <w:rFonts w:ascii="Book Antiqua" w:hAnsi="Book Antiqua" w:cs="Arial"/>
          <w:b/>
        </w:rPr>
        <w:t>re</w:t>
      </w:r>
    </w:p>
    <w:p w14:paraId="73A272B4" w14:textId="77777777" w:rsidR="00A15234" w:rsidRPr="009B7433" w:rsidRDefault="00A15234" w:rsidP="00A15234">
      <w:pPr>
        <w:jc w:val="center"/>
        <w:rPr>
          <w:rFonts w:ascii="Book Antiqua" w:hAnsi="Book Antiqua" w:cs="Arial"/>
          <w:b/>
        </w:rPr>
      </w:pPr>
    </w:p>
    <w:p w14:paraId="3A176205" w14:textId="77777777" w:rsidR="00D20757" w:rsidRPr="009B7433" w:rsidRDefault="00173F50" w:rsidP="00A15234">
      <w:pPr>
        <w:jc w:val="center"/>
        <w:rPr>
          <w:rFonts w:ascii="Book Antiqua" w:hAnsi="Book Antiqua" w:cs="Arial"/>
          <w:b/>
          <w:color w:val="000000"/>
        </w:rPr>
      </w:pPr>
      <w:r>
        <w:rPr>
          <w:rFonts w:ascii="Book Antiqua" w:hAnsi="Book Antiqua" w:cs="Arial"/>
          <w:b/>
          <w:color w:val="000000"/>
        </w:rPr>
        <w:t>UPPER TRIBUNAL</w:t>
      </w:r>
      <w:r w:rsidR="001B2F75" w:rsidRPr="009B7433">
        <w:rPr>
          <w:rFonts w:ascii="Book Antiqua" w:hAnsi="Book Antiqua" w:cs="Arial"/>
          <w:b/>
          <w:color w:val="000000"/>
        </w:rPr>
        <w:t xml:space="preserve"> JUDGE </w:t>
      </w:r>
      <w:r w:rsidR="004D6B45">
        <w:rPr>
          <w:rFonts w:ascii="Book Antiqua" w:hAnsi="Book Antiqua" w:cs="Arial"/>
          <w:b/>
          <w:color w:val="000000"/>
        </w:rPr>
        <w:t>RINTOUL</w:t>
      </w:r>
    </w:p>
    <w:p w14:paraId="2E1832C2" w14:textId="77777777" w:rsidR="001E2DBD" w:rsidRDefault="001E2DBD" w:rsidP="001E2DBD">
      <w:pPr>
        <w:rPr>
          <w:rFonts w:ascii="Book Antiqua" w:hAnsi="Book Antiqua" w:cs="Arial"/>
          <w:b/>
        </w:rPr>
      </w:pPr>
    </w:p>
    <w:p w14:paraId="6CA28EED" w14:textId="77777777" w:rsidR="00FA0910" w:rsidRDefault="00FA0910" w:rsidP="001E2DBD">
      <w:pPr>
        <w:rPr>
          <w:rFonts w:ascii="Book Antiqua" w:hAnsi="Book Antiqua" w:cs="Arial"/>
          <w:b/>
        </w:rPr>
      </w:pPr>
    </w:p>
    <w:p w14:paraId="71600741" w14:textId="0214A249" w:rsidR="00A845DC" w:rsidRPr="009B7433" w:rsidRDefault="00A845DC" w:rsidP="00FA0910">
      <w:pPr>
        <w:jc w:val="center"/>
        <w:rPr>
          <w:rFonts w:ascii="Book Antiqua" w:hAnsi="Book Antiqua" w:cs="Arial"/>
          <w:b/>
        </w:rPr>
      </w:pPr>
      <w:r w:rsidRPr="009B7433">
        <w:rPr>
          <w:rFonts w:ascii="Book Antiqua" w:hAnsi="Book Antiqua" w:cs="Arial"/>
          <w:b/>
        </w:rPr>
        <w:t>Between</w:t>
      </w:r>
    </w:p>
    <w:p w14:paraId="0C032D18" w14:textId="77777777" w:rsidR="00A845DC" w:rsidRPr="009B7433" w:rsidRDefault="00A845DC" w:rsidP="00A15234">
      <w:pPr>
        <w:jc w:val="center"/>
        <w:rPr>
          <w:rFonts w:ascii="Book Antiqua" w:hAnsi="Book Antiqua" w:cs="Arial"/>
          <w:b/>
        </w:rPr>
      </w:pPr>
    </w:p>
    <w:p w14:paraId="70E5BB85" w14:textId="77777777" w:rsidR="00A845DC" w:rsidRDefault="00955CDC" w:rsidP="00A15234">
      <w:pPr>
        <w:jc w:val="center"/>
        <w:rPr>
          <w:rFonts w:ascii="Book Antiqua" w:hAnsi="Book Antiqua" w:cs="Arial"/>
          <w:b/>
          <w:caps/>
        </w:rPr>
      </w:pPr>
      <w:r>
        <w:rPr>
          <w:rFonts w:ascii="Book Antiqua" w:hAnsi="Book Antiqua" w:cs="Arial"/>
          <w:b/>
          <w:caps/>
        </w:rPr>
        <w:t xml:space="preserve">Secretary of State for the Home Department </w:t>
      </w:r>
    </w:p>
    <w:p w14:paraId="3857DA4C" w14:textId="77777777" w:rsidR="00704B61" w:rsidRPr="009B7433" w:rsidRDefault="00704B61" w:rsidP="00704B61">
      <w:pPr>
        <w:jc w:val="right"/>
        <w:rPr>
          <w:rFonts w:ascii="Book Antiqua" w:hAnsi="Book Antiqua" w:cs="Arial"/>
          <w:u w:val="single"/>
        </w:rPr>
      </w:pPr>
      <w:r w:rsidRPr="009B7433">
        <w:rPr>
          <w:rFonts w:ascii="Book Antiqua" w:hAnsi="Book Antiqua" w:cs="Arial"/>
          <w:u w:val="single"/>
        </w:rPr>
        <w:t>Appellant</w:t>
      </w:r>
    </w:p>
    <w:p w14:paraId="57C1FE7A" w14:textId="77777777" w:rsidR="00704B61" w:rsidRPr="009B7433" w:rsidRDefault="00DD5071" w:rsidP="00704B61">
      <w:pPr>
        <w:jc w:val="center"/>
        <w:rPr>
          <w:rFonts w:ascii="Book Antiqua" w:hAnsi="Book Antiqua" w:cs="Arial"/>
          <w:b/>
        </w:rPr>
      </w:pPr>
      <w:r w:rsidRPr="009B7433">
        <w:rPr>
          <w:rFonts w:ascii="Book Antiqua" w:hAnsi="Book Antiqua" w:cs="Arial"/>
          <w:b/>
        </w:rPr>
        <w:t>and</w:t>
      </w:r>
    </w:p>
    <w:p w14:paraId="76007397" w14:textId="77777777" w:rsidR="001E2DBD" w:rsidRPr="009B7433" w:rsidRDefault="001E2DBD" w:rsidP="00704B61">
      <w:pPr>
        <w:jc w:val="center"/>
        <w:rPr>
          <w:rFonts w:ascii="Book Antiqua" w:hAnsi="Book Antiqua" w:cs="Arial"/>
          <w:b/>
        </w:rPr>
      </w:pPr>
    </w:p>
    <w:p w14:paraId="0A5F58A0" w14:textId="5A8DEB68" w:rsidR="00591C81" w:rsidRDefault="00FA0910" w:rsidP="00955CDC">
      <w:pPr>
        <w:jc w:val="center"/>
        <w:rPr>
          <w:rFonts w:ascii="Book Antiqua" w:hAnsi="Book Antiqua" w:cs="Arial"/>
          <w:b/>
        </w:rPr>
      </w:pPr>
      <w:r>
        <w:rPr>
          <w:rFonts w:ascii="Book Antiqua" w:hAnsi="Book Antiqua" w:cs="Arial"/>
          <w:b/>
        </w:rPr>
        <w:t>[</w:t>
      </w:r>
      <w:r w:rsidR="00591C81" w:rsidRPr="00591C81">
        <w:rPr>
          <w:rFonts w:ascii="Book Antiqua" w:hAnsi="Book Antiqua" w:cs="Arial"/>
          <w:b/>
        </w:rPr>
        <w:t>H</w:t>
      </w:r>
      <w:r>
        <w:rPr>
          <w:rFonts w:ascii="Book Antiqua" w:hAnsi="Book Antiqua" w:cs="Arial"/>
          <w:b/>
        </w:rPr>
        <w:t xml:space="preserve"> </w:t>
      </w:r>
      <w:r w:rsidR="00591C81" w:rsidRPr="00591C81">
        <w:rPr>
          <w:rFonts w:ascii="Book Antiqua" w:hAnsi="Book Antiqua" w:cs="Arial"/>
          <w:b/>
        </w:rPr>
        <w:t>A</w:t>
      </w:r>
      <w:r>
        <w:rPr>
          <w:rFonts w:ascii="Book Antiqua" w:hAnsi="Book Antiqua" w:cs="Arial"/>
          <w:b/>
        </w:rPr>
        <w:t>]</w:t>
      </w:r>
    </w:p>
    <w:p w14:paraId="06D7B3D7" w14:textId="77777777" w:rsidR="00955CDC" w:rsidRPr="00FA0910" w:rsidRDefault="00955CDC" w:rsidP="00955CDC">
      <w:pPr>
        <w:jc w:val="center"/>
        <w:rPr>
          <w:rFonts w:ascii="Book Antiqua" w:hAnsi="Book Antiqua" w:cs="Arial"/>
          <w:b/>
          <w:caps/>
          <w:strike/>
          <w:sz w:val="22"/>
        </w:rPr>
      </w:pPr>
      <w:r w:rsidRPr="00FA0910">
        <w:rPr>
          <w:rFonts w:ascii="Book Antiqua" w:hAnsi="Book Antiqua" w:cs="Arial"/>
          <w:b/>
          <w:caps/>
          <w:strike/>
          <w:sz w:val="22"/>
        </w:rPr>
        <w:t xml:space="preserve">(ANONYMITY DIRECTION </w:t>
      </w:r>
      <w:r w:rsidR="00FB21E7" w:rsidRPr="00FA0910">
        <w:rPr>
          <w:rFonts w:ascii="Book Antiqua" w:hAnsi="Book Antiqua" w:cs="Arial"/>
          <w:b/>
          <w:caps/>
          <w:strike/>
          <w:sz w:val="22"/>
        </w:rPr>
        <w:t xml:space="preserve">not </w:t>
      </w:r>
      <w:r w:rsidRPr="00FA0910">
        <w:rPr>
          <w:rFonts w:ascii="Book Antiqua" w:hAnsi="Book Antiqua" w:cs="Arial"/>
          <w:b/>
          <w:caps/>
          <w:strike/>
          <w:sz w:val="22"/>
        </w:rPr>
        <w:t>made)</w:t>
      </w:r>
    </w:p>
    <w:p w14:paraId="1C1AFE0C" w14:textId="77777777" w:rsidR="00DD5071" w:rsidRPr="009B7433" w:rsidRDefault="00DD5071" w:rsidP="00DD5071">
      <w:pPr>
        <w:jc w:val="right"/>
        <w:rPr>
          <w:rFonts w:ascii="Book Antiqua" w:hAnsi="Book Antiqua" w:cs="Arial"/>
          <w:u w:val="single"/>
        </w:rPr>
      </w:pPr>
      <w:r w:rsidRPr="009B7433">
        <w:rPr>
          <w:rFonts w:ascii="Book Antiqua" w:hAnsi="Book Antiqua" w:cs="Arial"/>
          <w:u w:val="single"/>
        </w:rPr>
        <w:t>Respondent</w:t>
      </w:r>
    </w:p>
    <w:p w14:paraId="5290DC03" w14:textId="77777777" w:rsidR="00DD5071" w:rsidRPr="009B7433" w:rsidRDefault="00DD5071" w:rsidP="00DD5071">
      <w:pPr>
        <w:rPr>
          <w:rFonts w:ascii="Book Antiqua" w:hAnsi="Book Antiqua" w:cs="Arial"/>
          <w:u w:val="single"/>
        </w:rPr>
      </w:pPr>
    </w:p>
    <w:p w14:paraId="1A554E23" w14:textId="77777777" w:rsidR="00DD5071" w:rsidRPr="009B7433" w:rsidRDefault="00DD5071" w:rsidP="00DD5071">
      <w:pPr>
        <w:rPr>
          <w:rFonts w:ascii="Book Antiqua" w:hAnsi="Book Antiqua" w:cs="Arial"/>
          <w:u w:val="single"/>
        </w:rPr>
      </w:pPr>
    </w:p>
    <w:p w14:paraId="55A34F88" w14:textId="77777777" w:rsidR="00DD5071" w:rsidRPr="009B7433" w:rsidRDefault="00DE7DB7" w:rsidP="00DD5071">
      <w:pPr>
        <w:rPr>
          <w:rFonts w:ascii="Book Antiqua" w:hAnsi="Book Antiqua" w:cs="Arial"/>
        </w:rPr>
      </w:pPr>
      <w:r w:rsidRPr="009B7433">
        <w:rPr>
          <w:rFonts w:ascii="Book Antiqua" w:hAnsi="Book Antiqua" w:cs="Arial"/>
          <w:b/>
          <w:u w:val="single"/>
        </w:rPr>
        <w:t>Representation</w:t>
      </w:r>
      <w:r w:rsidRPr="009B7433">
        <w:rPr>
          <w:rFonts w:ascii="Book Antiqua" w:hAnsi="Book Antiqua" w:cs="Arial"/>
          <w:b/>
        </w:rPr>
        <w:t>:</w:t>
      </w:r>
    </w:p>
    <w:p w14:paraId="27D7F1A2" w14:textId="77777777" w:rsidR="00DE7DB7" w:rsidRPr="009B7433" w:rsidRDefault="00DE7DB7" w:rsidP="00FA0910">
      <w:pPr>
        <w:tabs>
          <w:tab w:val="left" w:pos="2552"/>
        </w:tabs>
        <w:rPr>
          <w:rFonts w:ascii="Book Antiqua" w:hAnsi="Book Antiqua" w:cs="Arial"/>
        </w:rPr>
      </w:pPr>
      <w:r w:rsidRPr="009B7433">
        <w:rPr>
          <w:rFonts w:ascii="Book Antiqua" w:hAnsi="Book Antiqua" w:cs="Arial"/>
        </w:rPr>
        <w:t>For the Appellant:</w:t>
      </w:r>
      <w:r w:rsidRPr="009B7433">
        <w:rPr>
          <w:rFonts w:ascii="Book Antiqua" w:hAnsi="Book Antiqua" w:cs="Arial"/>
        </w:rPr>
        <w:tab/>
      </w:r>
      <w:r w:rsidR="00955CDC">
        <w:rPr>
          <w:rFonts w:ascii="Book Antiqua" w:hAnsi="Book Antiqua" w:cs="Arial"/>
        </w:rPr>
        <w:t xml:space="preserve">Mr L Tarlow, Home Office Presenting Officer </w:t>
      </w:r>
    </w:p>
    <w:p w14:paraId="225DA081" w14:textId="77777777" w:rsidR="00DE7DB7" w:rsidRPr="009B7433" w:rsidRDefault="00DE7DB7" w:rsidP="00FA0910">
      <w:pPr>
        <w:tabs>
          <w:tab w:val="left" w:pos="2552"/>
        </w:tabs>
        <w:rPr>
          <w:rFonts w:ascii="Book Antiqua" w:hAnsi="Book Antiqua" w:cs="Arial"/>
        </w:rPr>
      </w:pPr>
      <w:r w:rsidRPr="009B7433">
        <w:rPr>
          <w:rFonts w:ascii="Book Antiqua" w:hAnsi="Book Antiqua" w:cs="Arial"/>
        </w:rPr>
        <w:t>For the Respondent:</w:t>
      </w:r>
      <w:r w:rsidRPr="009B7433">
        <w:rPr>
          <w:rFonts w:ascii="Book Antiqua" w:hAnsi="Book Antiqua" w:cs="Arial"/>
        </w:rPr>
        <w:tab/>
      </w:r>
      <w:r w:rsidR="00955CDC">
        <w:rPr>
          <w:rFonts w:ascii="Book Antiqua" w:hAnsi="Book Antiqua" w:cs="Arial"/>
        </w:rPr>
        <w:t xml:space="preserve">Mr H Malik, Thompson &amp; Co Solicitors </w:t>
      </w:r>
    </w:p>
    <w:p w14:paraId="7CE347BB" w14:textId="6F31CEF0" w:rsidR="00DE7DB7" w:rsidRDefault="00DE7DB7" w:rsidP="00402B9E">
      <w:pPr>
        <w:tabs>
          <w:tab w:val="left" w:pos="2520"/>
        </w:tabs>
        <w:jc w:val="center"/>
        <w:rPr>
          <w:rFonts w:ascii="Book Antiqua" w:hAnsi="Book Antiqua" w:cs="Arial"/>
        </w:rPr>
      </w:pPr>
    </w:p>
    <w:p w14:paraId="64DCB26A" w14:textId="77777777" w:rsidR="00FA0910" w:rsidRPr="009B7433" w:rsidRDefault="00FA0910" w:rsidP="00402B9E">
      <w:pPr>
        <w:tabs>
          <w:tab w:val="left" w:pos="2520"/>
        </w:tabs>
        <w:jc w:val="center"/>
        <w:rPr>
          <w:rFonts w:ascii="Book Antiqua" w:hAnsi="Book Antiqua" w:cs="Arial"/>
        </w:rPr>
      </w:pPr>
    </w:p>
    <w:p w14:paraId="3643CD17" w14:textId="77777777" w:rsidR="00402B9E" w:rsidRPr="009B7433" w:rsidRDefault="00D949B7" w:rsidP="004D6B45">
      <w:pPr>
        <w:tabs>
          <w:tab w:val="left" w:pos="2520"/>
        </w:tabs>
        <w:jc w:val="center"/>
        <w:rPr>
          <w:rFonts w:ascii="Book Antiqua" w:hAnsi="Book Antiqua" w:cs="Arial"/>
        </w:rPr>
      </w:pPr>
      <w:r>
        <w:rPr>
          <w:rFonts w:ascii="Book Antiqua" w:hAnsi="Book Antiqua" w:cs="Arial"/>
          <w:b/>
          <w:u w:val="single"/>
        </w:rPr>
        <w:t xml:space="preserve">DECISION </w:t>
      </w:r>
      <w:r w:rsidR="00402B9E" w:rsidRPr="009B7433">
        <w:rPr>
          <w:rFonts w:ascii="Book Antiqua" w:hAnsi="Book Antiqua" w:cs="Arial"/>
          <w:b/>
          <w:u w:val="single"/>
        </w:rPr>
        <w:t>AND REASONS</w:t>
      </w:r>
    </w:p>
    <w:p w14:paraId="621FC472" w14:textId="2858F2A2" w:rsidR="00591C81" w:rsidRDefault="0072699F"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Secretary of State appeals with permission against the decision of First-tier Tribunal </w:t>
      </w:r>
      <w:r w:rsidR="008F7D06">
        <w:rPr>
          <w:rFonts w:ascii="Book Antiqua" w:hAnsi="Book Antiqua" w:cs="Arial"/>
        </w:rPr>
        <w:t xml:space="preserve">Judge </w:t>
      </w:r>
      <w:r>
        <w:rPr>
          <w:rFonts w:ascii="Book Antiqua" w:hAnsi="Book Antiqua" w:cs="Arial"/>
        </w:rPr>
        <w:t xml:space="preserve">Aziz promulgated </w:t>
      </w:r>
      <w:r w:rsidR="00591C81">
        <w:rPr>
          <w:rFonts w:ascii="Book Antiqua" w:hAnsi="Book Antiqua" w:cs="Arial"/>
        </w:rPr>
        <w:t xml:space="preserve">on 2 January 2018 in which he allowed the appeal of </w:t>
      </w:r>
      <w:r w:rsidR="00FA0910">
        <w:rPr>
          <w:rFonts w:ascii="Book Antiqua" w:hAnsi="Book Antiqua" w:cs="Arial"/>
        </w:rPr>
        <w:t>[</w:t>
      </w:r>
      <w:r w:rsidR="00591C81">
        <w:rPr>
          <w:rFonts w:ascii="Book Antiqua" w:hAnsi="Book Antiqua" w:cs="Arial"/>
        </w:rPr>
        <w:t>HA</w:t>
      </w:r>
      <w:r w:rsidR="00FA0910">
        <w:rPr>
          <w:rFonts w:ascii="Book Antiqua" w:hAnsi="Book Antiqua" w:cs="Arial"/>
        </w:rPr>
        <w:t xml:space="preserve">] </w:t>
      </w:r>
      <w:r w:rsidR="00591C81">
        <w:rPr>
          <w:rFonts w:ascii="Book Antiqua" w:hAnsi="Book Antiqua" w:cs="Arial"/>
        </w:rPr>
        <w:t xml:space="preserve">whom I refer to as “the respondent” against the decision of the Secretary of State made on 19 October 2017 to make a deportation order against him on the basis that he is a foreign criminal and been sentenced to a period of at least twelve months’ imprisonment.  </w:t>
      </w:r>
    </w:p>
    <w:p w14:paraId="77C02220" w14:textId="77777777" w:rsidR="00BF23BB" w:rsidRDefault="00591C81"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Secretary of State’s case is that following the conviction on 18 January 2017 at which the appellant was convicted of importing a Class C drug and was sentenced to twelve months’ imprisonment, he was a foreign prisoner.  It was also the Secretary of State’s case that his refugee status was to be ceased as </w:t>
      </w:r>
      <w:r w:rsidR="008F7D06">
        <w:rPr>
          <w:rFonts w:ascii="Book Antiqua" w:hAnsi="Book Antiqua" w:cs="Arial"/>
        </w:rPr>
        <w:t xml:space="preserve">the </w:t>
      </w:r>
      <w:r>
        <w:rPr>
          <w:rFonts w:ascii="Book Antiqua" w:hAnsi="Book Antiqua" w:cs="Arial"/>
        </w:rPr>
        <w:t>circumstance</w:t>
      </w:r>
      <w:r w:rsidR="008F7D06">
        <w:rPr>
          <w:rFonts w:ascii="Book Antiqua" w:hAnsi="Book Antiqua" w:cs="Arial"/>
        </w:rPr>
        <w:t>s</w:t>
      </w:r>
      <w:r>
        <w:rPr>
          <w:rFonts w:ascii="Book Antiqua" w:hAnsi="Book Antiqua" w:cs="Arial"/>
        </w:rPr>
        <w:t xml:space="preserve"> and connection with which he had been recognised as a refugee had ceased to exist and thus he could not refuse to avail himself of the protection of the country of nationality.  </w:t>
      </w:r>
    </w:p>
    <w:p w14:paraId="20EA283A" w14:textId="77777777" w:rsidR="00591C81" w:rsidRDefault="00591C81" w:rsidP="004D6B45">
      <w:pPr>
        <w:numPr>
          <w:ilvl w:val="0"/>
          <w:numId w:val="1"/>
        </w:numPr>
        <w:tabs>
          <w:tab w:val="clear" w:pos="567"/>
        </w:tabs>
        <w:spacing w:before="240"/>
        <w:jc w:val="both"/>
        <w:rPr>
          <w:rFonts w:ascii="Book Antiqua" w:hAnsi="Book Antiqua" w:cs="Arial"/>
        </w:rPr>
      </w:pPr>
      <w:r>
        <w:rPr>
          <w:rFonts w:ascii="Book Antiqua" w:hAnsi="Book Antiqua" w:cs="Arial"/>
        </w:rPr>
        <w:t>The circumstances of the respondent’s case are that he arrived in the United Kingdom in 2006 having been granted family reunion to join F</w:t>
      </w:r>
      <w:r w:rsidR="00934BD2">
        <w:rPr>
          <w:rFonts w:ascii="Book Antiqua" w:hAnsi="Book Antiqua" w:cs="Arial"/>
        </w:rPr>
        <w:t>a</w:t>
      </w:r>
      <w:r>
        <w:rPr>
          <w:rFonts w:ascii="Book Antiqua" w:hAnsi="Book Antiqua" w:cs="Arial"/>
        </w:rPr>
        <w:t xml:space="preserve">dumo Abdi Abdirahman and was granted indefinite leave to remain after his arrival. </w:t>
      </w:r>
      <w:r w:rsidR="00934BD2">
        <w:rPr>
          <w:rFonts w:ascii="Book Antiqua" w:hAnsi="Book Antiqua" w:cs="Arial"/>
        </w:rPr>
        <w:t xml:space="preserve"> He entered in 2006 and was issued with a travel document, presumably as a refugee.  There is no suggestion that he has returned to Somalia in the interim and it is to be noted that the respondent has in this case lived outside Somalia for a significant period after his birth.  It appears that he in fact left the country when he was approximately 2 years of age.  His case is that he could not return to Somalia, first of all arguing there had been no real change in the circumstances; and second, that</w:t>
      </w:r>
      <w:r w:rsidR="008D1D2A">
        <w:rPr>
          <w:rFonts w:ascii="Book Antiqua" w:hAnsi="Book Antiqua" w:cs="Arial"/>
        </w:rPr>
        <w:t xml:space="preserve"> owing to a tattoo on his chest</w:t>
      </w:r>
      <w:r w:rsidR="00934BD2">
        <w:rPr>
          <w:rFonts w:ascii="Book Antiqua" w:hAnsi="Book Antiqua" w:cs="Arial"/>
        </w:rPr>
        <w:t xml:space="preserve"> he was at risk by groups such as Al-Shabaab</w:t>
      </w:r>
      <w:r w:rsidR="008D1D2A">
        <w:rPr>
          <w:rFonts w:ascii="Book Antiqua" w:hAnsi="Book Antiqua" w:cs="Arial"/>
        </w:rPr>
        <w:t xml:space="preserve">. It is said also </w:t>
      </w:r>
      <w:r w:rsidR="00FB21E7">
        <w:rPr>
          <w:rFonts w:ascii="Book Antiqua" w:hAnsi="Book Antiqua" w:cs="Arial"/>
        </w:rPr>
        <w:t xml:space="preserve">that the economic statement </w:t>
      </w:r>
      <w:r w:rsidR="00934BD2">
        <w:rPr>
          <w:rFonts w:ascii="Book Antiqua" w:hAnsi="Book Antiqua" w:cs="Arial"/>
        </w:rPr>
        <w:t xml:space="preserve">of the country is </w:t>
      </w:r>
      <w:r w:rsidR="00FE7039">
        <w:rPr>
          <w:rFonts w:ascii="Book Antiqua" w:hAnsi="Book Antiqua" w:cs="Arial"/>
        </w:rPr>
        <w:t>unstable</w:t>
      </w:r>
      <w:r w:rsidR="00934BD2">
        <w:rPr>
          <w:rFonts w:ascii="Book Antiqua" w:hAnsi="Book Antiqua" w:cs="Arial"/>
        </w:rPr>
        <w:t xml:space="preserve">, there is no prospect of improvement, and it was not reasonable to expect him to relocate to Mogadishu.  </w:t>
      </w:r>
    </w:p>
    <w:p w14:paraId="521603A0" w14:textId="77777777" w:rsidR="00934BD2" w:rsidRDefault="00934BD2"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directed himself that he should follow </w:t>
      </w:r>
      <w:r w:rsidRPr="008C07BC">
        <w:rPr>
          <w:rFonts w:ascii="Book Antiqua" w:hAnsi="Book Antiqua" w:cs="Arial"/>
          <w:u w:val="single"/>
        </w:rPr>
        <w:t>MOJ &amp; Ors (Return to Mogadishu) Somalia CG</w:t>
      </w:r>
      <w:r w:rsidRPr="008C07BC">
        <w:rPr>
          <w:rFonts w:ascii="Book Antiqua" w:hAnsi="Book Antiqua" w:cs="Arial"/>
        </w:rPr>
        <w:t xml:space="preserve"> [2014] UKUT 00442 (IAC).  The judge h</w:t>
      </w:r>
      <w:r>
        <w:rPr>
          <w:rFonts w:ascii="Book Antiqua" w:hAnsi="Book Antiqua" w:cs="Arial"/>
        </w:rPr>
        <w:t xml:space="preserve">eard evidence from the appellant’s sister and submissions from both representatives.  The judge directed himself with regards to cessation and set out </w:t>
      </w:r>
      <w:r w:rsidRPr="008C07BC">
        <w:rPr>
          <w:rFonts w:ascii="Book Antiqua" w:hAnsi="Book Antiqua" w:cs="Arial"/>
        </w:rPr>
        <w:t xml:space="preserve">the relevant law.  He then set out the relevant cases and then turned at paragraph 55 to </w:t>
      </w:r>
      <w:r w:rsidRPr="008C07BC">
        <w:rPr>
          <w:rFonts w:ascii="Book Antiqua" w:hAnsi="Book Antiqua" w:cs="Arial"/>
          <w:u w:val="single"/>
        </w:rPr>
        <w:t>MOJ &amp; Ors</w:t>
      </w:r>
      <w:r w:rsidRPr="008C07BC">
        <w:rPr>
          <w:rFonts w:ascii="Book Antiqua" w:hAnsi="Book Antiqua" w:cs="Arial"/>
        </w:rPr>
        <w:t xml:space="preserve"> setting out in full the head note.  The judge found, dealing in </w:t>
      </w:r>
      <w:r w:rsidR="00FE7039" w:rsidRPr="008C07BC">
        <w:rPr>
          <w:rFonts w:ascii="Book Antiqua" w:hAnsi="Book Antiqua" w:cs="Arial"/>
        </w:rPr>
        <w:t>particular</w:t>
      </w:r>
      <w:r w:rsidRPr="008C07BC">
        <w:rPr>
          <w:rFonts w:ascii="Book Antiqua" w:hAnsi="Book Antiqua" w:cs="Arial"/>
        </w:rPr>
        <w:t xml:space="preserve"> at [62] that the situation for an ordinary civilian after periods of absence that they will face no real risk of persecution </w:t>
      </w:r>
      <w:r w:rsidR="002434D4" w:rsidRPr="008C07BC">
        <w:rPr>
          <w:rFonts w:ascii="Book Antiqua" w:hAnsi="Book Antiqua" w:cs="Arial"/>
        </w:rPr>
        <w:t xml:space="preserve">or harm, but having had regard at [63] to in particular paragraphs </w:t>
      </w:r>
      <w:r w:rsidR="008C07BC">
        <w:rPr>
          <w:rFonts w:ascii="Book Antiqua" w:hAnsi="Book Antiqua" w:cs="Arial"/>
        </w:rPr>
        <w:t>(</w:t>
      </w:r>
      <w:r w:rsidR="002434D4" w:rsidRPr="008C07BC">
        <w:rPr>
          <w:rFonts w:ascii="Book Antiqua" w:hAnsi="Book Antiqua" w:cs="Arial"/>
        </w:rPr>
        <w:t>ix</w:t>
      </w:r>
      <w:r w:rsidR="008C07BC">
        <w:rPr>
          <w:rFonts w:ascii="Book Antiqua" w:hAnsi="Book Antiqua" w:cs="Arial"/>
        </w:rPr>
        <w:t>)</w:t>
      </w:r>
      <w:r w:rsidR="002434D4" w:rsidRPr="008C07BC">
        <w:rPr>
          <w:rFonts w:ascii="Book Antiqua" w:hAnsi="Book Antiqua" w:cs="Arial"/>
        </w:rPr>
        <w:t xml:space="preserve"> and </w:t>
      </w:r>
      <w:r w:rsidR="008C07BC">
        <w:rPr>
          <w:rFonts w:ascii="Book Antiqua" w:hAnsi="Book Antiqua" w:cs="Arial"/>
        </w:rPr>
        <w:t>(</w:t>
      </w:r>
      <w:r w:rsidR="002434D4" w:rsidRPr="008C07BC">
        <w:rPr>
          <w:rFonts w:ascii="Book Antiqua" w:hAnsi="Book Antiqua" w:cs="Arial"/>
        </w:rPr>
        <w:t>x</w:t>
      </w:r>
      <w:r w:rsidR="008C07BC">
        <w:rPr>
          <w:rFonts w:ascii="Book Antiqua" w:hAnsi="Book Antiqua" w:cs="Arial"/>
        </w:rPr>
        <w:t>)</w:t>
      </w:r>
      <w:r w:rsidR="002434D4" w:rsidRPr="008C07BC">
        <w:rPr>
          <w:rFonts w:ascii="Book Antiqua" w:hAnsi="Book Antiqua" w:cs="Arial"/>
        </w:rPr>
        <w:t xml:space="preserve"> of </w:t>
      </w:r>
      <w:r w:rsidR="002434D4" w:rsidRPr="008C07BC">
        <w:rPr>
          <w:rFonts w:ascii="Book Antiqua" w:hAnsi="Book Antiqua" w:cs="Arial"/>
          <w:u w:val="single"/>
        </w:rPr>
        <w:t>MOJ</w:t>
      </w:r>
      <w:r w:rsidR="002434D4" w:rsidRPr="008C07BC">
        <w:rPr>
          <w:rFonts w:ascii="Book Antiqua" w:hAnsi="Book Antiqua" w:cs="Arial"/>
        </w:rPr>
        <w:t>’s head note</w:t>
      </w:r>
      <w:r w:rsidR="002434D4">
        <w:rPr>
          <w:rFonts w:ascii="Book Antiqua" w:hAnsi="Book Antiqua" w:cs="Arial"/>
        </w:rPr>
        <w:t xml:space="preserve">, in assessing the evidence he found him to be credible, finding as his circumstances and the prospects of earning a livelihood, availability of remittances and </w:t>
      </w:r>
      <w:r w:rsidR="00FE7039">
        <w:rPr>
          <w:rFonts w:ascii="Book Antiqua" w:hAnsi="Book Antiqua" w:cs="Arial"/>
        </w:rPr>
        <w:t>means</w:t>
      </w:r>
      <w:r w:rsidR="002434D4">
        <w:rPr>
          <w:rFonts w:ascii="Book Antiqua" w:hAnsi="Book Antiqua" w:cs="Arial"/>
        </w:rPr>
        <w:t xml:space="preserve"> of support and ability to fund the </w:t>
      </w:r>
      <w:r w:rsidR="00FE7039">
        <w:rPr>
          <w:rFonts w:ascii="Book Antiqua" w:hAnsi="Book Antiqua" w:cs="Arial"/>
        </w:rPr>
        <w:t>journey</w:t>
      </w:r>
      <w:r w:rsidR="002434D4">
        <w:rPr>
          <w:rFonts w:ascii="Book Antiqua" w:hAnsi="Book Antiqua" w:cs="Arial"/>
        </w:rPr>
        <w:t xml:space="preserve">, the sub-headings set out in </w:t>
      </w:r>
      <w:r w:rsidR="008C07BC">
        <w:rPr>
          <w:rFonts w:ascii="Book Antiqua" w:hAnsi="Book Antiqua" w:cs="Arial"/>
        </w:rPr>
        <w:t>(</w:t>
      </w:r>
      <w:r w:rsidR="002434D4">
        <w:rPr>
          <w:rFonts w:ascii="Book Antiqua" w:hAnsi="Book Antiqua" w:cs="Arial"/>
        </w:rPr>
        <w:t>ix</w:t>
      </w:r>
      <w:r w:rsidR="008C07BC">
        <w:rPr>
          <w:rFonts w:ascii="Book Antiqua" w:hAnsi="Book Antiqua" w:cs="Arial"/>
        </w:rPr>
        <w:t>)</w:t>
      </w:r>
      <w:r w:rsidR="002434D4">
        <w:rPr>
          <w:rFonts w:ascii="Book Antiqua" w:hAnsi="Book Antiqua" w:cs="Arial"/>
        </w:rPr>
        <w:t xml:space="preserve"> that he </w:t>
      </w:r>
      <w:r w:rsidR="00FE7039">
        <w:rPr>
          <w:rFonts w:ascii="Book Antiqua" w:hAnsi="Book Antiqua" w:cs="Arial"/>
        </w:rPr>
        <w:t>accepted</w:t>
      </w:r>
      <w:r w:rsidR="002434D4">
        <w:rPr>
          <w:rFonts w:ascii="Book Antiqua" w:hAnsi="Book Antiqua" w:cs="Arial"/>
        </w:rPr>
        <w:t xml:space="preserve"> the respondent would have no family support, that he had no real prospect of securing </w:t>
      </w:r>
      <w:r w:rsidR="00FE7039">
        <w:rPr>
          <w:rFonts w:ascii="Book Antiqua" w:hAnsi="Book Antiqua" w:cs="Arial"/>
        </w:rPr>
        <w:t>access</w:t>
      </w:r>
      <w:r w:rsidR="002434D4">
        <w:rPr>
          <w:rFonts w:ascii="Book Antiqua" w:hAnsi="Book Antiqua" w:cs="Arial"/>
        </w:rPr>
        <w:t xml:space="preserve"> to a livelihood, he may not be able to avail himself the support of his clan, the only matter going against him is that he had been in </w:t>
      </w:r>
      <w:r w:rsidR="00FE7039">
        <w:rPr>
          <w:rFonts w:ascii="Book Antiqua" w:hAnsi="Book Antiqua" w:cs="Arial"/>
        </w:rPr>
        <w:t>receipt</w:t>
      </w:r>
      <w:r w:rsidR="002434D4">
        <w:rPr>
          <w:rFonts w:ascii="Book Antiqua" w:hAnsi="Book Antiqua" w:cs="Arial"/>
        </w:rPr>
        <w:t xml:space="preserve"> of some remittances, although he was not sure of their support because he has not discussed it with the family.  </w:t>
      </w:r>
    </w:p>
    <w:p w14:paraId="3195E0B3" w14:textId="77777777" w:rsidR="002434D4" w:rsidRDefault="002434D4"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also </w:t>
      </w:r>
      <w:r w:rsidR="00FE7039">
        <w:rPr>
          <w:rFonts w:ascii="Book Antiqua" w:hAnsi="Book Antiqua" w:cs="Arial"/>
        </w:rPr>
        <w:t>noted</w:t>
      </w:r>
      <w:r>
        <w:rPr>
          <w:rFonts w:ascii="Book Antiqua" w:hAnsi="Book Antiqua" w:cs="Arial"/>
        </w:rPr>
        <w:t xml:space="preserve"> that he had been cross-</w:t>
      </w:r>
      <w:r w:rsidR="00FE7039">
        <w:rPr>
          <w:rFonts w:ascii="Book Antiqua" w:hAnsi="Book Antiqua" w:cs="Arial"/>
        </w:rPr>
        <w:t>examined</w:t>
      </w:r>
      <w:r>
        <w:rPr>
          <w:rFonts w:ascii="Book Antiqua" w:hAnsi="Book Antiqua" w:cs="Arial"/>
        </w:rPr>
        <w:t xml:space="preserve"> on the financial circumstances and that he might be in </w:t>
      </w:r>
      <w:r w:rsidR="00FE7039">
        <w:rPr>
          <w:rFonts w:ascii="Book Antiqua" w:hAnsi="Book Antiqua" w:cs="Arial"/>
        </w:rPr>
        <w:t>receipt</w:t>
      </w:r>
      <w:r>
        <w:rPr>
          <w:rFonts w:ascii="Book Antiqua" w:hAnsi="Book Antiqua" w:cs="Arial"/>
        </w:rPr>
        <w:t xml:space="preserve"> of some remittances, he was concerned about the level of </w:t>
      </w:r>
      <w:r w:rsidR="008859AF">
        <w:rPr>
          <w:rFonts w:ascii="Book Antiqua" w:hAnsi="Book Antiqua" w:cs="Arial"/>
        </w:rPr>
        <w:t>them given the lack of resources of family in the UK and</w:t>
      </w:r>
      <w:r w:rsidR="002658C5">
        <w:rPr>
          <w:rFonts w:ascii="Book Antiqua" w:hAnsi="Book Antiqua" w:cs="Arial"/>
        </w:rPr>
        <w:t xml:space="preserve"> </w:t>
      </w:r>
      <w:r>
        <w:rPr>
          <w:rFonts w:ascii="Book Antiqua" w:hAnsi="Book Antiqua" w:cs="Arial"/>
        </w:rPr>
        <w:t xml:space="preserve">given that he had no prospect of securing access to a livelihood.  The judge then </w:t>
      </w:r>
      <w:proofErr w:type="gramStart"/>
      <w:r>
        <w:rPr>
          <w:rFonts w:ascii="Book Antiqua" w:hAnsi="Book Antiqua" w:cs="Arial"/>
        </w:rPr>
        <w:t>concluded:-</w:t>
      </w:r>
      <w:proofErr w:type="gramEnd"/>
    </w:p>
    <w:p w14:paraId="5DDA091E" w14:textId="4E7B3E39" w:rsidR="002434D4" w:rsidRPr="00FA0910" w:rsidRDefault="002434D4" w:rsidP="00FA0910">
      <w:pPr>
        <w:spacing w:before="120"/>
        <w:ind w:left="1134" w:right="567"/>
        <w:jc w:val="both"/>
        <w:rPr>
          <w:rFonts w:ascii="Book Antiqua" w:hAnsi="Book Antiqua" w:cs="Arial"/>
          <w:sz w:val="22"/>
        </w:rPr>
      </w:pPr>
      <w:r w:rsidRPr="00FA0910">
        <w:rPr>
          <w:rFonts w:ascii="Book Antiqua" w:hAnsi="Book Antiqua" w:cs="Arial"/>
          <w:sz w:val="22"/>
        </w:rPr>
        <w:t xml:space="preserve">“I am just persuaded that the appellant is able to make the argument that the circumstances in connection with </w:t>
      </w:r>
      <w:r w:rsidR="00FE7039" w:rsidRPr="00FA0910">
        <w:rPr>
          <w:rFonts w:ascii="Book Antiqua" w:hAnsi="Book Antiqua" w:cs="Arial"/>
          <w:sz w:val="22"/>
        </w:rPr>
        <w:t>which</w:t>
      </w:r>
      <w:r w:rsidRPr="00FA0910">
        <w:rPr>
          <w:rFonts w:ascii="Book Antiqua" w:hAnsi="Book Antiqua" w:cs="Arial"/>
          <w:sz w:val="22"/>
        </w:rPr>
        <w:t xml:space="preserve"> he had been </w:t>
      </w:r>
      <w:r w:rsidR="00FE7039" w:rsidRPr="00FA0910">
        <w:rPr>
          <w:rFonts w:ascii="Book Antiqua" w:hAnsi="Book Antiqua" w:cs="Arial"/>
          <w:sz w:val="22"/>
        </w:rPr>
        <w:t>recognised</w:t>
      </w:r>
      <w:r w:rsidRPr="00FA0910">
        <w:rPr>
          <w:rFonts w:ascii="Book Antiqua" w:hAnsi="Book Antiqua" w:cs="Arial"/>
          <w:sz w:val="22"/>
        </w:rPr>
        <w:t xml:space="preserve"> as a refugee have still not ceased to exist upon consideration and reliance on head note </w:t>
      </w:r>
      <w:r w:rsidR="002658C5" w:rsidRPr="00FA0910">
        <w:rPr>
          <w:rFonts w:ascii="Book Antiqua" w:hAnsi="Book Antiqua" w:cs="Arial"/>
          <w:sz w:val="22"/>
        </w:rPr>
        <w:t>(</w:t>
      </w:r>
      <w:r w:rsidRPr="00FA0910">
        <w:rPr>
          <w:rFonts w:ascii="Book Antiqua" w:hAnsi="Book Antiqua" w:cs="Arial"/>
          <w:sz w:val="22"/>
        </w:rPr>
        <w:t>ix</w:t>
      </w:r>
      <w:r w:rsidR="002658C5" w:rsidRPr="00FA0910">
        <w:rPr>
          <w:rFonts w:ascii="Book Antiqua" w:hAnsi="Book Antiqua" w:cs="Arial"/>
          <w:sz w:val="22"/>
        </w:rPr>
        <w:t>)</w:t>
      </w:r>
      <w:r w:rsidRPr="00FA0910">
        <w:rPr>
          <w:rFonts w:ascii="Book Antiqua" w:hAnsi="Book Antiqua" w:cs="Arial"/>
          <w:sz w:val="22"/>
        </w:rPr>
        <w:t xml:space="preserve"> and </w:t>
      </w:r>
      <w:r w:rsidR="002658C5" w:rsidRPr="00FA0910">
        <w:rPr>
          <w:rFonts w:ascii="Book Antiqua" w:hAnsi="Book Antiqua" w:cs="Arial"/>
          <w:sz w:val="22"/>
        </w:rPr>
        <w:t>(</w:t>
      </w:r>
      <w:r w:rsidRPr="00FA0910">
        <w:rPr>
          <w:rFonts w:ascii="Book Antiqua" w:hAnsi="Book Antiqua" w:cs="Arial"/>
          <w:sz w:val="22"/>
        </w:rPr>
        <w:t>x</w:t>
      </w:r>
      <w:r w:rsidR="002658C5" w:rsidRPr="00FA0910">
        <w:rPr>
          <w:rFonts w:ascii="Book Antiqua" w:hAnsi="Book Antiqua" w:cs="Arial"/>
          <w:sz w:val="22"/>
        </w:rPr>
        <w:t>)</w:t>
      </w:r>
      <w:r w:rsidRPr="00FA0910">
        <w:rPr>
          <w:rFonts w:ascii="Book Antiqua" w:hAnsi="Book Antiqua" w:cs="Arial"/>
          <w:sz w:val="22"/>
        </w:rPr>
        <w:t xml:space="preserve"> of </w:t>
      </w:r>
      <w:r w:rsidRPr="00FA0910">
        <w:rPr>
          <w:rFonts w:ascii="Book Antiqua" w:hAnsi="Book Antiqua" w:cs="Arial"/>
          <w:sz w:val="22"/>
          <w:u w:val="single"/>
        </w:rPr>
        <w:t>MOJ and Others</w:t>
      </w:r>
      <w:r w:rsidRPr="00FA0910">
        <w:rPr>
          <w:rFonts w:ascii="Book Antiqua" w:hAnsi="Book Antiqua" w:cs="Arial"/>
          <w:sz w:val="22"/>
        </w:rPr>
        <w:t>”.</w:t>
      </w:r>
    </w:p>
    <w:p w14:paraId="109CB8CA" w14:textId="77777777" w:rsidR="002434D4" w:rsidRDefault="002434D4" w:rsidP="004D6B45">
      <w:pPr>
        <w:numPr>
          <w:ilvl w:val="0"/>
          <w:numId w:val="1"/>
        </w:numPr>
        <w:tabs>
          <w:tab w:val="clear" w:pos="567"/>
        </w:tabs>
        <w:spacing w:before="240"/>
        <w:jc w:val="both"/>
        <w:rPr>
          <w:rFonts w:ascii="Book Antiqua" w:hAnsi="Book Antiqua" w:cs="Arial"/>
        </w:rPr>
      </w:pPr>
      <w:r>
        <w:rPr>
          <w:rFonts w:ascii="Book Antiqua" w:hAnsi="Book Antiqua" w:cs="Arial"/>
        </w:rPr>
        <w:lastRenderedPageBreak/>
        <w:t xml:space="preserve">The Secretary of State then sought </w:t>
      </w:r>
      <w:r w:rsidR="00FE7039">
        <w:rPr>
          <w:rFonts w:ascii="Book Antiqua" w:hAnsi="Book Antiqua" w:cs="Arial"/>
        </w:rPr>
        <w:t>permission</w:t>
      </w:r>
      <w:r>
        <w:rPr>
          <w:rFonts w:ascii="Book Antiqua" w:hAnsi="Book Antiqua" w:cs="Arial"/>
        </w:rPr>
        <w:t xml:space="preserve"> to appeal on a number of grounds.  It is asserted first </w:t>
      </w:r>
      <w:r w:rsidR="00D85FA6">
        <w:rPr>
          <w:rFonts w:ascii="Book Antiqua" w:hAnsi="Book Antiqua" w:cs="Arial"/>
        </w:rPr>
        <w:t xml:space="preserve">that the respondent had never been assessed as a refugee, it was said that there had never been a finding that he would be at risk in Somalia.  Second, that the judge had erred in finding that the respondent would be unable to return to Somalia in that the judge had failed properly to engage with head note at </w:t>
      </w:r>
      <w:r w:rsidR="00F21945">
        <w:rPr>
          <w:rFonts w:ascii="Book Antiqua" w:hAnsi="Book Antiqua" w:cs="Arial"/>
        </w:rPr>
        <w:t>(</w:t>
      </w:r>
      <w:r w:rsidR="00D85FA6">
        <w:rPr>
          <w:rFonts w:ascii="Book Antiqua" w:hAnsi="Book Antiqua" w:cs="Arial"/>
        </w:rPr>
        <w:t>ix</w:t>
      </w:r>
      <w:r w:rsidR="00F21945">
        <w:rPr>
          <w:rFonts w:ascii="Book Antiqua" w:hAnsi="Book Antiqua" w:cs="Arial"/>
        </w:rPr>
        <w:t>)</w:t>
      </w:r>
      <w:r w:rsidR="00D85FA6">
        <w:rPr>
          <w:rFonts w:ascii="Book Antiqua" w:hAnsi="Book Antiqua" w:cs="Arial"/>
        </w:rPr>
        <w:t xml:space="preserve"> and </w:t>
      </w:r>
      <w:r w:rsidR="00F21945">
        <w:rPr>
          <w:rFonts w:ascii="Book Antiqua" w:hAnsi="Book Antiqua" w:cs="Arial"/>
        </w:rPr>
        <w:t>(</w:t>
      </w:r>
      <w:r w:rsidR="00D85FA6">
        <w:rPr>
          <w:rFonts w:ascii="Book Antiqua" w:hAnsi="Book Antiqua" w:cs="Arial"/>
        </w:rPr>
        <w:t>x</w:t>
      </w:r>
      <w:r w:rsidR="00F21945">
        <w:rPr>
          <w:rFonts w:ascii="Book Antiqua" w:hAnsi="Book Antiqua" w:cs="Arial"/>
        </w:rPr>
        <w:t>)</w:t>
      </w:r>
      <w:r w:rsidR="00D85FA6">
        <w:rPr>
          <w:rFonts w:ascii="Book Antiqua" w:hAnsi="Book Antiqua" w:cs="Arial"/>
        </w:rPr>
        <w:t xml:space="preserve"> of </w:t>
      </w:r>
      <w:r w:rsidR="00D85FA6" w:rsidRPr="002658C5">
        <w:rPr>
          <w:rFonts w:ascii="Book Antiqua" w:hAnsi="Book Antiqua" w:cs="Arial"/>
          <w:u w:val="single"/>
        </w:rPr>
        <w:t>MOJ</w:t>
      </w:r>
      <w:r w:rsidR="00D85FA6" w:rsidRPr="002658C5">
        <w:rPr>
          <w:rFonts w:ascii="Book Antiqua" w:hAnsi="Book Antiqua" w:cs="Arial"/>
        </w:rPr>
        <w:t>,</w:t>
      </w:r>
      <w:r w:rsidR="00D85FA6">
        <w:rPr>
          <w:rFonts w:ascii="Book Antiqua" w:hAnsi="Book Antiqua" w:cs="Arial"/>
        </w:rPr>
        <w:t xml:space="preserve"> it being averred that the judge fails to set out properly why the respondent could not receive remittances and had not shown why he could not return to Mogadishu, it being averred that he would receive the </w:t>
      </w:r>
      <w:r w:rsidR="00FE7039">
        <w:rPr>
          <w:rFonts w:ascii="Book Antiqua" w:hAnsi="Book Antiqua" w:cs="Arial"/>
        </w:rPr>
        <w:t>assistance</w:t>
      </w:r>
      <w:r w:rsidR="00D85FA6">
        <w:rPr>
          <w:rFonts w:ascii="Book Antiqua" w:hAnsi="Book Antiqua" w:cs="Arial"/>
        </w:rPr>
        <w:t xml:space="preserve"> he needs and may be in </w:t>
      </w:r>
      <w:r w:rsidR="002658C5">
        <w:rPr>
          <w:rFonts w:ascii="Book Antiqua" w:hAnsi="Book Antiqua" w:cs="Arial"/>
        </w:rPr>
        <w:t>a better</w:t>
      </w:r>
      <w:r w:rsidR="00D85FA6">
        <w:rPr>
          <w:rFonts w:ascii="Book Antiqua" w:hAnsi="Book Antiqua" w:cs="Arial"/>
        </w:rPr>
        <w:t xml:space="preserve"> position </w:t>
      </w:r>
      <w:r w:rsidR="002658C5">
        <w:rPr>
          <w:rFonts w:ascii="Book Antiqua" w:hAnsi="Book Antiqua" w:cs="Arial"/>
        </w:rPr>
        <w:t>in</w:t>
      </w:r>
      <w:r w:rsidR="00D85FA6">
        <w:rPr>
          <w:rFonts w:ascii="Book Antiqua" w:hAnsi="Book Antiqua" w:cs="Arial"/>
        </w:rPr>
        <w:t xml:space="preserve"> terms of him obtaining employment.  </w:t>
      </w:r>
    </w:p>
    <w:p w14:paraId="6769DEA5" w14:textId="77777777" w:rsidR="00D85FA6" w:rsidRDefault="00D85FA6" w:rsidP="004D6B45">
      <w:pPr>
        <w:numPr>
          <w:ilvl w:val="0"/>
          <w:numId w:val="1"/>
        </w:numPr>
        <w:tabs>
          <w:tab w:val="clear" w:pos="567"/>
        </w:tabs>
        <w:spacing w:before="240"/>
        <w:jc w:val="both"/>
        <w:rPr>
          <w:rFonts w:ascii="Book Antiqua" w:hAnsi="Book Antiqua" w:cs="Arial"/>
        </w:rPr>
      </w:pPr>
      <w:r>
        <w:rPr>
          <w:rFonts w:ascii="Book Antiqua" w:hAnsi="Book Antiqua" w:cs="Arial"/>
        </w:rPr>
        <w:t>Finally, the Secretary of State stated she re</w:t>
      </w:r>
      <w:r w:rsidR="005F4FEC">
        <w:rPr>
          <w:rFonts w:ascii="Book Antiqua" w:hAnsi="Book Antiqua" w:cs="Arial"/>
        </w:rPr>
        <w:t xml:space="preserve">serves </w:t>
      </w:r>
      <w:r>
        <w:rPr>
          <w:rFonts w:ascii="Book Antiqua" w:hAnsi="Book Antiqua" w:cs="Arial"/>
        </w:rPr>
        <w:t>the right to argue in these proceedings that the appellant is not a refugee, thus arguably Article 1C</w:t>
      </w:r>
      <w:r w:rsidR="00496F65">
        <w:rPr>
          <w:rFonts w:ascii="Book Antiqua" w:hAnsi="Book Antiqua" w:cs="Arial"/>
        </w:rPr>
        <w:t xml:space="preserve"> </w:t>
      </w:r>
      <w:r>
        <w:rPr>
          <w:rFonts w:ascii="Book Antiqua" w:hAnsi="Book Antiqua" w:cs="Arial"/>
        </w:rPr>
        <w:t xml:space="preserve">(5) and paragraph 339A(v) of the Immigration Rules are not engaged.  Alternatively, that the appellant can lawfully be deported on grounds of public order set out in Article 32(1), and in any </w:t>
      </w:r>
      <w:proofErr w:type="gramStart"/>
      <w:r>
        <w:rPr>
          <w:rFonts w:ascii="Book Antiqua" w:hAnsi="Book Antiqua" w:cs="Arial"/>
        </w:rPr>
        <w:t>event</w:t>
      </w:r>
      <w:proofErr w:type="gramEnd"/>
      <w:r>
        <w:rPr>
          <w:rFonts w:ascii="Book Antiqua" w:hAnsi="Book Antiqua" w:cs="Arial"/>
        </w:rPr>
        <w:t xml:space="preserve"> there is no impediment to his deportation arising from the Human Rights Act.  </w:t>
      </w:r>
    </w:p>
    <w:p w14:paraId="638F41CC" w14:textId="77777777" w:rsidR="00D85FA6" w:rsidRDefault="00D85FA6" w:rsidP="004D6B45">
      <w:pPr>
        <w:numPr>
          <w:ilvl w:val="0"/>
          <w:numId w:val="1"/>
        </w:numPr>
        <w:tabs>
          <w:tab w:val="clear" w:pos="567"/>
        </w:tabs>
        <w:spacing w:before="240"/>
        <w:jc w:val="both"/>
        <w:rPr>
          <w:rFonts w:ascii="Book Antiqua" w:hAnsi="Book Antiqua" w:cs="Arial"/>
        </w:rPr>
      </w:pPr>
      <w:r>
        <w:rPr>
          <w:rFonts w:ascii="Book Antiqua" w:hAnsi="Book Antiqua" w:cs="Arial"/>
        </w:rPr>
        <w:t>Permission was initially refused by Designated Judge Shaerf but was granted by Upper Tribunal Judge Kebede on a renewed application.  Judge Kebede s</w:t>
      </w:r>
      <w:r w:rsidR="00496F65">
        <w:rPr>
          <w:rFonts w:ascii="Book Antiqua" w:hAnsi="Book Antiqua" w:cs="Arial"/>
        </w:rPr>
        <w:t>tate</w:t>
      </w:r>
      <w:r>
        <w:rPr>
          <w:rFonts w:ascii="Book Antiqua" w:hAnsi="Book Antiqua" w:cs="Arial"/>
        </w:rPr>
        <w:t>d:</w:t>
      </w:r>
      <w:r w:rsidR="00865ECC">
        <w:rPr>
          <w:rFonts w:ascii="Book Antiqua" w:hAnsi="Book Antiqua" w:cs="Arial"/>
        </w:rPr>
        <w:t xml:space="preserve"> </w:t>
      </w:r>
      <w:r>
        <w:rPr>
          <w:rFonts w:ascii="Book Antiqua" w:hAnsi="Book Antiqua" w:cs="Arial"/>
        </w:rPr>
        <w:t>-</w:t>
      </w:r>
    </w:p>
    <w:p w14:paraId="09DC117E" w14:textId="77777777" w:rsidR="00D85FA6" w:rsidRPr="00FA0910" w:rsidRDefault="00D85FA6" w:rsidP="00FA0910">
      <w:pPr>
        <w:spacing w:before="120"/>
        <w:ind w:left="1134" w:right="567"/>
        <w:jc w:val="both"/>
        <w:rPr>
          <w:rFonts w:ascii="Book Antiqua" w:hAnsi="Book Antiqua" w:cs="Arial"/>
          <w:sz w:val="22"/>
        </w:rPr>
      </w:pPr>
      <w:r w:rsidRPr="00FA0910">
        <w:rPr>
          <w:rFonts w:ascii="Book Antiqua" w:hAnsi="Book Antiqua" w:cs="Arial"/>
          <w:sz w:val="22"/>
        </w:rPr>
        <w:t xml:space="preserve">“There is arguable merit in the assertion in the grounds </w:t>
      </w:r>
      <w:r w:rsidR="00E42065" w:rsidRPr="00FA0910">
        <w:rPr>
          <w:rFonts w:ascii="Book Antiqua" w:hAnsi="Book Antiqua" w:cs="Arial"/>
          <w:sz w:val="22"/>
        </w:rPr>
        <w:t xml:space="preserve">that the judge’s decision was, in parts, </w:t>
      </w:r>
      <w:r w:rsidR="00FE7039" w:rsidRPr="00FA0910">
        <w:rPr>
          <w:rFonts w:ascii="Book Antiqua" w:hAnsi="Book Antiqua" w:cs="Arial"/>
          <w:sz w:val="22"/>
        </w:rPr>
        <w:t>arguably</w:t>
      </w:r>
      <w:r w:rsidR="00E42065" w:rsidRPr="00FA0910">
        <w:rPr>
          <w:rFonts w:ascii="Book Antiqua" w:hAnsi="Book Antiqua" w:cs="Arial"/>
          <w:sz w:val="22"/>
        </w:rPr>
        <w:t xml:space="preserve"> inconsistent with the guidance in </w:t>
      </w:r>
      <w:r w:rsidR="00E42065" w:rsidRPr="00FA0910">
        <w:rPr>
          <w:rFonts w:ascii="Book Antiqua" w:hAnsi="Book Antiqua" w:cs="Arial"/>
          <w:sz w:val="22"/>
          <w:u w:val="single"/>
        </w:rPr>
        <w:t>MOJ &amp; Ors (Return to Mogadishu) Somalia CG [2014] UKUT 00442</w:t>
      </w:r>
      <w:r w:rsidR="00E42065" w:rsidRPr="00FA0910">
        <w:rPr>
          <w:rFonts w:ascii="Book Antiqua" w:hAnsi="Book Antiqua" w:cs="Arial"/>
          <w:sz w:val="22"/>
        </w:rPr>
        <w:t>, with particular reference to headnote (x) and the prospects of securing a livelihood.”</w:t>
      </w:r>
    </w:p>
    <w:p w14:paraId="5A97D534" w14:textId="77777777" w:rsidR="00D85FA6" w:rsidRDefault="00361D3D"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It is, </w:t>
      </w:r>
      <w:r w:rsidR="004A2206">
        <w:rPr>
          <w:rFonts w:ascii="Book Antiqua" w:hAnsi="Book Antiqua" w:cs="Arial"/>
        </w:rPr>
        <w:t>appropriate</w:t>
      </w:r>
      <w:r>
        <w:rPr>
          <w:rFonts w:ascii="Book Antiqua" w:hAnsi="Book Antiqua" w:cs="Arial"/>
        </w:rPr>
        <w:t xml:space="preserve"> to address</w:t>
      </w:r>
      <w:r w:rsidR="001342B6">
        <w:rPr>
          <w:rFonts w:ascii="Book Antiqua" w:hAnsi="Book Antiqua" w:cs="Arial"/>
        </w:rPr>
        <w:t xml:space="preserve"> initially</w:t>
      </w:r>
      <w:r>
        <w:rPr>
          <w:rFonts w:ascii="Book Antiqua" w:hAnsi="Book Antiqua" w:cs="Arial"/>
        </w:rPr>
        <w:t xml:space="preserve"> the first and last </w:t>
      </w:r>
      <w:r w:rsidR="00FE7039">
        <w:rPr>
          <w:rFonts w:ascii="Book Antiqua" w:hAnsi="Book Antiqua" w:cs="Arial"/>
        </w:rPr>
        <w:t>grounds</w:t>
      </w:r>
      <w:r>
        <w:rPr>
          <w:rFonts w:ascii="Book Antiqua" w:hAnsi="Book Antiqua" w:cs="Arial"/>
        </w:rPr>
        <w:t xml:space="preserve"> </w:t>
      </w:r>
      <w:r w:rsidR="004A2206">
        <w:rPr>
          <w:rFonts w:ascii="Book Antiqua" w:hAnsi="Book Antiqua" w:cs="Arial"/>
        </w:rPr>
        <w:t xml:space="preserve">raised </w:t>
      </w:r>
      <w:r w:rsidR="003E5C54">
        <w:rPr>
          <w:rFonts w:ascii="Book Antiqua" w:hAnsi="Book Antiqua" w:cs="Arial"/>
        </w:rPr>
        <w:t>by the Secretary of State.  F</w:t>
      </w:r>
      <w:r>
        <w:rPr>
          <w:rFonts w:ascii="Book Antiqua" w:hAnsi="Book Antiqua" w:cs="Arial"/>
        </w:rPr>
        <w:t>i</w:t>
      </w:r>
      <w:r w:rsidR="003E5C54">
        <w:rPr>
          <w:rFonts w:ascii="Book Antiqua" w:hAnsi="Book Antiqua" w:cs="Arial"/>
        </w:rPr>
        <w:t>r</w:t>
      </w:r>
      <w:r>
        <w:rPr>
          <w:rFonts w:ascii="Book Antiqua" w:hAnsi="Book Antiqua" w:cs="Arial"/>
        </w:rPr>
        <w:t xml:space="preserve">st, if it is the Secretary of State’s case the appellant was not recognised as a refugee, then it begs the question of why he </w:t>
      </w:r>
      <w:r w:rsidR="004A2206">
        <w:rPr>
          <w:rFonts w:ascii="Book Antiqua" w:hAnsi="Book Antiqua" w:cs="Arial"/>
        </w:rPr>
        <w:t xml:space="preserve">expressly stated </w:t>
      </w:r>
      <w:r>
        <w:rPr>
          <w:rFonts w:ascii="Book Antiqua" w:hAnsi="Book Antiqua" w:cs="Arial"/>
        </w:rPr>
        <w:t xml:space="preserve">that he had been </w:t>
      </w:r>
      <w:r w:rsidR="00FE7039">
        <w:rPr>
          <w:rFonts w:ascii="Book Antiqua" w:hAnsi="Book Antiqua" w:cs="Arial"/>
        </w:rPr>
        <w:t>recognised</w:t>
      </w:r>
      <w:r>
        <w:rPr>
          <w:rFonts w:ascii="Book Antiqua" w:hAnsi="Book Antiqua" w:cs="Arial"/>
        </w:rPr>
        <w:t xml:space="preserve"> as a refugee in the refusal letters.  If </w:t>
      </w:r>
      <w:r w:rsidR="004A2206">
        <w:rPr>
          <w:rFonts w:ascii="Book Antiqua" w:hAnsi="Book Antiqua" w:cs="Arial"/>
        </w:rPr>
        <w:t>it i</w:t>
      </w:r>
      <w:r>
        <w:rPr>
          <w:rFonts w:ascii="Book Antiqua" w:hAnsi="Book Antiqua" w:cs="Arial"/>
        </w:rPr>
        <w:t>s the Secretary of State’s case now</w:t>
      </w:r>
      <w:r w:rsidR="00EE4A01">
        <w:rPr>
          <w:rFonts w:ascii="Book Antiqua" w:hAnsi="Book Antiqua" w:cs="Arial"/>
        </w:rPr>
        <w:t xml:space="preserve"> that the respondent is not and never has been a refugee</w:t>
      </w:r>
      <w:r>
        <w:rPr>
          <w:rFonts w:ascii="Book Antiqua" w:hAnsi="Book Antiqua" w:cs="Arial"/>
        </w:rPr>
        <w:t>, then it is of course open to h</w:t>
      </w:r>
      <w:r w:rsidR="00EE4A01">
        <w:rPr>
          <w:rFonts w:ascii="Book Antiqua" w:hAnsi="Book Antiqua" w:cs="Arial"/>
        </w:rPr>
        <w:t>im</w:t>
      </w:r>
      <w:r>
        <w:rPr>
          <w:rFonts w:ascii="Book Antiqua" w:hAnsi="Book Antiqua" w:cs="Arial"/>
        </w:rPr>
        <w:t xml:space="preserve"> to withdraw the decision and make a fresh decision on the basis that he was never granted refugee</w:t>
      </w:r>
      <w:r w:rsidR="00E643CC">
        <w:rPr>
          <w:rFonts w:ascii="Book Antiqua" w:hAnsi="Book Antiqua" w:cs="Arial"/>
        </w:rPr>
        <w:t xml:space="preserve"> status</w:t>
      </w:r>
      <w:r>
        <w:rPr>
          <w:rFonts w:ascii="Book Antiqua" w:hAnsi="Book Antiqua" w:cs="Arial"/>
        </w:rPr>
        <w:t xml:space="preserve">, but that is not what the Secretary of State has done.  </w:t>
      </w:r>
      <w:r w:rsidR="00FE7039">
        <w:rPr>
          <w:rFonts w:ascii="Book Antiqua" w:hAnsi="Book Antiqua" w:cs="Arial"/>
        </w:rPr>
        <w:t>Further</w:t>
      </w:r>
      <w:r>
        <w:rPr>
          <w:rFonts w:ascii="Book Antiqua" w:hAnsi="Book Antiqua" w:cs="Arial"/>
        </w:rPr>
        <w:t xml:space="preserve">, what is set out in paragraph 9 of the grounds, that the Secretary of State reserves the right to argue in these proceedings, makes little sense in that context.  If that was the case then that is how he </w:t>
      </w:r>
      <w:r w:rsidR="00FE7039">
        <w:rPr>
          <w:rFonts w:ascii="Book Antiqua" w:hAnsi="Book Antiqua" w:cs="Arial"/>
        </w:rPr>
        <w:t>should</w:t>
      </w:r>
      <w:r>
        <w:rPr>
          <w:rFonts w:ascii="Book Antiqua" w:hAnsi="Book Antiqua" w:cs="Arial"/>
        </w:rPr>
        <w:t xml:space="preserve"> have presented it in the first place.  An appeal to the Upper Tribunal is not</w:t>
      </w:r>
      <w:r w:rsidR="00E643CC">
        <w:rPr>
          <w:rFonts w:ascii="Book Antiqua" w:hAnsi="Book Antiqua" w:cs="Arial"/>
        </w:rPr>
        <w:t xml:space="preserve"> an opportunity</w:t>
      </w:r>
      <w:r>
        <w:rPr>
          <w:rFonts w:ascii="Book Antiqua" w:hAnsi="Book Antiqua" w:cs="Arial"/>
        </w:rPr>
        <w:t xml:space="preserve"> for the Secretary of State to </w:t>
      </w:r>
      <w:r w:rsidR="00E643CC">
        <w:rPr>
          <w:rFonts w:ascii="Book Antiqua" w:hAnsi="Book Antiqua" w:cs="Arial"/>
        </w:rPr>
        <w:t>change his case from that</w:t>
      </w:r>
      <w:r>
        <w:rPr>
          <w:rFonts w:ascii="Book Antiqua" w:hAnsi="Book Antiqua" w:cs="Arial"/>
        </w:rPr>
        <w:t xml:space="preserve"> put </w:t>
      </w:r>
      <w:r w:rsidR="00FE7039">
        <w:rPr>
          <w:rFonts w:ascii="Book Antiqua" w:hAnsi="Book Antiqua" w:cs="Arial"/>
        </w:rPr>
        <w:t>when</w:t>
      </w:r>
      <w:r>
        <w:rPr>
          <w:rFonts w:ascii="Book Antiqua" w:hAnsi="Book Antiqua" w:cs="Arial"/>
        </w:rPr>
        <w:t xml:space="preserve"> </w:t>
      </w:r>
      <w:r w:rsidR="00D1362F">
        <w:rPr>
          <w:rFonts w:ascii="Book Antiqua" w:hAnsi="Book Antiqua" w:cs="Arial"/>
        </w:rPr>
        <w:t>to the</w:t>
      </w:r>
      <w:r>
        <w:rPr>
          <w:rFonts w:ascii="Book Antiqua" w:hAnsi="Book Antiqua" w:cs="Arial"/>
        </w:rPr>
        <w:t xml:space="preserve"> First-tier Tribunal</w:t>
      </w:r>
      <w:proofErr w:type="gramStart"/>
      <w:r w:rsidR="00D1362F">
        <w:rPr>
          <w:rFonts w:ascii="Book Antiqua" w:hAnsi="Book Antiqua" w:cs="Arial"/>
        </w:rPr>
        <w:t xml:space="preserve">. </w:t>
      </w:r>
      <w:r>
        <w:rPr>
          <w:rFonts w:ascii="Book Antiqua" w:hAnsi="Book Antiqua" w:cs="Arial"/>
        </w:rPr>
        <w:t>,</w:t>
      </w:r>
      <w:proofErr w:type="gramEnd"/>
      <w:r>
        <w:rPr>
          <w:rFonts w:ascii="Book Antiqua" w:hAnsi="Book Antiqua" w:cs="Arial"/>
        </w:rPr>
        <w:t xml:space="preserve"> and finally it is difficult to see how Article 32(1)</w:t>
      </w:r>
      <w:r w:rsidR="007B5A95">
        <w:rPr>
          <w:rFonts w:ascii="Book Antiqua" w:hAnsi="Book Antiqua" w:cs="Arial"/>
        </w:rPr>
        <w:t xml:space="preserve"> was</w:t>
      </w:r>
      <w:r>
        <w:rPr>
          <w:rFonts w:ascii="Book Antiqua" w:hAnsi="Book Antiqua" w:cs="Arial"/>
        </w:rPr>
        <w:t xml:space="preserve"> engaged in any event in this case</w:t>
      </w:r>
      <w:r w:rsidR="007B5A95">
        <w:rPr>
          <w:rFonts w:ascii="Book Antiqua" w:hAnsi="Book Antiqua" w:cs="Arial"/>
        </w:rPr>
        <w:t>, giv</w:t>
      </w:r>
      <w:r w:rsidR="00693174">
        <w:rPr>
          <w:rFonts w:ascii="Book Antiqua" w:hAnsi="Book Antiqua" w:cs="Arial"/>
        </w:rPr>
        <w:t xml:space="preserve">en the procedural protections in article 32 (3). </w:t>
      </w:r>
    </w:p>
    <w:p w14:paraId="0DDB2235" w14:textId="1B97E924" w:rsidR="00361D3D" w:rsidRDefault="005E02F8" w:rsidP="004D6B45">
      <w:pPr>
        <w:numPr>
          <w:ilvl w:val="0"/>
          <w:numId w:val="1"/>
        </w:numPr>
        <w:tabs>
          <w:tab w:val="clear" w:pos="567"/>
        </w:tabs>
        <w:spacing w:before="240"/>
        <w:jc w:val="both"/>
        <w:rPr>
          <w:rFonts w:ascii="Book Antiqua" w:hAnsi="Book Antiqua" w:cs="Arial"/>
        </w:rPr>
      </w:pPr>
      <w:r>
        <w:rPr>
          <w:rFonts w:ascii="Book Antiqua" w:hAnsi="Book Antiqua" w:cs="Arial"/>
        </w:rPr>
        <w:t>T</w:t>
      </w:r>
      <w:r w:rsidR="00361D3D">
        <w:rPr>
          <w:rFonts w:ascii="Book Antiqua" w:hAnsi="Book Antiqua" w:cs="Arial"/>
        </w:rPr>
        <w:t>he challenge brought by the Secretary of State is that the findings of fact</w:t>
      </w:r>
      <w:r>
        <w:rPr>
          <w:rFonts w:ascii="Book Antiqua" w:hAnsi="Book Antiqua" w:cs="Arial"/>
        </w:rPr>
        <w:t xml:space="preserve"> are,</w:t>
      </w:r>
      <w:r w:rsidR="00361D3D">
        <w:rPr>
          <w:rFonts w:ascii="Book Antiqua" w:hAnsi="Book Antiqua" w:cs="Arial"/>
        </w:rPr>
        <w:t xml:space="preserve"> in light of </w:t>
      </w:r>
      <w:r w:rsidR="00361D3D" w:rsidRPr="00865ECC">
        <w:rPr>
          <w:rFonts w:ascii="Book Antiqua" w:hAnsi="Book Antiqua" w:cs="Arial"/>
          <w:u w:val="single"/>
        </w:rPr>
        <w:t>MOJ</w:t>
      </w:r>
      <w:r>
        <w:rPr>
          <w:rFonts w:ascii="Book Antiqua" w:hAnsi="Book Antiqua" w:cs="Arial"/>
          <w:u w:val="single"/>
        </w:rPr>
        <w:t>,</w:t>
      </w:r>
      <w:r w:rsidR="00361D3D">
        <w:rPr>
          <w:rFonts w:ascii="Book Antiqua" w:hAnsi="Book Antiqua" w:cs="Arial"/>
        </w:rPr>
        <w:t xml:space="preserve"> perverse.  I consider that there is merit in the submission by Mr Malik following on from </w:t>
      </w:r>
      <w:r w:rsidR="005D41BE" w:rsidRPr="00865ECC">
        <w:rPr>
          <w:rFonts w:ascii="Book Antiqua" w:hAnsi="Book Antiqua" w:cs="Arial"/>
          <w:u w:val="single"/>
        </w:rPr>
        <w:t>FY</w:t>
      </w:r>
      <w:r w:rsidR="005D41BE" w:rsidRPr="00865ECC">
        <w:rPr>
          <w:rFonts w:ascii="Book Antiqua" w:hAnsi="Book Antiqua" w:cs="Arial"/>
        </w:rPr>
        <w:t xml:space="preserve"> [2017] EWCA Civ </w:t>
      </w:r>
      <w:r w:rsidR="00361D3D" w:rsidRPr="00865ECC">
        <w:rPr>
          <w:rFonts w:ascii="Book Antiqua" w:hAnsi="Book Antiqua" w:cs="Arial"/>
        </w:rPr>
        <w:t>1853 that</w:t>
      </w:r>
      <w:r w:rsidR="00361D3D">
        <w:rPr>
          <w:rFonts w:ascii="Book Antiqua" w:hAnsi="Book Antiqua" w:cs="Arial"/>
        </w:rPr>
        <w:t xml:space="preserve"> what the Secretary of State </w:t>
      </w:r>
      <w:r w:rsidR="00CD3B9D">
        <w:rPr>
          <w:rFonts w:ascii="Book Antiqua" w:hAnsi="Book Antiqua" w:cs="Arial"/>
        </w:rPr>
        <w:t xml:space="preserve">is seeking to do is to attack the findings of fact </w:t>
      </w:r>
      <w:r w:rsidR="00F20728">
        <w:rPr>
          <w:rFonts w:ascii="Book Antiqua" w:hAnsi="Book Antiqua" w:cs="Arial"/>
        </w:rPr>
        <w:t xml:space="preserve">which led to a conclusion with which the Secretary of State does not agree.  </w:t>
      </w:r>
      <w:r>
        <w:rPr>
          <w:rFonts w:ascii="Book Antiqua" w:hAnsi="Book Antiqua" w:cs="Arial"/>
        </w:rPr>
        <w:t xml:space="preserve"> As was noted in </w:t>
      </w:r>
      <w:r>
        <w:rPr>
          <w:rFonts w:ascii="Book Antiqua" w:hAnsi="Book Antiqua" w:cs="Arial"/>
          <w:u w:val="single"/>
        </w:rPr>
        <w:t>FY</w:t>
      </w:r>
      <w:r>
        <w:rPr>
          <w:rFonts w:ascii="Book Antiqua" w:hAnsi="Book Antiqua" w:cs="Arial"/>
        </w:rPr>
        <w:t xml:space="preserve"> at</w:t>
      </w:r>
      <w:r w:rsidR="00833529">
        <w:rPr>
          <w:rFonts w:ascii="Book Antiqua" w:hAnsi="Book Antiqua" w:cs="Arial"/>
        </w:rPr>
        <w:t xml:space="preserve"> [24]:</w:t>
      </w:r>
    </w:p>
    <w:p w14:paraId="08114A27" w14:textId="5B99EC1B" w:rsidR="00833529" w:rsidRPr="00213E1F" w:rsidRDefault="00833529" w:rsidP="00FA0910">
      <w:pPr>
        <w:pStyle w:val="ListParagraph"/>
        <w:tabs>
          <w:tab w:val="left" w:pos="1701"/>
        </w:tabs>
        <w:spacing w:before="120"/>
        <w:ind w:left="1134" w:right="567"/>
        <w:contextualSpacing w:val="0"/>
        <w:jc w:val="both"/>
        <w:rPr>
          <w:rFonts w:ascii="Book Antiqua" w:hAnsi="Book Antiqua"/>
          <w:sz w:val="22"/>
          <w:szCs w:val="22"/>
        </w:rPr>
      </w:pPr>
      <w:r w:rsidRPr="00213E1F">
        <w:rPr>
          <w:rFonts w:ascii="Book Antiqua" w:hAnsi="Book Antiqua"/>
          <w:sz w:val="22"/>
          <w:szCs w:val="22"/>
        </w:rPr>
        <w:t>24.</w:t>
      </w:r>
      <w:bookmarkStart w:id="1" w:name="para24"/>
      <w:r w:rsidR="00FA0910">
        <w:rPr>
          <w:rFonts w:ascii="Book Antiqua" w:hAnsi="Book Antiqua"/>
          <w:sz w:val="22"/>
          <w:szCs w:val="22"/>
        </w:rPr>
        <w:tab/>
      </w:r>
      <w:r w:rsidRPr="00213E1F">
        <w:rPr>
          <w:rFonts w:ascii="Book Antiqua" w:hAnsi="Book Antiqua"/>
          <w:sz w:val="22"/>
          <w:szCs w:val="22"/>
        </w:rPr>
        <w:t xml:space="preserve">I agree with Mr </w:t>
      </w:r>
      <w:proofErr w:type="spellStart"/>
      <w:r w:rsidRPr="00213E1F">
        <w:rPr>
          <w:rFonts w:ascii="Book Antiqua" w:hAnsi="Book Antiqua"/>
          <w:sz w:val="22"/>
          <w:szCs w:val="22"/>
        </w:rPr>
        <w:t>Toal's</w:t>
      </w:r>
      <w:proofErr w:type="spellEnd"/>
      <w:r w:rsidRPr="00213E1F">
        <w:rPr>
          <w:rFonts w:ascii="Book Antiqua" w:hAnsi="Book Antiqua"/>
          <w:sz w:val="22"/>
          <w:szCs w:val="22"/>
        </w:rPr>
        <w:t xml:space="preserve"> principal submission that properly analysed this appeal is a straightforward attack upon findings of fact which led to a conclusion with which the SSHD does not agree. As has been said repeatedly in this court and elsewhere, more usually when the appeal is by the individual to be deported, the </w:t>
      </w:r>
      <w:r w:rsidRPr="00213E1F">
        <w:rPr>
          <w:rFonts w:ascii="Book Antiqua" w:hAnsi="Book Antiqua"/>
          <w:sz w:val="22"/>
          <w:szCs w:val="22"/>
        </w:rPr>
        <w:lastRenderedPageBreak/>
        <w:t xml:space="preserve">courts will not interfere with findings of fact made by a specialist tribunal unless the findings are perverse. The findings here were not perverse. Looking at the case on the papers I think it likely that I would not have made the same finding in respect of FY's ability to obtain work as the </w:t>
      </w:r>
      <w:proofErr w:type="spellStart"/>
      <w:r w:rsidRPr="00213E1F">
        <w:rPr>
          <w:rFonts w:ascii="Book Antiqua" w:hAnsi="Book Antiqua"/>
          <w:sz w:val="22"/>
          <w:szCs w:val="22"/>
        </w:rPr>
        <w:t>FtT</w:t>
      </w:r>
      <w:proofErr w:type="spellEnd"/>
      <w:r w:rsidRPr="00213E1F">
        <w:rPr>
          <w:rFonts w:ascii="Book Antiqua" w:hAnsi="Book Antiqua"/>
          <w:sz w:val="22"/>
          <w:szCs w:val="22"/>
        </w:rPr>
        <w:t xml:space="preserve"> judge made and that may well have led me to a different conclusion but I am looking at the case on the papers only. The </w:t>
      </w:r>
      <w:proofErr w:type="spellStart"/>
      <w:r w:rsidRPr="00213E1F">
        <w:rPr>
          <w:rFonts w:ascii="Book Antiqua" w:hAnsi="Book Antiqua"/>
          <w:sz w:val="22"/>
          <w:szCs w:val="22"/>
        </w:rPr>
        <w:t>FtT</w:t>
      </w:r>
      <w:proofErr w:type="spellEnd"/>
      <w:r w:rsidRPr="00213E1F">
        <w:rPr>
          <w:rFonts w:ascii="Book Antiqua" w:hAnsi="Book Antiqua"/>
          <w:sz w:val="22"/>
          <w:szCs w:val="22"/>
        </w:rPr>
        <w:t xml:space="preserve"> judge had the advantage of seeing and assessing FY, an important advantage that should not be underestimated. The judgment of Lady Hale in </w:t>
      </w:r>
      <w:r w:rsidRPr="00213E1F">
        <w:rPr>
          <w:rFonts w:ascii="Book Antiqua" w:hAnsi="Book Antiqua"/>
          <w:i/>
          <w:iCs/>
          <w:sz w:val="22"/>
          <w:szCs w:val="22"/>
        </w:rPr>
        <w:t>AH (Sudan) v Secretary of State for the Home Department</w:t>
      </w:r>
      <w:r w:rsidRPr="00213E1F">
        <w:rPr>
          <w:rFonts w:ascii="Book Antiqua" w:hAnsi="Book Antiqua"/>
          <w:sz w:val="22"/>
          <w:szCs w:val="22"/>
        </w:rPr>
        <w:t xml:space="preserve"> </w:t>
      </w:r>
      <w:bookmarkEnd w:id="1"/>
      <w:r w:rsidRPr="00213E1F">
        <w:rPr>
          <w:rFonts w:ascii="Book Antiqua" w:hAnsi="Book Antiqua"/>
          <w:sz w:val="22"/>
          <w:szCs w:val="22"/>
        </w:rPr>
        <w:fldChar w:fldCharType="begin"/>
      </w:r>
      <w:r w:rsidRPr="00213E1F">
        <w:rPr>
          <w:rFonts w:ascii="Book Antiqua" w:hAnsi="Book Antiqua"/>
          <w:sz w:val="22"/>
          <w:szCs w:val="22"/>
        </w:rPr>
        <w:instrText xml:space="preserve"> HYPERLINK "http://www.bailii.org/uk/cases/UKHL/2007/49.html" \o "Link to BAILII version" </w:instrText>
      </w:r>
      <w:r w:rsidRPr="00213E1F">
        <w:rPr>
          <w:rFonts w:ascii="Book Antiqua" w:hAnsi="Book Antiqua"/>
          <w:sz w:val="22"/>
          <w:szCs w:val="22"/>
        </w:rPr>
        <w:fldChar w:fldCharType="separate"/>
      </w:r>
      <w:r w:rsidRPr="00213E1F">
        <w:rPr>
          <w:rStyle w:val="Hyperlink"/>
          <w:rFonts w:ascii="Book Antiqua" w:hAnsi="Book Antiqua"/>
          <w:sz w:val="22"/>
          <w:szCs w:val="22"/>
        </w:rPr>
        <w:t>[2007] UKHL 49</w:t>
      </w:r>
      <w:r w:rsidRPr="00213E1F">
        <w:rPr>
          <w:rFonts w:ascii="Book Antiqua" w:hAnsi="Book Antiqua"/>
          <w:sz w:val="22"/>
          <w:szCs w:val="22"/>
        </w:rPr>
        <w:fldChar w:fldCharType="end"/>
      </w:r>
      <w:r w:rsidRPr="00213E1F">
        <w:rPr>
          <w:rFonts w:ascii="Book Antiqua" w:hAnsi="Book Antiqua"/>
          <w:sz w:val="22"/>
          <w:szCs w:val="22"/>
        </w:rPr>
        <w:t xml:space="preserve">, </w:t>
      </w:r>
      <w:hyperlink r:id="rId8" w:tooltip="Link to BAILII version" w:history="1">
        <w:r w:rsidRPr="00213E1F">
          <w:rPr>
            <w:rStyle w:val="Hyperlink"/>
            <w:rFonts w:ascii="Book Antiqua" w:hAnsi="Book Antiqua"/>
            <w:sz w:val="22"/>
            <w:szCs w:val="22"/>
          </w:rPr>
          <w:t>[2008] AC 678</w:t>
        </w:r>
      </w:hyperlink>
      <w:r w:rsidRPr="00213E1F">
        <w:rPr>
          <w:rFonts w:ascii="Book Antiqua" w:hAnsi="Book Antiqua"/>
          <w:sz w:val="22"/>
          <w:szCs w:val="22"/>
        </w:rPr>
        <w:t xml:space="preserve"> emphasises this issue at paragraph 31:</w:t>
      </w:r>
    </w:p>
    <w:p w14:paraId="0311E997" w14:textId="4015E80A" w:rsidR="00833529" w:rsidRPr="00213E1F" w:rsidRDefault="00833529" w:rsidP="00FA0910">
      <w:pPr>
        <w:pStyle w:val="ListParagraph"/>
        <w:tabs>
          <w:tab w:val="left" w:pos="2268"/>
        </w:tabs>
        <w:spacing w:before="120"/>
        <w:ind w:left="1701" w:right="567"/>
        <w:contextualSpacing w:val="0"/>
        <w:jc w:val="both"/>
        <w:rPr>
          <w:rFonts w:ascii="Book Antiqua" w:hAnsi="Book Antiqua"/>
          <w:sz w:val="22"/>
          <w:szCs w:val="22"/>
        </w:rPr>
      </w:pPr>
      <w:r w:rsidRPr="00213E1F">
        <w:rPr>
          <w:rFonts w:ascii="Book Antiqua" w:hAnsi="Book Antiqua"/>
          <w:sz w:val="22"/>
          <w:szCs w:val="22"/>
        </w:rPr>
        <w:t>"…</w:t>
      </w:r>
      <w:r w:rsidR="00FA0910">
        <w:rPr>
          <w:rFonts w:ascii="Book Antiqua" w:hAnsi="Book Antiqua"/>
          <w:sz w:val="22"/>
          <w:szCs w:val="22"/>
        </w:rPr>
        <w:tab/>
      </w:r>
      <w:r w:rsidRPr="00213E1F">
        <w:rPr>
          <w:rFonts w:ascii="Book Antiqua" w:hAnsi="Book Antiqua"/>
          <w:sz w:val="22"/>
          <w:szCs w:val="22"/>
        </w:rPr>
        <w:t xml:space="preserve">This is an expert tribunal charged with administering a complex area of law in challenging circumstances. To paraphrase a view I have expressed about such expert tribunals in another context, the ordinary courts should approach appeals from them with an appropriate degree of caution; it is probable that in understanding and applying the law in their specialised field the tribunal will have got it right: see </w:t>
      </w:r>
      <w:r w:rsidRPr="00213E1F">
        <w:rPr>
          <w:rFonts w:ascii="Book Antiqua" w:hAnsi="Book Antiqua"/>
          <w:i/>
          <w:iCs/>
          <w:sz w:val="22"/>
          <w:szCs w:val="22"/>
        </w:rPr>
        <w:t>Cooke v Secretary of State for Social Security</w:t>
      </w:r>
      <w:r w:rsidR="00FA0910">
        <w:rPr>
          <w:rFonts w:ascii="Book Antiqua" w:hAnsi="Book Antiqua"/>
          <w:i/>
          <w:iCs/>
          <w:sz w:val="22"/>
          <w:szCs w:val="22"/>
        </w:rPr>
        <w:t xml:space="preserve"> </w:t>
      </w:r>
      <w:hyperlink r:id="rId9" w:tooltip="Link to BAILII version" w:history="1">
        <w:r w:rsidRPr="00213E1F">
          <w:rPr>
            <w:rStyle w:val="Hyperlink"/>
            <w:rFonts w:ascii="Book Antiqua" w:hAnsi="Book Antiqua"/>
            <w:sz w:val="22"/>
            <w:szCs w:val="22"/>
          </w:rPr>
          <w:t xml:space="preserve">[2001] EWCA </w:t>
        </w:r>
        <w:proofErr w:type="spellStart"/>
        <w:r w:rsidRPr="00213E1F">
          <w:rPr>
            <w:rStyle w:val="Hyperlink"/>
            <w:rFonts w:ascii="Book Antiqua" w:hAnsi="Book Antiqua"/>
            <w:sz w:val="22"/>
            <w:szCs w:val="22"/>
          </w:rPr>
          <w:t>Civ</w:t>
        </w:r>
        <w:proofErr w:type="spellEnd"/>
        <w:r w:rsidRPr="00213E1F">
          <w:rPr>
            <w:rStyle w:val="Hyperlink"/>
            <w:rFonts w:ascii="Book Antiqua" w:hAnsi="Book Antiqua"/>
            <w:sz w:val="22"/>
            <w:szCs w:val="22"/>
          </w:rPr>
          <w:t xml:space="preserve"> 734</w:t>
        </w:r>
      </w:hyperlink>
      <w:r w:rsidRPr="00213E1F">
        <w:rPr>
          <w:rFonts w:ascii="Book Antiqua" w:hAnsi="Book Antiqua"/>
          <w:sz w:val="22"/>
          <w:szCs w:val="22"/>
        </w:rPr>
        <w:t xml:space="preserve">, </w:t>
      </w:r>
      <w:hyperlink r:id="rId10" w:tooltip="Link to BAILII version" w:history="1">
        <w:r w:rsidRPr="00213E1F">
          <w:rPr>
            <w:rStyle w:val="Hyperlink"/>
            <w:rFonts w:ascii="Book Antiqua" w:hAnsi="Book Antiqua"/>
            <w:sz w:val="22"/>
            <w:szCs w:val="22"/>
          </w:rPr>
          <w:t>[2002] 3 All ER 279</w:t>
        </w:r>
      </w:hyperlink>
      <w:r w:rsidRPr="00213E1F">
        <w:rPr>
          <w:rFonts w:ascii="Book Antiqua" w:hAnsi="Book Antiqua"/>
          <w:sz w:val="22"/>
          <w:szCs w:val="22"/>
        </w:rPr>
        <w:t xml:space="preserve">, para 16. They and they alone are the judges of the facts. It is not enough that their decision on those facts may seem harsh [I interpolate or generous] to people who have not heard and read the evidence and arguments which they have heard and read. Their decisions should be respected unless it is quite clear that they have misdirected themselves in law. Appellate courts should not rush to find such </w:t>
      </w:r>
      <w:proofErr w:type="spellStart"/>
      <w:r w:rsidRPr="00213E1F">
        <w:rPr>
          <w:rFonts w:ascii="Book Antiqua" w:hAnsi="Book Antiqua"/>
          <w:sz w:val="22"/>
          <w:szCs w:val="22"/>
        </w:rPr>
        <w:t>misdirections</w:t>
      </w:r>
      <w:proofErr w:type="spellEnd"/>
      <w:r w:rsidRPr="00213E1F">
        <w:rPr>
          <w:rFonts w:ascii="Book Antiqua" w:hAnsi="Book Antiqua"/>
          <w:sz w:val="22"/>
          <w:szCs w:val="22"/>
        </w:rPr>
        <w:t xml:space="preserve"> simply because they might have reached a different conclusion on the facts or expressed themselves differently."</w:t>
      </w:r>
    </w:p>
    <w:p w14:paraId="613AE792" w14:textId="77777777" w:rsidR="000B179D" w:rsidRDefault="00EE534F" w:rsidP="00FD1A13">
      <w:pPr>
        <w:numPr>
          <w:ilvl w:val="0"/>
          <w:numId w:val="1"/>
        </w:numPr>
        <w:tabs>
          <w:tab w:val="clear" w:pos="567"/>
        </w:tabs>
        <w:spacing w:before="240"/>
        <w:jc w:val="both"/>
        <w:rPr>
          <w:rFonts w:ascii="Book Antiqua" w:hAnsi="Book Antiqua" w:cs="Arial"/>
        </w:rPr>
      </w:pPr>
      <w:r w:rsidRPr="000B179D">
        <w:rPr>
          <w:rFonts w:ascii="Book Antiqua" w:hAnsi="Book Antiqua" w:cs="Arial"/>
        </w:rPr>
        <w:t xml:space="preserve">Insofar as it could be argued that the reasons are inadequate, </w:t>
      </w:r>
      <w:r w:rsidR="00023EED" w:rsidRPr="000B179D">
        <w:rPr>
          <w:rFonts w:ascii="Book Antiqua" w:hAnsi="Book Antiqua" w:cs="Arial"/>
        </w:rPr>
        <w:t xml:space="preserve">I bear in mind that </w:t>
      </w:r>
      <w:r w:rsidR="007C4799" w:rsidRPr="000B179D">
        <w:rPr>
          <w:rFonts w:ascii="Book Antiqua" w:hAnsi="Book Antiqua" w:cs="Arial"/>
        </w:rPr>
        <w:t>both parties were aware of the material and the issues.</w:t>
      </w:r>
      <w:r w:rsidR="002658C5">
        <w:rPr>
          <w:rFonts w:ascii="Book Antiqua" w:hAnsi="Book Antiqua" w:cs="Arial"/>
        </w:rPr>
        <w:t xml:space="preserve"> Overall, and for the reasons set out below I conclude that</w:t>
      </w:r>
      <w:r w:rsidR="00CC37DF">
        <w:rPr>
          <w:rFonts w:ascii="Book Antiqua" w:hAnsi="Book Antiqua" w:cs="Arial"/>
        </w:rPr>
        <w:t xml:space="preserve"> it could not be said that the Secretary of State did not know why he lost the appeal. Further, </w:t>
      </w:r>
      <w:r w:rsidR="00B85F51">
        <w:rPr>
          <w:rFonts w:ascii="Book Antiqua" w:hAnsi="Book Antiqua" w:cs="Arial"/>
        </w:rPr>
        <w:t>and in any event, on a proper examination of the material, the judge’s reasons can properly be deduced.</w:t>
      </w:r>
    </w:p>
    <w:p w14:paraId="2BD2C234" w14:textId="77777777" w:rsidR="000B179D" w:rsidRDefault="00F20728" w:rsidP="00FD1A13">
      <w:pPr>
        <w:numPr>
          <w:ilvl w:val="0"/>
          <w:numId w:val="1"/>
        </w:numPr>
        <w:tabs>
          <w:tab w:val="clear" w:pos="567"/>
        </w:tabs>
        <w:spacing w:before="240"/>
        <w:jc w:val="both"/>
        <w:rPr>
          <w:rFonts w:ascii="Book Antiqua" w:hAnsi="Book Antiqua" w:cs="Arial"/>
        </w:rPr>
      </w:pPr>
      <w:r w:rsidRPr="000B179D">
        <w:rPr>
          <w:rFonts w:ascii="Book Antiqua" w:hAnsi="Book Antiqua" w:cs="Arial"/>
        </w:rPr>
        <w:t xml:space="preserve">The judge in this case </w:t>
      </w:r>
      <w:r w:rsidR="00227C78" w:rsidRPr="000B179D">
        <w:rPr>
          <w:rFonts w:ascii="Book Antiqua" w:hAnsi="Book Antiqua" w:cs="Arial"/>
        </w:rPr>
        <w:t>considered sequentially and in detail</w:t>
      </w:r>
      <w:r w:rsidRPr="000B179D">
        <w:rPr>
          <w:rFonts w:ascii="Book Antiqua" w:hAnsi="Book Antiqua" w:cs="Arial"/>
        </w:rPr>
        <w:t xml:space="preserve"> the sub-headings of paragraph </w:t>
      </w:r>
      <w:r w:rsidR="00213E1F" w:rsidRPr="000B179D">
        <w:rPr>
          <w:rFonts w:ascii="Book Antiqua" w:hAnsi="Book Antiqua" w:cs="Arial"/>
        </w:rPr>
        <w:t>(</w:t>
      </w:r>
      <w:r w:rsidRPr="000B179D">
        <w:rPr>
          <w:rFonts w:ascii="Book Antiqua" w:hAnsi="Book Antiqua" w:cs="Arial"/>
        </w:rPr>
        <w:t>ix</w:t>
      </w:r>
      <w:r w:rsidR="00213E1F" w:rsidRPr="000B179D">
        <w:rPr>
          <w:rFonts w:ascii="Book Antiqua" w:hAnsi="Book Antiqua" w:cs="Arial"/>
        </w:rPr>
        <w:t>)</w:t>
      </w:r>
      <w:r w:rsidRPr="000B179D">
        <w:rPr>
          <w:rFonts w:ascii="Book Antiqua" w:hAnsi="Book Antiqua" w:cs="Arial"/>
        </w:rPr>
        <w:t xml:space="preserve">, as </w:t>
      </w:r>
      <w:r w:rsidR="00213E1F" w:rsidRPr="000B179D">
        <w:rPr>
          <w:rFonts w:ascii="Book Antiqua" w:hAnsi="Book Antiqua" w:cs="Arial"/>
        </w:rPr>
        <w:t>set out above</w:t>
      </w:r>
      <w:r w:rsidRPr="000B179D">
        <w:rPr>
          <w:rFonts w:ascii="Book Antiqua" w:hAnsi="Book Antiqua" w:cs="Arial"/>
        </w:rPr>
        <w:t xml:space="preserve">.  He noted </w:t>
      </w:r>
      <w:r w:rsidR="003E5C54" w:rsidRPr="000B179D">
        <w:rPr>
          <w:rFonts w:ascii="Book Antiqua" w:hAnsi="Book Antiqua" w:cs="Arial"/>
        </w:rPr>
        <w:t xml:space="preserve">that </w:t>
      </w:r>
      <w:r w:rsidRPr="000B179D">
        <w:rPr>
          <w:rFonts w:ascii="Book Antiqua" w:hAnsi="Book Antiqua" w:cs="Arial"/>
        </w:rPr>
        <w:t xml:space="preserve">the respondent had not lived in Mogadishu since 1988 when he was 2 years </w:t>
      </w:r>
      <w:r w:rsidR="008418BE" w:rsidRPr="000B179D">
        <w:rPr>
          <w:rFonts w:ascii="Book Antiqua" w:hAnsi="Book Antiqua" w:cs="Arial"/>
        </w:rPr>
        <w:t>old</w:t>
      </w:r>
      <w:r w:rsidR="00213E1F" w:rsidRPr="000B179D">
        <w:rPr>
          <w:rFonts w:ascii="Book Antiqua" w:hAnsi="Book Antiqua" w:cs="Arial"/>
        </w:rPr>
        <w:t>;</w:t>
      </w:r>
      <w:r w:rsidR="008418BE" w:rsidRPr="000B179D">
        <w:rPr>
          <w:rFonts w:ascii="Book Antiqua" w:hAnsi="Book Antiqua" w:cs="Arial"/>
        </w:rPr>
        <w:t xml:space="preserve"> that he is now 30 years old which is significant </w:t>
      </w:r>
      <w:r w:rsidR="00213E1F" w:rsidRPr="000B179D">
        <w:rPr>
          <w:rFonts w:ascii="Book Antiqua" w:hAnsi="Book Antiqua" w:cs="Arial"/>
        </w:rPr>
        <w:t xml:space="preserve">period of absence </w:t>
      </w:r>
      <w:r w:rsidR="008418BE" w:rsidRPr="000B179D">
        <w:rPr>
          <w:rFonts w:ascii="Book Antiqua" w:hAnsi="Book Antiqua" w:cs="Arial"/>
        </w:rPr>
        <w:t>and would have no memories of the city of his birth</w:t>
      </w:r>
      <w:r w:rsidR="00213E1F" w:rsidRPr="000B179D">
        <w:rPr>
          <w:rFonts w:ascii="Book Antiqua" w:hAnsi="Book Antiqua" w:cs="Arial"/>
        </w:rPr>
        <w:t>;</w:t>
      </w:r>
      <w:r w:rsidR="008418BE" w:rsidRPr="000B179D">
        <w:rPr>
          <w:rFonts w:ascii="Book Antiqua" w:hAnsi="Book Antiqua" w:cs="Arial"/>
        </w:rPr>
        <w:t xml:space="preserve"> that he has no family left, and that although he belongs to one of the major clans</w:t>
      </w:r>
      <w:r w:rsidR="00213E1F" w:rsidRPr="000B179D">
        <w:rPr>
          <w:rFonts w:ascii="Book Antiqua" w:hAnsi="Book Antiqua" w:cs="Arial"/>
        </w:rPr>
        <w:t>,</w:t>
      </w:r>
      <w:r w:rsidR="008418BE" w:rsidRPr="000B179D">
        <w:rPr>
          <w:rFonts w:ascii="Book Antiqua" w:hAnsi="Book Antiqua" w:cs="Arial"/>
        </w:rPr>
        <w:t xml:space="preserve"> he does not feel he would be able to rely on them for </w:t>
      </w:r>
      <w:r w:rsidR="00FE7039" w:rsidRPr="000B179D">
        <w:rPr>
          <w:rFonts w:ascii="Book Antiqua" w:hAnsi="Book Antiqua" w:cs="Arial"/>
        </w:rPr>
        <w:t>assistance</w:t>
      </w:r>
      <w:r w:rsidR="008418BE" w:rsidRPr="000B179D">
        <w:rPr>
          <w:rFonts w:ascii="Book Antiqua" w:hAnsi="Book Antiqua" w:cs="Arial"/>
        </w:rPr>
        <w:t xml:space="preserve">.  He has lived outside Somalia for such a long time that he would be considered an outsider and this may limit any assistance which his clan may provide him.  I find this </w:t>
      </w:r>
      <w:r w:rsidR="001E6B2A" w:rsidRPr="000B179D">
        <w:rPr>
          <w:rFonts w:ascii="Book Antiqua" w:hAnsi="Book Antiqua" w:cs="Arial"/>
        </w:rPr>
        <w:t>find</w:t>
      </w:r>
      <w:r w:rsidR="008418BE" w:rsidRPr="000B179D">
        <w:rPr>
          <w:rFonts w:ascii="Book Antiqua" w:hAnsi="Book Antiqua" w:cs="Arial"/>
        </w:rPr>
        <w:t xml:space="preserve"> has merit, given the unchallenged finding as to credibility, this is a </w:t>
      </w:r>
      <w:r w:rsidR="00FE7039" w:rsidRPr="000B179D">
        <w:rPr>
          <w:rFonts w:ascii="Book Antiqua" w:hAnsi="Book Antiqua" w:cs="Arial"/>
        </w:rPr>
        <w:t>sustainable</w:t>
      </w:r>
      <w:r w:rsidR="008418BE" w:rsidRPr="000B179D">
        <w:rPr>
          <w:rFonts w:ascii="Book Antiqua" w:hAnsi="Book Antiqua" w:cs="Arial"/>
        </w:rPr>
        <w:t xml:space="preserve"> finding.  It was open to the judge to find, and he gave </w:t>
      </w:r>
      <w:r w:rsidR="000B179D">
        <w:rPr>
          <w:rFonts w:ascii="Book Antiqua" w:hAnsi="Book Antiqua" w:cs="Arial"/>
        </w:rPr>
        <w:t xml:space="preserve">adequate </w:t>
      </w:r>
      <w:r w:rsidR="008418BE" w:rsidRPr="000B179D">
        <w:rPr>
          <w:rFonts w:ascii="Book Antiqua" w:hAnsi="Book Antiqua" w:cs="Arial"/>
        </w:rPr>
        <w:t>reasons for finding there is a high risk that the appellant would be seen as an outsider</w:t>
      </w:r>
      <w:r w:rsidR="005E4AD1" w:rsidRPr="000B179D">
        <w:rPr>
          <w:rFonts w:ascii="Book Antiqua" w:hAnsi="Book Antiqua" w:cs="Arial"/>
        </w:rPr>
        <w:t>, given his prolonged absence,</w:t>
      </w:r>
      <w:r w:rsidR="008418BE" w:rsidRPr="000B179D">
        <w:rPr>
          <w:rFonts w:ascii="Book Antiqua" w:hAnsi="Book Antiqua" w:cs="Arial"/>
        </w:rPr>
        <w:t xml:space="preserve"> and he would have difficulty in </w:t>
      </w:r>
      <w:r w:rsidR="005E4AD1" w:rsidRPr="000B179D">
        <w:rPr>
          <w:rFonts w:ascii="Book Antiqua" w:hAnsi="Book Antiqua" w:cs="Arial"/>
        </w:rPr>
        <w:t xml:space="preserve">was a finding </w:t>
      </w:r>
      <w:r w:rsidR="008418BE" w:rsidRPr="000B179D">
        <w:rPr>
          <w:rFonts w:ascii="Book Antiqua" w:hAnsi="Book Antiqua" w:cs="Arial"/>
        </w:rPr>
        <w:t>open to the judge</w:t>
      </w:r>
      <w:r w:rsidR="005E4AD1" w:rsidRPr="000B179D">
        <w:rPr>
          <w:rFonts w:ascii="Book Antiqua" w:hAnsi="Book Antiqua" w:cs="Arial"/>
        </w:rPr>
        <w:t xml:space="preserve"> on the evidence, as was the </w:t>
      </w:r>
      <w:r w:rsidR="008418BE" w:rsidRPr="000B179D">
        <w:rPr>
          <w:rFonts w:ascii="Book Antiqua" w:hAnsi="Book Antiqua" w:cs="Arial"/>
        </w:rPr>
        <w:t xml:space="preserve">finding that it would be difficult for him to secure a livelihood despite him having worked in the United Kingdom given his lack of knowledge of the culture and norms of Somalia as his only real experience of Somalia culture is limited to the experience he has of growing up in a Somali family in the diaspora. </w:t>
      </w:r>
    </w:p>
    <w:p w14:paraId="4F712087" w14:textId="77777777" w:rsidR="008418BE" w:rsidRPr="000B179D" w:rsidRDefault="008418BE" w:rsidP="00FD1A13">
      <w:pPr>
        <w:numPr>
          <w:ilvl w:val="0"/>
          <w:numId w:val="1"/>
        </w:numPr>
        <w:tabs>
          <w:tab w:val="clear" w:pos="567"/>
        </w:tabs>
        <w:spacing w:before="240"/>
        <w:jc w:val="both"/>
        <w:rPr>
          <w:rFonts w:ascii="Book Antiqua" w:hAnsi="Book Antiqua" w:cs="Arial"/>
        </w:rPr>
      </w:pPr>
      <w:r w:rsidRPr="000B179D">
        <w:rPr>
          <w:rFonts w:ascii="Book Antiqua" w:hAnsi="Book Antiqua" w:cs="Arial"/>
        </w:rPr>
        <w:lastRenderedPageBreak/>
        <w:t>It was open to the judge to find</w:t>
      </w:r>
      <w:r w:rsidR="005E4AD1" w:rsidRPr="000B179D">
        <w:rPr>
          <w:rFonts w:ascii="Book Antiqua" w:hAnsi="Book Antiqua" w:cs="Arial"/>
        </w:rPr>
        <w:t>, on the particular facts of this case</w:t>
      </w:r>
      <w:r w:rsidRPr="000B179D">
        <w:rPr>
          <w:rFonts w:ascii="Book Antiqua" w:hAnsi="Book Antiqua" w:cs="Arial"/>
        </w:rPr>
        <w:t xml:space="preserve"> that </w:t>
      </w:r>
      <w:r w:rsidR="005E4AD1" w:rsidRPr="000B179D">
        <w:rPr>
          <w:rFonts w:ascii="Book Antiqua" w:hAnsi="Book Antiqua" w:cs="Arial"/>
        </w:rPr>
        <w:t>this</w:t>
      </w:r>
      <w:r w:rsidRPr="000B179D">
        <w:rPr>
          <w:rFonts w:ascii="Book Antiqua" w:hAnsi="Book Antiqua" w:cs="Arial"/>
        </w:rPr>
        <w:t xml:space="preserve"> </w:t>
      </w:r>
      <w:r w:rsidR="000B179D">
        <w:rPr>
          <w:rFonts w:ascii="Book Antiqua" w:hAnsi="Book Antiqua" w:cs="Arial"/>
        </w:rPr>
        <w:t xml:space="preserve">situation </w:t>
      </w:r>
      <w:r w:rsidRPr="000B179D">
        <w:rPr>
          <w:rFonts w:ascii="Book Antiqua" w:hAnsi="Book Antiqua" w:cs="Arial"/>
        </w:rPr>
        <w:t xml:space="preserve">would prejudice </w:t>
      </w:r>
      <w:r w:rsidR="000B179D">
        <w:rPr>
          <w:rFonts w:ascii="Book Antiqua" w:hAnsi="Book Antiqua" w:cs="Arial"/>
        </w:rPr>
        <w:t>the appellant</w:t>
      </w:r>
      <w:r w:rsidRPr="000B179D">
        <w:rPr>
          <w:rFonts w:ascii="Book Antiqua" w:hAnsi="Book Antiqua" w:cs="Arial"/>
        </w:rPr>
        <w:t xml:space="preserve"> and would impact upon him securing a livelihood.  It was </w:t>
      </w:r>
      <w:r w:rsidR="00FE7039" w:rsidRPr="000B179D">
        <w:rPr>
          <w:rFonts w:ascii="Book Antiqua" w:hAnsi="Book Antiqua" w:cs="Arial"/>
        </w:rPr>
        <w:t>also</w:t>
      </w:r>
      <w:r w:rsidRPr="000B179D">
        <w:rPr>
          <w:rFonts w:ascii="Book Antiqua" w:hAnsi="Book Antiqua" w:cs="Arial"/>
        </w:rPr>
        <w:t xml:space="preserve"> open to the judge</w:t>
      </w:r>
      <w:r w:rsidR="000B179D">
        <w:rPr>
          <w:rFonts w:ascii="Book Antiqua" w:hAnsi="Book Antiqua" w:cs="Arial"/>
        </w:rPr>
        <w:t xml:space="preserve"> on the evidence</w:t>
      </w:r>
      <w:r w:rsidRPr="000B179D">
        <w:rPr>
          <w:rFonts w:ascii="Book Antiqua" w:hAnsi="Book Antiqua" w:cs="Arial"/>
        </w:rPr>
        <w:t xml:space="preserve"> to make a finding that the remittances if they were such</w:t>
      </w:r>
      <w:r w:rsidR="00396FFC">
        <w:rPr>
          <w:rFonts w:ascii="Book Antiqua" w:hAnsi="Book Antiqua" w:cs="Arial"/>
        </w:rPr>
        <w:t xml:space="preserve"> available, </w:t>
      </w:r>
      <w:r w:rsidRPr="000B179D">
        <w:rPr>
          <w:rFonts w:ascii="Book Antiqua" w:hAnsi="Book Antiqua" w:cs="Arial"/>
        </w:rPr>
        <w:t xml:space="preserve">would be very limited given that the family in the United Kingdom are either studying or on benefits, and there was merit in the concern that the family would not be able to support him on a long-term basis given that most of them do not work.  </w:t>
      </w:r>
    </w:p>
    <w:p w14:paraId="41F9BA80" w14:textId="77777777" w:rsidR="008418BE" w:rsidRDefault="008418B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The judge then found, in light of </w:t>
      </w:r>
      <w:r w:rsidRPr="008418BE">
        <w:rPr>
          <w:rFonts w:ascii="Book Antiqua" w:hAnsi="Book Antiqua" w:cs="Arial"/>
          <w:b/>
          <w:u w:val="single"/>
        </w:rPr>
        <w:t>MOJ</w:t>
      </w:r>
      <w:r>
        <w:rPr>
          <w:rFonts w:ascii="Book Antiqua" w:hAnsi="Book Antiqua" w:cs="Arial"/>
        </w:rPr>
        <w:t xml:space="preserve">, that at paragraph 76, there was no clan or family support, he will not be in receipt of remittances and have no real prospect of securing access to a livelihood or face the prospect of living in circumstances falling below that which is </w:t>
      </w:r>
      <w:r w:rsidR="00FE7039">
        <w:rPr>
          <w:rFonts w:ascii="Book Antiqua" w:hAnsi="Book Antiqua" w:cs="Arial"/>
        </w:rPr>
        <w:t>acceptable</w:t>
      </w:r>
      <w:r>
        <w:rPr>
          <w:rFonts w:ascii="Book Antiqua" w:hAnsi="Book Antiqua" w:cs="Arial"/>
        </w:rPr>
        <w:t xml:space="preserve"> in humanitarian protection terms.  </w:t>
      </w:r>
    </w:p>
    <w:p w14:paraId="2474AA13" w14:textId="77777777" w:rsidR="008418BE" w:rsidRDefault="008418B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consider that the judge has adequately dealt with all the matters set out in paragraphs </w:t>
      </w:r>
      <w:r w:rsidR="00396FFC">
        <w:rPr>
          <w:rFonts w:ascii="Book Antiqua" w:hAnsi="Book Antiqua" w:cs="Arial"/>
        </w:rPr>
        <w:t>(</w:t>
      </w:r>
      <w:r>
        <w:rPr>
          <w:rFonts w:ascii="Book Antiqua" w:hAnsi="Book Antiqua" w:cs="Arial"/>
        </w:rPr>
        <w:t>ix</w:t>
      </w:r>
      <w:r w:rsidR="00396FFC">
        <w:rPr>
          <w:rFonts w:ascii="Book Antiqua" w:hAnsi="Book Antiqua" w:cs="Arial"/>
        </w:rPr>
        <w:t>)</w:t>
      </w:r>
      <w:r>
        <w:rPr>
          <w:rFonts w:ascii="Book Antiqua" w:hAnsi="Book Antiqua" w:cs="Arial"/>
        </w:rPr>
        <w:t xml:space="preserve"> and </w:t>
      </w:r>
      <w:r w:rsidR="00396FFC">
        <w:rPr>
          <w:rFonts w:ascii="Book Antiqua" w:hAnsi="Book Antiqua" w:cs="Arial"/>
        </w:rPr>
        <w:t>(</w:t>
      </w:r>
      <w:r>
        <w:rPr>
          <w:rFonts w:ascii="Book Antiqua" w:hAnsi="Book Antiqua" w:cs="Arial"/>
        </w:rPr>
        <w:t>x</w:t>
      </w:r>
      <w:r w:rsidR="00396FFC">
        <w:rPr>
          <w:rFonts w:ascii="Book Antiqua" w:hAnsi="Book Antiqua" w:cs="Arial"/>
        </w:rPr>
        <w:t>)</w:t>
      </w:r>
      <w:r>
        <w:rPr>
          <w:rFonts w:ascii="Book Antiqua" w:hAnsi="Book Antiqua" w:cs="Arial"/>
        </w:rPr>
        <w:t xml:space="preserve"> of the head note of </w:t>
      </w:r>
      <w:r w:rsidRPr="008418BE">
        <w:rPr>
          <w:rFonts w:ascii="Book Antiqua" w:hAnsi="Book Antiqua" w:cs="Arial"/>
          <w:b/>
          <w:u w:val="single"/>
        </w:rPr>
        <w:t>MOJ</w:t>
      </w:r>
      <w:r>
        <w:rPr>
          <w:rFonts w:ascii="Book Antiqua" w:hAnsi="Book Antiqua" w:cs="Arial"/>
        </w:rPr>
        <w:t xml:space="preserve"> and that on that basis his decision is sustainable.  It follows from that as pleaded by the Secretary of State the decision did not involve the making of an error of law.  </w:t>
      </w:r>
    </w:p>
    <w:p w14:paraId="2AAD721F" w14:textId="77777777" w:rsidR="00FE7039" w:rsidRDefault="005D41BE" w:rsidP="004D6B45">
      <w:pPr>
        <w:numPr>
          <w:ilvl w:val="0"/>
          <w:numId w:val="1"/>
        </w:numPr>
        <w:tabs>
          <w:tab w:val="clear" w:pos="567"/>
        </w:tabs>
        <w:spacing w:before="240"/>
        <w:jc w:val="both"/>
        <w:rPr>
          <w:rFonts w:ascii="Book Antiqua" w:hAnsi="Book Antiqua" w:cs="Arial"/>
        </w:rPr>
      </w:pPr>
      <w:r>
        <w:rPr>
          <w:rFonts w:ascii="Book Antiqua" w:hAnsi="Book Antiqua" w:cs="Arial"/>
        </w:rPr>
        <w:t xml:space="preserve">I do however find it necessary to record that there appears to have been no </w:t>
      </w:r>
      <w:r w:rsidR="00265608">
        <w:rPr>
          <w:rFonts w:ascii="Book Antiqua" w:hAnsi="Book Antiqua" w:cs="Arial"/>
        </w:rPr>
        <w:t>challenge</w:t>
      </w:r>
      <w:r>
        <w:rPr>
          <w:rFonts w:ascii="Book Antiqua" w:hAnsi="Book Antiqua" w:cs="Arial"/>
        </w:rPr>
        <w:t xml:space="preserve"> in the grounds as to </w:t>
      </w:r>
      <w:r w:rsidR="00265608">
        <w:rPr>
          <w:rFonts w:ascii="Book Antiqua" w:hAnsi="Book Antiqua" w:cs="Arial"/>
        </w:rPr>
        <w:t xml:space="preserve">absence of </w:t>
      </w:r>
      <w:r>
        <w:rPr>
          <w:rFonts w:ascii="Book Antiqua" w:hAnsi="Book Antiqua" w:cs="Arial"/>
        </w:rPr>
        <w:t>whether there had in fact been a change in circumstances</w:t>
      </w:r>
      <w:r w:rsidR="00265608">
        <w:rPr>
          <w:rFonts w:ascii="Book Antiqua" w:hAnsi="Book Antiqua" w:cs="Arial"/>
        </w:rPr>
        <w:t xml:space="preserve"> such that article 1(C) 5 was engaged</w:t>
      </w:r>
      <w:r>
        <w:rPr>
          <w:rFonts w:ascii="Book Antiqua" w:hAnsi="Book Antiqua" w:cs="Arial"/>
        </w:rPr>
        <w:t xml:space="preserve">.  In essence, what the judge has done is to look at </w:t>
      </w:r>
      <w:r w:rsidRPr="005D41BE">
        <w:rPr>
          <w:rFonts w:ascii="Book Antiqua" w:hAnsi="Book Antiqua" w:cs="Arial"/>
          <w:b/>
          <w:u w:val="single"/>
        </w:rPr>
        <w:t>MOJ</w:t>
      </w:r>
      <w:r>
        <w:rPr>
          <w:rFonts w:ascii="Book Antiqua" w:hAnsi="Book Antiqua" w:cs="Arial"/>
        </w:rPr>
        <w:t xml:space="preserve"> and look at the factors regarding the possibility of return, but has failed really to consider what the dangers are, that is to say it is difficult to see how the Refugee Convention is still met given the apparent </w:t>
      </w:r>
      <w:r w:rsidR="00FE7039">
        <w:rPr>
          <w:rFonts w:ascii="Book Antiqua" w:hAnsi="Book Antiqua" w:cs="Arial"/>
        </w:rPr>
        <w:t>absence of any nexus</w:t>
      </w:r>
      <w:r w:rsidR="00E83332">
        <w:rPr>
          <w:rFonts w:ascii="Book Antiqua" w:hAnsi="Book Antiqua" w:cs="Arial"/>
        </w:rPr>
        <w:t xml:space="preserve"> of any difficulties the appellant may face on return with </w:t>
      </w:r>
      <w:r w:rsidR="00FE7039">
        <w:rPr>
          <w:rFonts w:ascii="Book Antiqua" w:hAnsi="Book Antiqua" w:cs="Arial"/>
        </w:rPr>
        <w:t xml:space="preserve">the Convention, but as I have said during submissions that is not </w:t>
      </w:r>
      <w:r w:rsidR="00E83332">
        <w:rPr>
          <w:rFonts w:ascii="Book Antiqua" w:hAnsi="Book Antiqua" w:cs="Arial"/>
        </w:rPr>
        <w:t xml:space="preserve">an error canvassed by </w:t>
      </w:r>
      <w:r w:rsidR="00FE7039">
        <w:rPr>
          <w:rFonts w:ascii="Book Antiqua" w:hAnsi="Book Antiqua" w:cs="Arial"/>
        </w:rPr>
        <w:t>Secretary of State argued</w:t>
      </w:r>
      <w:r w:rsidR="00E83332">
        <w:rPr>
          <w:rFonts w:ascii="Book Antiqua" w:hAnsi="Book Antiqua" w:cs="Arial"/>
        </w:rPr>
        <w:t xml:space="preserve"> in his grounds.</w:t>
      </w:r>
    </w:p>
    <w:p w14:paraId="5AFFD338" w14:textId="77777777" w:rsidR="00FE7039" w:rsidRPr="00FE7039" w:rsidRDefault="00FE7039" w:rsidP="00FE7039">
      <w:pPr>
        <w:spacing w:before="240"/>
        <w:jc w:val="both"/>
        <w:rPr>
          <w:rFonts w:ascii="Book Antiqua" w:hAnsi="Book Antiqua" w:cs="Arial"/>
          <w:b/>
          <w:u w:val="single"/>
        </w:rPr>
      </w:pPr>
      <w:r w:rsidRPr="00FE7039">
        <w:rPr>
          <w:rFonts w:ascii="Book Antiqua" w:hAnsi="Book Antiqua" w:cs="Arial"/>
          <w:b/>
          <w:u w:val="single"/>
        </w:rPr>
        <w:t xml:space="preserve">Notice of Decision </w:t>
      </w:r>
    </w:p>
    <w:p w14:paraId="235701E2" w14:textId="77777777" w:rsidR="005D41BE" w:rsidRDefault="002658C5" w:rsidP="002658C5">
      <w:pPr>
        <w:numPr>
          <w:ilvl w:val="0"/>
          <w:numId w:val="3"/>
        </w:numPr>
        <w:spacing w:before="240"/>
        <w:jc w:val="both"/>
        <w:rPr>
          <w:rFonts w:ascii="Book Antiqua" w:hAnsi="Book Antiqua" w:cs="Arial"/>
        </w:rPr>
      </w:pPr>
      <w:r>
        <w:rPr>
          <w:rFonts w:ascii="Book Antiqua" w:hAnsi="Book Antiqua" w:cs="Arial"/>
        </w:rPr>
        <w:t>T</w:t>
      </w:r>
      <w:r w:rsidR="00FE7039">
        <w:rPr>
          <w:rFonts w:ascii="Book Antiqua" w:hAnsi="Book Antiqua" w:cs="Arial"/>
        </w:rPr>
        <w:t xml:space="preserve">he decision of the First-tier Tribunal did not involve the making of an error of law and I uphold it.  </w:t>
      </w:r>
    </w:p>
    <w:p w14:paraId="5BEFFC36" w14:textId="77777777" w:rsidR="003E5C54" w:rsidRPr="009B7433" w:rsidRDefault="003E5C54" w:rsidP="002658C5">
      <w:pPr>
        <w:numPr>
          <w:ilvl w:val="0"/>
          <w:numId w:val="3"/>
        </w:numPr>
        <w:spacing w:before="240"/>
        <w:jc w:val="both"/>
        <w:rPr>
          <w:rFonts w:ascii="Book Antiqua" w:hAnsi="Book Antiqua" w:cs="Arial"/>
        </w:rPr>
      </w:pPr>
      <w:r>
        <w:rPr>
          <w:rFonts w:ascii="Book Antiqua" w:hAnsi="Book Antiqua" w:cs="Arial"/>
        </w:rPr>
        <w:t>No anonymity direction is made.</w:t>
      </w:r>
    </w:p>
    <w:p w14:paraId="20AB9DE7" w14:textId="77777777" w:rsidR="00D949B7" w:rsidRPr="009B7433" w:rsidRDefault="00D949B7" w:rsidP="00780F86">
      <w:pPr>
        <w:ind w:left="540" w:hanging="540"/>
        <w:jc w:val="both"/>
        <w:rPr>
          <w:rFonts w:ascii="Book Antiqua" w:hAnsi="Book Antiqua" w:cs="Arial"/>
        </w:rPr>
      </w:pPr>
    </w:p>
    <w:p w14:paraId="72D56B2D" w14:textId="77777777" w:rsidR="001F2716" w:rsidRPr="009B7433" w:rsidRDefault="00780F86" w:rsidP="00780F86">
      <w:pPr>
        <w:ind w:left="540" w:hanging="540"/>
        <w:jc w:val="both"/>
        <w:rPr>
          <w:rFonts w:ascii="Book Antiqua" w:hAnsi="Book Antiqua" w:cs="Arial"/>
        </w:rPr>
      </w:pPr>
      <w:r w:rsidRPr="009B7433">
        <w:rPr>
          <w:rFonts w:ascii="Book Antiqua" w:hAnsi="Book Antiqua" w:cs="Arial"/>
        </w:rPr>
        <w:t>Signed</w:t>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Pr="009B7433">
        <w:rPr>
          <w:rFonts w:ascii="Book Antiqua" w:hAnsi="Book Antiqua" w:cs="Arial"/>
        </w:rPr>
        <w:tab/>
      </w:r>
      <w:r w:rsidR="001F2716" w:rsidRPr="009B7433">
        <w:rPr>
          <w:rFonts w:ascii="Book Antiqua" w:hAnsi="Book Antiqua" w:cs="Arial"/>
        </w:rPr>
        <w:t>Date</w:t>
      </w:r>
      <w:r w:rsidR="002658C5">
        <w:rPr>
          <w:rFonts w:ascii="Book Antiqua" w:hAnsi="Book Antiqua" w:cs="Arial"/>
        </w:rPr>
        <w:t xml:space="preserve"> 24 August 2018 </w:t>
      </w:r>
    </w:p>
    <w:p w14:paraId="007D8966" w14:textId="77777777" w:rsidR="001F2716" w:rsidRPr="009B7433" w:rsidRDefault="007A1AF0" w:rsidP="00402B9E">
      <w:pPr>
        <w:tabs>
          <w:tab w:val="left" w:pos="2520"/>
        </w:tabs>
        <w:ind w:left="540" w:hanging="540"/>
        <w:jc w:val="both"/>
        <w:rPr>
          <w:rFonts w:ascii="Book Antiqua" w:hAnsi="Book Antiqua" w:cs="Arial"/>
        </w:rPr>
      </w:pPr>
      <w:r w:rsidRPr="007A1AF0">
        <w:rPr>
          <w:rFonts w:ascii="Book Antiqua" w:hAnsi="Book Antiqua" w:cs="Arial"/>
          <w:noProof/>
          <w:color w:val="000000"/>
          <w:lang w:bidi="sa-IN"/>
        </w:rPr>
        <w:drawing>
          <wp:inline distT="0" distB="0" distL="0" distR="0" wp14:anchorId="3641D682" wp14:editId="16CEF7CB">
            <wp:extent cx="2047875" cy="8001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lum contrast="12000"/>
                      <a:grayscl/>
                      <a:biLevel thresh="50000"/>
                      <a:extLst>
                        <a:ext uri="{28A0092B-C50C-407E-A947-70E740481C1C}">
                          <a14:useLocalDpi xmlns:a14="http://schemas.microsoft.com/office/drawing/2010/main" val="0"/>
                        </a:ext>
                      </a:extLst>
                    </a:blip>
                    <a:srcRect/>
                    <a:stretch>
                      <a:fillRect/>
                    </a:stretch>
                  </pic:blipFill>
                  <pic:spPr bwMode="auto">
                    <a:xfrm>
                      <a:off x="0" y="0"/>
                      <a:ext cx="2047875" cy="800100"/>
                    </a:xfrm>
                    <a:prstGeom prst="rect">
                      <a:avLst/>
                    </a:prstGeom>
                    <a:noFill/>
                    <a:ln>
                      <a:noFill/>
                    </a:ln>
                  </pic:spPr>
                </pic:pic>
              </a:graphicData>
            </a:graphic>
          </wp:inline>
        </w:drawing>
      </w:r>
    </w:p>
    <w:p w14:paraId="6B0CBED5" w14:textId="77777777" w:rsidR="00B95326" w:rsidRDefault="00173F50" w:rsidP="004B70D7">
      <w:pPr>
        <w:tabs>
          <w:tab w:val="left" w:pos="2520"/>
        </w:tabs>
        <w:ind w:left="540" w:hanging="540"/>
        <w:jc w:val="both"/>
        <w:rPr>
          <w:rFonts w:ascii="Book Antiqua" w:hAnsi="Book Antiqua" w:cs="Arial"/>
          <w:color w:val="000000"/>
        </w:rPr>
      </w:pPr>
      <w:r>
        <w:rPr>
          <w:rFonts w:ascii="Book Antiqua" w:hAnsi="Book Antiqua" w:cs="Arial"/>
          <w:color w:val="000000"/>
        </w:rPr>
        <w:t>Upper Tribunal</w:t>
      </w:r>
      <w:r w:rsidR="00D9111A" w:rsidRPr="009B7433">
        <w:rPr>
          <w:rFonts w:ascii="Book Antiqua" w:hAnsi="Book Antiqua" w:cs="Arial"/>
          <w:color w:val="000000"/>
        </w:rPr>
        <w:t xml:space="preserve"> Judge</w:t>
      </w:r>
      <w:r w:rsidR="001B2F75" w:rsidRPr="009B7433">
        <w:rPr>
          <w:rFonts w:ascii="Book Antiqua" w:hAnsi="Book Antiqua" w:cs="Arial"/>
          <w:color w:val="000000"/>
        </w:rPr>
        <w:t xml:space="preserve"> </w:t>
      </w:r>
      <w:r w:rsidR="004D6B45">
        <w:rPr>
          <w:rFonts w:ascii="Book Antiqua" w:hAnsi="Book Antiqua" w:cs="Arial"/>
          <w:color w:val="000000"/>
        </w:rPr>
        <w:t>Rintoul</w:t>
      </w:r>
      <w:r w:rsidR="008A6059" w:rsidRPr="009B7433">
        <w:rPr>
          <w:rFonts w:ascii="Book Antiqua" w:hAnsi="Book Antiqua" w:cs="Arial"/>
          <w:color w:val="000000"/>
        </w:rPr>
        <w:t xml:space="preserve"> </w:t>
      </w:r>
    </w:p>
    <w:p w14:paraId="6301D4BC" w14:textId="77777777" w:rsidR="00B95326" w:rsidRPr="009B7433" w:rsidRDefault="00B95326" w:rsidP="00FB1A86">
      <w:pPr>
        <w:tabs>
          <w:tab w:val="left" w:pos="2520"/>
        </w:tabs>
        <w:jc w:val="both"/>
        <w:rPr>
          <w:rFonts w:ascii="Book Antiqua" w:hAnsi="Book Antiqua" w:cs="Arial"/>
        </w:rPr>
        <w:sectPr w:rsidR="00B95326" w:rsidRPr="009B7433" w:rsidSect="00776E97">
          <w:headerReference w:type="default" r:id="rId12"/>
          <w:footerReference w:type="default" r:id="rId13"/>
          <w:headerReference w:type="first" r:id="rId14"/>
          <w:footerReference w:type="first" r:id="rId15"/>
          <w:pgSz w:w="11906" w:h="16838"/>
          <w:pgMar w:top="1440" w:right="1134" w:bottom="1440" w:left="1134" w:header="709" w:footer="709" w:gutter="0"/>
          <w:cols w:space="708"/>
          <w:titlePg/>
          <w:docGrid w:linePitch="360"/>
        </w:sectPr>
      </w:pPr>
    </w:p>
    <w:p w14:paraId="584B1021" w14:textId="77777777" w:rsidR="00B95326" w:rsidRPr="009B7433" w:rsidRDefault="00B95326" w:rsidP="00402B9E">
      <w:pPr>
        <w:tabs>
          <w:tab w:val="left" w:pos="2520"/>
        </w:tabs>
        <w:ind w:left="540" w:hanging="540"/>
        <w:jc w:val="both"/>
        <w:rPr>
          <w:rFonts w:ascii="Book Antiqua" w:hAnsi="Book Antiqua" w:cs="Arial"/>
        </w:rPr>
      </w:pPr>
    </w:p>
    <w:sectPr w:rsidR="00B95326" w:rsidRPr="009B7433" w:rsidSect="00FB1A86">
      <w:type w:val="continuous"/>
      <w:pgSz w:w="11906" w:h="16838" w:code="9"/>
      <w:pgMar w:top="1440" w:right="1134" w:bottom="1440"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1C0E60" w14:textId="77777777" w:rsidR="00B77D40" w:rsidRDefault="00B77D40">
      <w:r>
        <w:separator/>
      </w:r>
    </w:p>
  </w:endnote>
  <w:endnote w:type="continuationSeparator" w:id="0">
    <w:p w14:paraId="10F1261A" w14:textId="77777777" w:rsidR="00B77D40" w:rsidRDefault="00B77D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F243B" w14:textId="2F3D8597" w:rsidR="008A6059" w:rsidRPr="009B7433" w:rsidRDefault="008A6059" w:rsidP="00593795">
    <w:pPr>
      <w:pStyle w:val="Footer"/>
      <w:jc w:val="center"/>
      <w:rPr>
        <w:rFonts w:ascii="Book Antiqua" w:hAnsi="Book Antiqua" w:cs="Arial"/>
        <w:sz w:val="16"/>
        <w:szCs w:val="16"/>
      </w:rPr>
    </w:pPr>
    <w:r w:rsidRPr="009B7433">
      <w:rPr>
        <w:rStyle w:val="PageNumber"/>
        <w:rFonts w:ascii="Book Antiqua" w:hAnsi="Book Antiqua" w:cs="Arial"/>
        <w:sz w:val="16"/>
        <w:szCs w:val="16"/>
      </w:rPr>
      <w:fldChar w:fldCharType="begin"/>
    </w:r>
    <w:r w:rsidRPr="009B7433">
      <w:rPr>
        <w:rStyle w:val="PageNumber"/>
        <w:rFonts w:ascii="Book Antiqua" w:hAnsi="Book Antiqua" w:cs="Arial"/>
        <w:sz w:val="16"/>
        <w:szCs w:val="16"/>
      </w:rPr>
      <w:instrText xml:space="preserve"> PAGE </w:instrText>
    </w:r>
    <w:r w:rsidRPr="009B7433">
      <w:rPr>
        <w:rStyle w:val="PageNumber"/>
        <w:rFonts w:ascii="Book Antiqua" w:hAnsi="Book Antiqua" w:cs="Arial"/>
        <w:sz w:val="16"/>
        <w:szCs w:val="16"/>
      </w:rPr>
      <w:fldChar w:fldCharType="separate"/>
    </w:r>
    <w:r w:rsidR="005623A2">
      <w:rPr>
        <w:rStyle w:val="PageNumber"/>
        <w:rFonts w:ascii="Book Antiqua" w:hAnsi="Book Antiqua" w:cs="Arial"/>
        <w:noProof/>
        <w:sz w:val="16"/>
        <w:szCs w:val="16"/>
      </w:rPr>
      <w:t>5</w:t>
    </w:r>
    <w:r w:rsidRPr="009B7433">
      <w:rPr>
        <w:rStyle w:val="PageNumber"/>
        <w:rFonts w:ascii="Book Antiqua" w:hAnsi="Book Antiqua" w:cs="Arial"/>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86A9AC" w14:textId="77777777" w:rsidR="008A6059" w:rsidRPr="009B7433" w:rsidRDefault="008A6059" w:rsidP="004B70D7">
    <w:pPr>
      <w:jc w:val="center"/>
      <w:rPr>
        <w:rFonts w:ascii="Book Antiqua" w:hAnsi="Book Antiqua" w:cs="Arial"/>
        <w:b/>
      </w:rPr>
    </w:pPr>
    <w:r w:rsidRPr="009B7433">
      <w:rPr>
        <w:rFonts w:ascii="Book Antiqua" w:hAnsi="Book Antiqua" w:cs="Arial"/>
        <w:b/>
        <w:spacing w:val="-6"/>
      </w:rPr>
      <w:t>©</w:t>
    </w:r>
    <w:r w:rsidR="00CD3BE9">
      <w:rPr>
        <w:rFonts w:ascii="Book Antiqua" w:hAnsi="Book Antiqua" w:cs="Arial"/>
        <w:b/>
      </w:rPr>
      <w:t xml:space="preserve"> CROWN COPYRIGHT 2018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729948E" w14:textId="77777777" w:rsidR="00B77D40" w:rsidRDefault="00B77D40">
      <w:r>
        <w:separator/>
      </w:r>
    </w:p>
  </w:footnote>
  <w:footnote w:type="continuationSeparator" w:id="0">
    <w:p w14:paraId="392F2BDB" w14:textId="77777777" w:rsidR="00B77D40" w:rsidRDefault="00B77D4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9E0C70" w14:textId="77777777" w:rsidR="008A6059" w:rsidRPr="009B7433" w:rsidRDefault="008A6059" w:rsidP="00593795">
    <w:pPr>
      <w:pStyle w:val="Header"/>
      <w:jc w:val="right"/>
      <w:rPr>
        <w:rFonts w:ascii="Book Antiqua" w:hAnsi="Book Antiqua" w:cs="Arial"/>
        <w:sz w:val="16"/>
        <w:szCs w:val="16"/>
      </w:rPr>
    </w:pPr>
    <w:r w:rsidRPr="009B7433">
      <w:rPr>
        <w:rFonts w:ascii="Book Antiqua" w:hAnsi="Book Antiqua" w:cs="Arial"/>
        <w:sz w:val="16"/>
        <w:szCs w:val="16"/>
      </w:rPr>
      <w:t xml:space="preserve">Appeal Number: </w:t>
    </w:r>
    <w:r w:rsidR="00955CDC" w:rsidRPr="00955CDC">
      <w:rPr>
        <w:rFonts w:ascii="Book Antiqua" w:hAnsi="Book Antiqua" w:cs="Arial"/>
        <w:sz w:val="16"/>
        <w:szCs w:val="16"/>
      </w:rPr>
      <w:t>RP/00142/2017</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72DF20" w14:textId="77777777" w:rsidR="009B7433" w:rsidRPr="009B7433" w:rsidRDefault="009B7433">
    <w:pPr>
      <w:pStyle w:val="Header"/>
      <w:rPr>
        <w:rFonts w:ascii="Book Antiqua" w:hAnsi="Book Antiqua"/>
      </w:rPr>
    </w:pPr>
    <w:r w:rsidRPr="009B7433">
      <w:rPr>
        <w:rFonts w:ascii="Book Antiqua" w:hAnsi="Book Antiqu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06C09D9"/>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 w15:restartNumberingAfterBreak="0">
    <w:nsid w:val="6FAA2A5D"/>
    <w:multiLevelType w:val="multilevel"/>
    <w:tmpl w:val="16786E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7ACB1666"/>
    <w:multiLevelType w:val="multilevel"/>
    <w:tmpl w:val="DBEEB330"/>
    <w:lvl w:ilvl="0">
      <w:start w:val="1"/>
      <w:numFmt w:val="decimal"/>
      <w:lvlText w:val="%1."/>
      <w:lvlJc w:val="left"/>
      <w:pPr>
        <w:tabs>
          <w:tab w:val="num" w:pos="567"/>
        </w:tabs>
        <w:ind w:left="567" w:hanging="567"/>
      </w:pPr>
      <w:rPr>
        <w:rFonts w:hint="default"/>
      </w:rPr>
    </w:lvl>
    <w:lvl w:ilvl="1">
      <w:start w:val="1"/>
      <w:numFmt w:val="lowerLetter"/>
      <w:lvlText w:val="(%2)"/>
      <w:lvlJc w:val="left"/>
      <w:pPr>
        <w:tabs>
          <w:tab w:val="num" w:pos="1134"/>
        </w:tabs>
        <w:ind w:left="1134" w:hanging="567"/>
      </w:pPr>
      <w:rPr>
        <w:rFonts w:hint="default"/>
      </w:rPr>
    </w:lvl>
    <w:lvl w:ilvl="2">
      <w:start w:val="1"/>
      <w:numFmt w:val="lowerRoman"/>
      <w:lvlText w:val="(%3)"/>
      <w:lvlJc w:val="left"/>
      <w:pPr>
        <w:tabs>
          <w:tab w:val="num" w:pos="1701"/>
        </w:tabs>
        <w:ind w:left="1701" w:hanging="567"/>
      </w:pPr>
      <w:rPr>
        <w:rFonts w:hint="default"/>
      </w:rPr>
    </w:lvl>
    <w:lvl w:ilvl="3">
      <w:start w:val="1"/>
      <w:numFmt w:val="decimal"/>
      <w:lvlText w:val="(%4)"/>
      <w:lvlJc w:val="left"/>
      <w:pPr>
        <w:tabs>
          <w:tab w:val="num" w:pos="2268"/>
        </w:tabs>
        <w:ind w:left="2268" w:hanging="567"/>
      </w:pPr>
      <w:rPr>
        <w:rFonts w:hint="default"/>
      </w:rPr>
    </w:lvl>
    <w:lvl w:ilvl="4">
      <w:start w:val="1"/>
      <w:numFmt w:val="lowerLetter"/>
      <w:lvlText w:val="(%5)"/>
      <w:lvlJc w:val="left"/>
      <w:pPr>
        <w:tabs>
          <w:tab w:val="num" w:pos="2835"/>
        </w:tabs>
        <w:ind w:left="2835"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567"/>
  <w:noPunctuationKerning/>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052C"/>
    <w:rsid w:val="00000621"/>
    <w:rsid w:val="000036C2"/>
    <w:rsid w:val="00016C1A"/>
    <w:rsid w:val="00023EED"/>
    <w:rsid w:val="00033588"/>
    <w:rsid w:val="00033D3D"/>
    <w:rsid w:val="0004776F"/>
    <w:rsid w:val="00052895"/>
    <w:rsid w:val="000539A2"/>
    <w:rsid w:val="00053C0D"/>
    <w:rsid w:val="00062F02"/>
    <w:rsid w:val="00071A7E"/>
    <w:rsid w:val="000746C0"/>
    <w:rsid w:val="00074D1D"/>
    <w:rsid w:val="00092580"/>
    <w:rsid w:val="00093D4D"/>
    <w:rsid w:val="000B179D"/>
    <w:rsid w:val="000D5D94"/>
    <w:rsid w:val="000F1A0E"/>
    <w:rsid w:val="000F266F"/>
    <w:rsid w:val="001165A7"/>
    <w:rsid w:val="001311C2"/>
    <w:rsid w:val="001342B6"/>
    <w:rsid w:val="00151266"/>
    <w:rsid w:val="0016508E"/>
    <w:rsid w:val="00167D3A"/>
    <w:rsid w:val="00173F50"/>
    <w:rsid w:val="00185986"/>
    <w:rsid w:val="001A3082"/>
    <w:rsid w:val="001B186A"/>
    <w:rsid w:val="001B2F75"/>
    <w:rsid w:val="001C6F5F"/>
    <w:rsid w:val="001D6167"/>
    <w:rsid w:val="001E2DBD"/>
    <w:rsid w:val="001E6B2A"/>
    <w:rsid w:val="001F2716"/>
    <w:rsid w:val="001F3AC0"/>
    <w:rsid w:val="00207617"/>
    <w:rsid w:val="00213E1F"/>
    <w:rsid w:val="00227C78"/>
    <w:rsid w:val="0023134B"/>
    <w:rsid w:val="002434D4"/>
    <w:rsid w:val="00265608"/>
    <w:rsid w:val="002658C5"/>
    <w:rsid w:val="00283659"/>
    <w:rsid w:val="002C6BD4"/>
    <w:rsid w:val="002D68BF"/>
    <w:rsid w:val="002E4541"/>
    <w:rsid w:val="002F6351"/>
    <w:rsid w:val="002F6B98"/>
    <w:rsid w:val="003235A2"/>
    <w:rsid w:val="00336CBF"/>
    <w:rsid w:val="00343FE3"/>
    <w:rsid w:val="003546C8"/>
    <w:rsid w:val="00361D3D"/>
    <w:rsid w:val="003825D4"/>
    <w:rsid w:val="00396FFC"/>
    <w:rsid w:val="003A7CF2"/>
    <w:rsid w:val="003C5CE5"/>
    <w:rsid w:val="003C6D66"/>
    <w:rsid w:val="003D6FAD"/>
    <w:rsid w:val="003E267B"/>
    <w:rsid w:val="003E5C54"/>
    <w:rsid w:val="003E7CD1"/>
    <w:rsid w:val="00402B9E"/>
    <w:rsid w:val="0042037F"/>
    <w:rsid w:val="004249CB"/>
    <w:rsid w:val="0044127D"/>
    <w:rsid w:val="004448DB"/>
    <w:rsid w:val="00446C9A"/>
    <w:rsid w:val="00452F2B"/>
    <w:rsid w:val="00477193"/>
    <w:rsid w:val="00496F65"/>
    <w:rsid w:val="004A1848"/>
    <w:rsid w:val="004A1D60"/>
    <w:rsid w:val="004A2206"/>
    <w:rsid w:val="004A6F4A"/>
    <w:rsid w:val="004B70D7"/>
    <w:rsid w:val="004D6B45"/>
    <w:rsid w:val="004E0A90"/>
    <w:rsid w:val="004E4717"/>
    <w:rsid w:val="00507FEC"/>
    <w:rsid w:val="00510F0E"/>
    <w:rsid w:val="0051417F"/>
    <w:rsid w:val="00543E90"/>
    <w:rsid w:val="005479E1"/>
    <w:rsid w:val="00553E0A"/>
    <w:rsid w:val="005570FD"/>
    <w:rsid w:val="005575EA"/>
    <w:rsid w:val="005623A2"/>
    <w:rsid w:val="0057790C"/>
    <w:rsid w:val="00591C81"/>
    <w:rsid w:val="0059298F"/>
    <w:rsid w:val="00593795"/>
    <w:rsid w:val="005A75FF"/>
    <w:rsid w:val="005B052C"/>
    <w:rsid w:val="005D10AB"/>
    <w:rsid w:val="005D41BE"/>
    <w:rsid w:val="005E02F8"/>
    <w:rsid w:val="005E4AD1"/>
    <w:rsid w:val="005F4FEC"/>
    <w:rsid w:val="00601D8F"/>
    <w:rsid w:val="00605582"/>
    <w:rsid w:val="00611F34"/>
    <w:rsid w:val="00621FE8"/>
    <w:rsid w:val="006434B6"/>
    <w:rsid w:val="00653E97"/>
    <w:rsid w:val="006667DB"/>
    <w:rsid w:val="00684A74"/>
    <w:rsid w:val="0068620A"/>
    <w:rsid w:val="00690B8A"/>
    <w:rsid w:val="00693174"/>
    <w:rsid w:val="006F2CF1"/>
    <w:rsid w:val="007038ED"/>
    <w:rsid w:val="00703BC3"/>
    <w:rsid w:val="00704B61"/>
    <w:rsid w:val="0071058C"/>
    <w:rsid w:val="00715A64"/>
    <w:rsid w:val="0072699F"/>
    <w:rsid w:val="00740C1F"/>
    <w:rsid w:val="007552A9"/>
    <w:rsid w:val="0075658A"/>
    <w:rsid w:val="00761858"/>
    <w:rsid w:val="00767D59"/>
    <w:rsid w:val="00776E97"/>
    <w:rsid w:val="00780F86"/>
    <w:rsid w:val="007912AD"/>
    <w:rsid w:val="007A1AF0"/>
    <w:rsid w:val="007B0824"/>
    <w:rsid w:val="007B5A95"/>
    <w:rsid w:val="007B5D3C"/>
    <w:rsid w:val="007C4799"/>
    <w:rsid w:val="00815011"/>
    <w:rsid w:val="00821B72"/>
    <w:rsid w:val="00823EF2"/>
    <w:rsid w:val="008303B8"/>
    <w:rsid w:val="00833529"/>
    <w:rsid w:val="00833DCE"/>
    <w:rsid w:val="008418BE"/>
    <w:rsid w:val="00865ECC"/>
    <w:rsid w:val="00871D34"/>
    <w:rsid w:val="008859AF"/>
    <w:rsid w:val="008A25EC"/>
    <w:rsid w:val="008A6059"/>
    <w:rsid w:val="008B270C"/>
    <w:rsid w:val="008B5078"/>
    <w:rsid w:val="008C07BC"/>
    <w:rsid w:val="008C3D3D"/>
    <w:rsid w:val="008D1D2A"/>
    <w:rsid w:val="008D4131"/>
    <w:rsid w:val="008F1932"/>
    <w:rsid w:val="008F7D06"/>
    <w:rsid w:val="0090151B"/>
    <w:rsid w:val="009042A9"/>
    <w:rsid w:val="00921062"/>
    <w:rsid w:val="00934BD2"/>
    <w:rsid w:val="00955CDC"/>
    <w:rsid w:val="009722BC"/>
    <w:rsid w:val="009727A3"/>
    <w:rsid w:val="00987774"/>
    <w:rsid w:val="009A11E8"/>
    <w:rsid w:val="009B7433"/>
    <w:rsid w:val="009C57C8"/>
    <w:rsid w:val="009E0D37"/>
    <w:rsid w:val="009F5220"/>
    <w:rsid w:val="00A07919"/>
    <w:rsid w:val="00A15234"/>
    <w:rsid w:val="00A201AB"/>
    <w:rsid w:val="00A31C8B"/>
    <w:rsid w:val="00A4298C"/>
    <w:rsid w:val="00A509FA"/>
    <w:rsid w:val="00A845DC"/>
    <w:rsid w:val="00B26AA2"/>
    <w:rsid w:val="00B3524D"/>
    <w:rsid w:val="00B40F69"/>
    <w:rsid w:val="00B46616"/>
    <w:rsid w:val="00B528BB"/>
    <w:rsid w:val="00B7040A"/>
    <w:rsid w:val="00B77D40"/>
    <w:rsid w:val="00B83391"/>
    <w:rsid w:val="00B85F51"/>
    <w:rsid w:val="00B95326"/>
    <w:rsid w:val="00BD4196"/>
    <w:rsid w:val="00BF22CA"/>
    <w:rsid w:val="00BF23BB"/>
    <w:rsid w:val="00C26032"/>
    <w:rsid w:val="00C345E1"/>
    <w:rsid w:val="00C43BFD"/>
    <w:rsid w:val="00C6048A"/>
    <w:rsid w:val="00CB6E35"/>
    <w:rsid w:val="00CC37DF"/>
    <w:rsid w:val="00CD3B9D"/>
    <w:rsid w:val="00CD3BE9"/>
    <w:rsid w:val="00CE1A46"/>
    <w:rsid w:val="00D1362F"/>
    <w:rsid w:val="00D20757"/>
    <w:rsid w:val="00D22636"/>
    <w:rsid w:val="00D22AFC"/>
    <w:rsid w:val="00D40FD9"/>
    <w:rsid w:val="00D53769"/>
    <w:rsid w:val="00D6602D"/>
    <w:rsid w:val="00D85C13"/>
    <w:rsid w:val="00D85FA6"/>
    <w:rsid w:val="00D9111A"/>
    <w:rsid w:val="00D91BE3"/>
    <w:rsid w:val="00D949B7"/>
    <w:rsid w:val="00D94AFC"/>
    <w:rsid w:val="00DB70AE"/>
    <w:rsid w:val="00DD5071"/>
    <w:rsid w:val="00DD5C39"/>
    <w:rsid w:val="00DE7DB7"/>
    <w:rsid w:val="00E00A0A"/>
    <w:rsid w:val="00E066DE"/>
    <w:rsid w:val="00E07F57"/>
    <w:rsid w:val="00E30683"/>
    <w:rsid w:val="00E42065"/>
    <w:rsid w:val="00E42107"/>
    <w:rsid w:val="00E453D8"/>
    <w:rsid w:val="00E50BCE"/>
    <w:rsid w:val="00E55804"/>
    <w:rsid w:val="00E574BF"/>
    <w:rsid w:val="00E61292"/>
    <w:rsid w:val="00E643CC"/>
    <w:rsid w:val="00E77C4D"/>
    <w:rsid w:val="00E81D01"/>
    <w:rsid w:val="00E83332"/>
    <w:rsid w:val="00EB485A"/>
    <w:rsid w:val="00EE45D8"/>
    <w:rsid w:val="00EE4A01"/>
    <w:rsid w:val="00EE534F"/>
    <w:rsid w:val="00F131EA"/>
    <w:rsid w:val="00F20728"/>
    <w:rsid w:val="00F21945"/>
    <w:rsid w:val="00F22EDA"/>
    <w:rsid w:val="00F5589A"/>
    <w:rsid w:val="00F607E2"/>
    <w:rsid w:val="00F67804"/>
    <w:rsid w:val="00FA0910"/>
    <w:rsid w:val="00FB1A86"/>
    <w:rsid w:val="00FB21E7"/>
    <w:rsid w:val="00FC40FA"/>
    <w:rsid w:val="00FE703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5CE0059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7552A9"/>
    <w:pPr>
      <w:tabs>
        <w:tab w:val="center" w:pos="4153"/>
        <w:tab w:val="right" w:pos="8306"/>
      </w:tabs>
    </w:pPr>
  </w:style>
  <w:style w:type="paragraph" w:styleId="Footer">
    <w:name w:val="footer"/>
    <w:basedOn w:val="Normal"/>
    <w:rsid w:val="007552A9"/>
    <w:pPr>
      <w:tabs>
        <w:tab w:val="center" w:pos="4153"/>
        <w:tab w:val="right" w:pos="8306"/>
      </w:tabs>
    </w:pPr>
  </w:style>
  <w:style w:type="character" w:styleId="PageNumber">
    <w:name w:val="page number"/>
    <w:basedOn w:val="DefaultParagraphFont"/>
    <w:rsid w:val="007552A9"/>
  </w:style>
  <w:style w:type="table" w:styleId="TableGrid">
    <w:name w:val="Table Grid"/>
    <w:basedOn w:val="TableNormal"/>
    <w:rsid w:val="00D226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601D8F"/>
    <w:rPr>
      <w:rFonts w:ascii="Tahoma" w:hAnsi="Tahoma" w:cs="Tahoma"/>
      <w:sz w:val="16"/>
      <w:szCs w:val="16"/>
    </w:rPr>
  </w:style>
  <w:style w:type="character" w:styleId="Hyperlink">
    <w:name w:val="Hyperlink"/>
    <w:basedOn w:val="DefaultParagraphFont"/>
    <w:rsid w:val="00B95326"/>
    <w:rPr>
      <w:color w:val="0000FF"/>
      <w:u w:val="single"/>
    </w:rPr>
  </w:style>
  <w:style w:type="paragraph" w:styleId="ListParagraph">
    <w:name w:val="List Paragraph"/>
    <w:basedOn w:val="Normal"/>
    <w:uiPriority w:val="34"/>
    <w:qFormat/>
    <w:rsid w:val="008335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75249482">
      <w:bodyDiv w:val="1"/>
      <w:marLeft w:val="0"/>
      <w:marRight w:val="0"/>
      <w:marTop w:val="0"/>
      <w:marBottom w:val="0"/>
      <w:divBdr>
        <w:top w:val="none" w:sz="0" w:space="0" w:color="auto"/>
        <w:left w:val="none" w:sz="0" w:space="0" w:color="auto"/>
        <w:bottom w:val="none" w:sz="0" w:space="0" w:color="auto"/>
        <w:right w:val="none" w:sz="0" w:space="0" w:color="auto"/>
      </w:divBdr>
      <w:divsChild>
        <w:div w:id="19347024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bailii.org/cgi-bin/redirect.cgi?path=/uk/cases/UKHL/2007/49.html"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hyperlink" Target="http://www.bailii.org/cgi-bin/redirect.cgi?path=/ew/cases/EWCA/Civ/2001/734.html" TargetMode="External"/><Relationship Id="rId4" Type="http://schemas.openxmlformats.org/officeDocument/2006/relationships/webSettings" Target="webSettings.xml"/><Relationship Id="rId9" Type="http://schemas.openxmlformats.org/officeDocument/2006/relationships/hyperlink" Target="http://www.bailii.org/ew/cases/EWCA/Civ/2001/734.html"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2393</Words>
  <Characters>11392</Characters>
  <Application>Microsoft Office Word</Application>
  <DocSecurity>0</DocSecurity>
  <Lines>94</Lines>
  <Paragraphs>27</Paragraphs>
  <ScaleCrop>false</ScaleCrop>
  <Company/>
  <LinksUpToDate>false</LinksUpToDate>
  <CharactersWithSpaces>13758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2018-09-18T12:22:00Z</dcterms:created>
  <dcterms:modified xsi:type="dcterms:W3CDTF">2018-09-18T12:22:00Z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