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5740DD" w:rsidRDefault="00CA0269" w:rsidP="00F97703">
      <w:pPr>
        <w:jc w:val="center"/>
        <w:rPr>
          <w:rFonts w:ascii="Book Antiqua" w:hAnsi="Book Antiqua" w:cs="Arial"/>
          <w:color w:val="000000"/>
        </w:rPr>
      </w:pPr>
      <w:r w:rsidRPr="005740DD">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5740DD" w:rsidRDefault="00611011" w:rsidP="00780F86">
      <w:pPr>
        <w:tabs>
          <w:tab w:val="right" w:pos="9720"/>
        </w:tabs>
        <w:ind w:right="-82"/>
        <w:rPr>
          <w:rFonts w:ascii="Book Antiqua" w:hAnsi="Book Antiqua" w:cs="Arial"/>
          <w:b/>
          <w:color w:val="000000"/>
        </w:rPr>
      </w:pPr>
      <w:r w:rsidRPr="005740DD">
        <w:rPr>
          <w:rFonts w:ascii="Book Antiqua" w:hAnsi="Book Antiqua" w:cs="Arial"/>
          <w:b/>
          <w:color w:val="000000"/>
        </w:rPr>
        <w:t>Upper</w:t>
      </w:r>
      <w:r w:rsidR="00F97703" w:rsidRPr="005740DD">
        <w:rPr>
          <w:rFonts w:ascii="Book Antiqua" w:hAnsi="Book Antiqua" w:cs="Arial"/>
          <w:b/>
          <w:color w:val="000000"/>
        </w:rPr>
        <w:t xml:space="preserve"> Tribunal </w:t>
      </w:r>
    </w:p>
    <w:p w:rsidR="007B0824" w:rsidRPr="005740DD" w:rsidRDefault="00F97703" w:rsidP="00780F86">
      <w:pPr>
        <w:tabs>
          <w:tab w:val="right" w:pos="9720"/>
        </w:tabs>
        <w:ind w:right="-82"/>
        <w:rPr>
          <w:rFonts w:ascii="Book Antiqua" w:hAnsi="Book Antiqua" w:cs="Arial"/>
          <w:color w:val="000000"/>
        </w:rPr>
      </w:pPr>
      <w:r w:rsidRPr="005740DD">
        <w:rPr>
          <w:rFonts w:ascii="Book Antiqua" w:hAnsi="Book Antiqua" w:cs="Arial"/>
          <w:b/>
          <w:color w:val="000000"/>
        </w:rPr>
        <w:t>(Immigration and Asylum Chamber)</w:t>
      </w:r>
      <w:r w:rsidR="00DB70AE" w:rsidRPr="005740DD">
        <w:rPr>
          <w:rFonts w:ascii="Book Antiqua" w:hAnsi="Book Antiqua" w:cs="Arial"/>
          <w:b/>
          <w:color w:val="000000"/>
        </w:rPr>
        <w:tab/>
      </w:r>
      <w:r w:rsidR="00B3524D" w:rsidRPr="005740DD">
        <w:rPr>
          <w:rFonts w:ascii="Book Antiqua" w:hAnsi="Book Antiqua" w:cs="Arial"/>
          <w:color w:val="000000"/>
        </w:rPr>
        <w:t>Appeal Number</w:t>
      </w:r>
      <w:r w:rsidR="00D53769" w:rsidRPr="005740DD">
        <w:rPr>
          <w:rFonts w:ascii="Book Antiqua" w:hAnsi="Book Antiqua" w:cs="Arial"/>
          <w:color w:val="000000"/>
        </w:rPr>
        <w:t>:</w:t>
      </w:r>
      <w:r w:rsidR="00B3524D" w:rsidRPr="005740DD">
        <w:rPr>
          <w:rFonts w:ascii="Book Antiqua" w:hAnsi="Book Antiqua" w:cs="Arial"/>
          <w:color w:val="000000"/>
        </w:rPr>
        <w:t xml:space="preserve"> </w:t>
      </w:r>
      <w:bookmarkStart w:id="0" w:name="_GoBack"/>
      <w:r w:rsidR="005740DD" w:rsidRPr="005740DD">
        <w:rPr>
          <w:rFonts w:ascii="Book Antiqua" w:hAnsi="Book Antiqua" w:cs="Arial"/>
          <w:caps/>
          <w:color w:val="000000"/>
        </w:rPr>
        <w:t>RP/00147/2017</w:t>
      </w:r>
      <w:bookmarkEnd w:id="0"/>
    </w:p>
    <w:p w:rsidR="00C345E1" w:rsidRPr="005740DD" w:rsidRDefault="00C345E1" w:rsidP="00C345E1">
      <w:pPr>
        <w:jc w:val="center"/>
        <w:rPr>
          <w:rFonts w:ascii="Book Antiqua" w:hAnsi="Book Antiqua" w:cs="Arial"/>
          <w:color w:val="000000"/>
        </w:rPr>
      </w:pPr>
    </w:p>
    <w:p w:rsidR="00C345E1" w:rsidRPr="005740DD" w:rsidRDefault="00C345E1" w:rsidP="00C345E1">
      <w:pPr>
        <w:jc w:val="center"/>
        <w:rPr>
          <w:rFonts w:ascii="Book Antiqua" w:hAnsi="Book Antiqua" w:cs="Arial"/>
          <w:color w:val="000000"/>
        </w:rPr>
      </w:pPr>
    </w:p>
    <w:p w:rsidR="00C345E1" w:rsidRPr="005740DD" w:rsidRDefault="00C345E1" w:rsidP="00C345E1">
      <w:pPr>
        <w:jc w:val="center"/>
        <w:rPr>
          <w:rFonts w:ascii="Book Antiqua" w:hAnsi="Book Antiqua" w:cs="Arial"/>
          <w:b/>
          <w:color w:val="000000"/>
          <w:u w:val="single"/>
        </w:rPr>
      </w:pPr>
      <w:r w:rsidRPr="005740DD">
        <w:rPr>
          <w:rFonts w:ascii="Book Antiqua" w:hAnsi="Book Antiqua" w:cs="Arial"/>
          <w:b/>
          <w:color w:val="000000"/>
          <w:u w:val="single"/>
        </w:rPr>
        <w:t>THE IMMIGRATION ACTS</w:t>
      </w:r>
    </w:p>
    <w:p w:rsidR="00C345E1" w:rsidRPr="005740DD" w:rsidRDefault="00C345E1" w:rsidP="00C345E1">
      <w:pPr>
        <w:jc w:val="center"/>
        <w:rPr>
          <w:rFonts w:ascii="Book Antiqua" w:hAnsi="Book Antiqua" w:cs="Arial"/>
          <w:b/>
          <w:u w:val="single"/>
        </w:rPr>
      </w:pPr>
    </w:p>
    <w:p w:rsidR="00C345E1" w:rsidRPr="005740DD"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4539"/>
      </w:tblGrid>
      <w:tr w:rsidR="00D22636" w:rsidRPr="00096BCF" w:rsidTr="00096BCF">
        <w:tc>
          <w:tcPr>
            <w:tcW w:w="5211" w:type="dxa"/>
            <w:shd w:val="clear" w:color="auto" w:fill="auto"/>
          </w:tcPr>
          <w:p w:rsidR="00D22636" w:rsidRPr="00096BCF" w:rsidRDefault="00F22430" w:rsidP="000D0CB5">
            <w:pPr>
              <w:jc w:val="both"/>
              <w:rPr>
                <w:rFonts w:ascii="Book Antiqua" w:hAnsi="Book Antiqua" w:cs="Arial"/>
              </w:rPr>
            </w:pPr>
            <w:r w:rsidRPr="00096BCF">
              <w:rPr>
                <w:rFonts w:ascii="Book Antiqua" w:hAnsi="Book Antiqua" w:cs="Arial"/>
              </w:rPr>
              <w:t xml:space="preserve">Heard at </w:t>
            </w:r>
            <w:r w:rsidR="000060DE" w:rsidRPr="00096BCF">
              <w:rPr>
                <w:rFonts w:ascii="Book Antiqua" w:hAnsi="Book Antiqua" w:cs="Arial"/>
              </w:rPr>
              <w:t xml:space="preserve">Field House </w:t>
            </w:r>
          </w:p>
        </w:tc>
        <w:tc>
          <w:tcPr>
            <w:tcW w:w="4617" w:type="dxa"/>
            <w:shd w:val="clear" w:color="auto" w:fill="auto"/>
          </w:tcPr>
          <w:p w:rsidR="00D22636" w:rsidRPr="00096BCF" w:rsidRDefault="00D51814" w:rsidP="000D0CB5">
            <w:pPr>
              <w:jc w:val="both"/>
              <w:rPr>
                <w:rFonts w:ascii="Book Antiqua" w:hAnsi="Book Antiqua" w:cs="Arial"/>
                <w:color w:val="000000"/>
              </w:rPr>
            </w:pPr>
            <w:r w:rsidRPr="00096BCF">
              <w:rPr>
                <w:rFonts w:ascii="Book Antiqua" w:hAnsi="Book Antiqua" w:cs="Arial"/>
                <w:color w:val="000000"/>
              </w:rPr>
              <w:t xml:space="preserve">Decision </w:t>
            </w:r>
            <w:r w:rsidR="00096BCF" w:rsidRPr="00096BCF">
              <w:rPr>
                <w:rFonts w:ascii="Book Antiqua" w:hAnsi="Book Antiqua" w:cs="Arial"/>
                <w:color w:val="000000"/>
              </w:rPr>
              <w:t xml:space="preserve">and Reasons Promulgated </w:t>
            </w:r>
          </w:p>
        </w:tc>
      </w:tr>
      <w:tr w:rsidR="000060DE" w:rsidRPr="00096BCF" w:rsidTr="00096BCF">
        <w:tc>
          <w:tcPr>
            <w:tcW w:w="5211" w:type="dxa"/>
            <w:shd w:val="clear" w:color="auto" w:fill="auto"/>
          </w:tcPr>
          <w:p w:rsidR="000060DE" w:rsidRPr="00096BCF" w:rsidRDefault="000060DE" w:rsidP="000D0CB5">
            <w:pPr>
              <w:jc w:val="both"/>
              <w:rPr>
                <w:rFonts w:ascii="Book Antiqua" w:hAnsi="Book Antiqua" w:cs="Arial"/>
              </w:rPr>
            </w:pPr>
            <w:r w:rsidRPr="00096BCF">
              <w:rPr>
                <w:rFonts w:ascii="Book Antiqua" w:hAnsi="Book Antiqua" w:cs="Arial"/>
              </w:rPr>
              <w:t xml:space="preserve">On </w:t>
            </w:r>
            <w:r w:rsidR="005740DD" w:rsidRPr="00096BCF">
              <w:rPr>
                <w:rFonts w:ascii="Book Antiqua" w:hAnsi="Book Antiqua" w:cs="Arial"/>
              </w:rPr>
              <w:t>29 June 2018</w:t>
            </w:r>
          </w:p>
        </w:tc>
        <w:tc>
          <w:tcPr>
            <w:tcW w:w="4617" w:type="dxa"/>
            <w:shd w:val="clear" w:color="auto" w:fill="auto"/>
          </w:tcPr>
          <w:p w:rsidR="000060DE" w:rsidRPr="00096BCF" w:rsidRDefault="00096BCF" w:rsidP="004610B3">
            <w:pPr>
              <w:jc w:val="both"/>
              <w:rPr>
                <w:rFonts w:ascii="Book Antiqua" w:hAnsi="Book Antiqua" w:cs="Arial"/>
              </w:rPr>
            </w:pPr>
            <w:r w:rsidRPr="00096BCF">
              <w:rPr>
                <w:rFonts w:ascii="Book Antiqua" w:hAnsi="Book Antiqua" w:cs="Arial"/>
              </w:rPr>
              <w:t xml:space="preserve">On 10 September 2018 </w:t>
            </w:r>
          </w:p>
        </w:tc>
      </w:tr>
    </w:tbl>
    <w:p w:rsidR="00A15234" w:rsidRPr="005740DD" w:rsidRDefault="00A15234" w:rsidP="00A15234">
      <w:pPr>
        <w:jc w:val="center"/>
        <w:rPr>
          <w:rFonts w:ascii="Book Antiqua" w:hAnsi="Book Antiqua" w:cs="Arial"/>
        </w:rPr>
      </w:pPr>
    </w:p>
    <w:p w:rsidR="005A61A3" w:rsidRDefault="005A61A3" w:rsidP="00A15234">
      <w:pPr>
        <w:jc w:val="center"/>
        <w:rPr>
          <w:rFonts w:ascii="Book Antiqua" w:hAnsi="Book Antiqua" w:cs="Arial"/>
          <w:b/>
        </w:rPr>
      </w:pPr>
    </w:p>
    <w:p w:rsidR="00A15234" w:rsidRPr="005740DD" w:rsidRDefault="00207617" w:rsidP="00A15234">
      <w:pPr>
        <w:jc w:val="center"/>
        <w:rPr>
          <w:rFonts w:ascii="Book Antiqua" w:hAnsi="Book Antiqua" w:cs="Arial"/>
          <w:b/>
        </w:rPr>
      </w:pPr>
      <w:r w:rsidRPr="005740DD">
        <w:rPr>
          <w:rFonts w:ascii="Book Antiqua" w:hAnsi="Book Antiqua" w:cs="Arial"/>
          <w:b/>
        </w:rPr>
        <w:t>Befo</w:t>
      </w:r>
      <w:r w:rsidR="00A15234" w:rsidRPr="005740DD">
        <w:rPr>
          <w:rFonts w:ascii="Book Antiqua" w:hAnsi="Book Antiqua" w:cs="Arial"/>
          <w:b/>
        </w:rPr>
        <w:t>re</w:t>
      </w:r>
    </w:p>
    <w:p w:rsidR="00A15234" w:rsidRPr="005740DD" w:rsidRDefault="00A15234" w:rsidP="00A15234">
      <w:pPr>
        <w:jc w:val="center"/>
        <w:rPr>
          <w:rFonts w:ascii="Book Antiqua" w:hAnsi="Book Antiqua" w:cs="Arial"/>
          <w:b/>
        </w:rPr>
      </w:pPr>
    </w:p>
    <w:p w:rsidR="001B186A" w:rsidRPr="005740DD" w:rsidRDefault="00AD7978" w:rsidP="00A15234">
      <w:pPr>
        <w:jc w:val="center"/>
        <w:rPr>
          <w:rFonts w:ascii="Book Antiqua" w:hAnsi="Book Antiqua" w:cs="Arial"/>
          <w:b/>
          <w:color w:val="000000"/>
          <w:sz w:val="26"/>
        </w:rPr>
      </w:pPr>
      <w:r w:rsidRPr="005740DD">
        <w:rPr>
          <w:rFonts w:ascii="Book Antiqua" w:hAnsi="Book Antiqua" w:cs="Arial"/>
          <w:b/>
          <w:color w:val="000000"/>
          <w:sz w:val="26"/>
        </w:rPr>
        <w:t xml:space="preserve">UPPER TRIBUNAL </w:t>
      </w:r>
      <w:r w:rsidR="001B2F75" w:rsidRPr="005740DD">
        <w:rPr>
          <w:rFonts w:ascii="Book Antiqua" w:hAnsi="Book Antiqua" w:cs="Arial"/>
          <w:b/>
          <w:color w:val="000000"/>
          <w:sz w:val="26"/>
        </w:rPr>
        <w:t xml:space="preserve">JUDGE </w:t>
      </w:r>
      <w:r w:rsidR="00F22430" w:rsidRPr="005740DD">
        <w:rPr>
          <w:rFonts w:ascii="Book Antiqua" w:hAnsi="Book Antiqua" w:cs="Arial"/>
          <w:b/>
          <w:color w:val="000000"/>
          <w:sz w:val="26"/>
        </w:rPr>
        <w:t>GLEESON</w:t>
      </w:r>
    </w:p>
    <w:p w:rsidR="00D20757" w:rsidRPr="005740DD" w:rsidRDefault="00D20757" w:rsidP="00A15234">
      <w:pPr>
        <w:jc w:val="center"/>
        <w:rPr>
          <w:rFonts w:ascii="Book Antiqua" w:hAnsi="Book Antiqua" w:cs="Arial"/>
          <w:b/>
        </w:rPr>
      </w:pPr>
    </w:p>
    <w:p w:rsidR="000E01B8" w:rsidRPr="005740DD" w:rsidRDefault="000E01B8" w:rsidP="00A15234">
      <w:pPr>
        <w:jc w:val="center"/>
        <w:rPr>
          <w:rFonts w:ascii="Book Antiqua" w:hAnsi="Book Antiqua" w:cs="Arial"/>
          <w:b/>
        </w:rPr>
      </w:pPr>
    </w:p>
    <w:p w:rsidR="00A845DC" w:rsidRPr="005740DD" w:rsidRDefault="00A845DC" w:rsidP="00A15234">
      <w:pPr>
        <w:jc w:val="center"/>
        <w:rPr>
          <w:rFonts w:ascii="Book Antiqua" w:hAnsi="Book Antiqua" w:cs="Arial"/>
          <w:b/>
        </w:rPr>
      </w:pPr>
      <w:r w:rsidRPr="005740DD">
        <w:rPr>
          <w:rFonts w:ascii="Book Antiqua" w:hAnsi="Book Antiqua" w:cs="Arial"/>
          <w:b/>
        </w:rPr>
        <w:t>Between</w:t>
      </w:r>
    </w:p>
    <w:p w:rsidR="00A845DC" w:rsidRPr="005740DD" w:rsidRDefault="00A845DC" w:rsidP="00A15234">
      <w:pPr>
        <w:jc w:val="center"/>
        <w:rPr>
          <w:rFonts w:ascii="Book Antiqua" w:hAnsi="Book Antiqua" w:cs="Arial"/>
          <w:b/>
        </w:rPr>
      </w:pPr>
    </w:p>
    <w:p w:rsidR="004610B3" w:rsidRDefault="004610B3" w:rsidP="00A15234">
      <w:pPr>
        <w:jc w:val="center"/>
        <w:rPr>
          <w:rFonts w:ascii="Book Antiqua" w:hAnsi="Book Antiqua" w:cs="Arial"/>
          <w:b/>
          <w:caps/>
          <w:sz w:val="26"/>
        </w:rPr>
      </w:pPr>
      <w:r w:rsidRPr="004610B3">
        <w:rPr>
          <w:rFonts w:ascii="Book Antiqua" w:hAnsi="Book Antiqua" w:cs="Arial"/>
          <w:b/>
          <w:caps/>
          <w:sz w:val="26"/>
        </w:rPr>
        <w:t xml:space="preserve">THE SECRETARY OF STATE FOR THE HOME DEPARTMENT  </w:t>
      </w:r>
    </w:p>
    <w:p w:rsidR="00704B61" w:rsidRPr="005740DD" w:rsidRDefault="00704B61" w:rsidP="00704B61">
      <w:pPr>
        <w:jc w:val="right"/>
        <w:rPr>
          <w:rFonts w:ascii="Book Antiqua" w:hAnsi="Book Antiqua" w:cs="Arial"/>
          <w:u w:val="single"/>
        </w:rPr>
      </w:pPr>
      <w:r w:rsidRPr="005740DD">
        <w:rPr>
          <w:rFonts w:ascii="Book Antiqua" w:hAnsi="Book Antiqua" w:cs="Arial"/>
          <w:u w:val="single"/>
        </w:rPr>
        <w:t>Appellant</w:t>
      </w:r>
    </w:p>
    <w:p w:rsidR="00704B61" w:rsidRPr="005740DD" w:rsidRDefault="00DD5071" w:rsidP="00704B61">
      <w:pPr>
        <w:jc w:val="center"/>
        <w:rPr>
          <w:rFonts w:ascii="Book Antiqua" w:hAnsi="Book Antiqua" w:cs="Arial"/>
          <w:b/>
        </w:rPr>
      </w:pPr>
      <w:r w:rsidRPr="005740DD">
        <w:rPr>
          <w:rFonts w:ascii="Book Antiqua" w:hAnsi="Book Antiqua" w:cs="Arial"/>
          <w:b/>
        </w:rPr>
        <w:t>and</w:t>
      </w:r>
    </w:p>
    <w:p w:rsidR="00DD5071" w:rsidRPr="005740DD" w:rsidRDefault="00DD5071" w:rsidP="00704B61">
      <w:pPr>
        <w:jc w:val="center"/>
        <w:rPr>
          <w:rFonts w:ascii="Book Antiqua" w:hAnsi="Book Antiqua" w:cs="Arial"/>
          <w:b/>
        </w:rPr>
      </w:pPr>
    </w:p>
    <w:p w:rsidR="004610B3" w:rsidRPr="005740DD" w:rsidRDefault="004610B3" w:rsidP="004610B3">
      <w:pPr>
        <w:jc w:val="center"/>
        <w:rPr>
          <w:rFonts w:ascii="Book Antiqua" w:hAnsi="Book Antiqua" w:cs="Arial"/>
          <w:b/>
          <w:caps/>
        </w:rPr>
      </w:pPr>
      <w:r>
        <w:rPr>
          <w:rFonts w:ascii="Book Antiqua" w:hAnsi="Book Antiqua" w:cs="Arial"/>
          <w:b/>
          <w:caps/>
          <w:sz w:val="26"/>
        </w:rPr>
        <w:t>A J</w:t>
      </w:r>
      <w:r w:rsidRPr="005740DD">
        <w:rPr>
          <w:rFonts w:ascii="Book Antiqua" w:hAnsi="Book Antiqua" w:cs="Arial"/>
          <w:b/>
          <w:caps/>
          <w:sz w:val="26"/>
        </w:rPr>
        <w:t xml:space="preserve"> </w:t>
      </w:r>
      <w:r w:rsidR="00D470DB">
        <w:rPr>
          <w:rFonts w:ascii="Book Antiqua" w:hAnsi="Book Antiqua" w:cs="Arial"/>
          <w:b/>
          <w:caps/>
          <w:sz w:val="26"/>
        </w:rPr>
        <w:t>(</w:t>
      </w:r>
      <w:r w:rsidRPr="005740DD">
        <w:rPr>
          <w:rFonts w:ascii="Book Antiqua" w:hAnsi="Book Antiqua" w:cs="Arial"/>
          <w:b/>
          <w:sz w:val="26"/>
        </w:rPr>
        <w:t xml:space="preserve">aka </w:t>
      </w:r>
      <w:r>
        <w:rPr>
          <w:rFonts w:ascii="Book Antiqua" w:hAnsi="Book Antiqua" w:cs="Arial"/>
          <w:b/>
          <w:caps/>
          <w:sz w:val="26"/>
        </w:rPr>
        <w:t>a q-m</w:t>
      </w:r>
      <w:r w:rsidR="00D470DB">
        <w:rPr>
          <w:rFonts w:ascii="Book Antiqua" w:hAnsi="Book Antiqua" w:cs="Arial"/>
          <w:b/>
          <w:caps/>
          <w:sz w:val="26"/>
        </w:rPr>
        <w:t>)</w:t>
      </w:r>
    </w:p>
    <w:p w:rsidR="004610B3" w:rsidRPr="005740DD" w:rsidRDefault="004610B3" w:rsidP="004610B3">
      <w:pPr>
        <w:jc w:val="center"/>
        <w:rPr>
          <w:rFonts w:ascii="Book Antiqua" w:hAnsi="Book Antiqua" w:cs="Arial"/>
          <w:b/>
          <w:caps/>
        </w:rPr>
      </w:pPr>
      <w:r w:rsidRPr="005740DD">
        <w:rPr>
          <w:rFonts w:ascii="Book Antiqua" w:hAnsi="Book Antiqua" w:cs="Arial"/>
          <w:b/>
          <w:caps/>
        </w:rPr>
        <w:t>[</w:t>
      </w:r>
      <w:r w:rsidRPr="005740DD">
        <w:rPr>
          <w:rFonts w:ascii="Book Antiqua" w:hAnsi="Book Antiqua" w:cs="Arial"/>
          <w:b/>
          <w:caps/>
          <w:sz w:val="22"/>
        </w:rPr>
        <w:t>ANONYMITY ORDER</w:t>
      </w:r>
      <w:r>
        <w:rPr>
          <w:rFonts w:ascii="Book Antiqua" w:hAnsi="Book Antiqua" w:cs="Arial"/>
          <w:b/>
          <w:caps/>
          <w:sz w:val="22"/>
        </w:rPr>
        <w:t xml:space="preserve"> made</w:t>
      </w:r>
      <w:r w:rsidRPr="005740DD">
        <w:rPr>
          <w:rFonts w:ascii="Book Antiqua" w:hAnsi="Book Antiqua" w:cs="Arial"/>
          <w:b/>
          <w:caps/>
        </w:rPr>
        <w:t xml:space="preserve">] </w:t>
      </w:r>
    </w:p>
    <w:p w:rsidR="00DD5071" w:rsidRPr="005740DD" w:rsidRDefault="00DD5071" w:rsidP="00DD5071">
      <w:pPr>
        <w:jc w:val="right"/>
        <w:rPr>
          <w:rFonts w:ascii="Book Antiqua" w:hAnsi="Book Antiqua" w:cs="Arial"/>
          <w:u w:val="single"/>
        </w:rPr>
      </w:pPr>
      <w:r w:rsidRPr="005740DD">
        <w:rPr>
          <w:rFonts w:ascii="Book Antiqua" w:hAnsi="Book Antiqua" w:cs="Arial"/>
          <w:u w:val="single"/>
        </w:rPr>
        <w:t>Respondent</w:t>
      </w:r>
    </w:p>
    <w:p w:rsidR="005A61A3" w:rsidRDefault="005A61A3" w:rsidP="00DD5071">
      <w:pPr>
        <w:rPr>
          <w:rFonts w:ascii="Book Antiqua" w:hAnsi="Book Antiqua" w:cs="Arial"/>
          <w:u w:val="single"/>
        </w:rPr>
      </w:pPr>
    </w:p>
    <w:p w:rsidR="005A61A3" w:rsidRDefault="005A61A3" w:rsidP="00DD5071">
      <w:pPr>
        <w:rPr>
          <w:rFonts w:ascii="Book Antiqua" w:hAnsi="Book Antiqua" w:cs="Arial"/>
          <w:u w:val="single"/>
        </w:rPr>
      </w:pPr>
    </w:p>
    <w:p w:rsidR="00496861" w:rsidRPr="005740DD" w:rsidRDefault="00496861" w:rsidP="00DD5071">
      <w:pPr>
        <w:rPr>
          <w:rFonts w:ascii="Book Antiqua" w:hAnsi="Book Antiqua" w:cs="Arial"/>
          <w:u w:val="single"/>
        </w:rPr>
      </w:pPr>
      <w:r w:rsidRPr="005740DD">
        <w:rPr>
          <w:rFonts w:ascii="Book Antiqua" w:hAnsi="Book Antiqua" w:cs="Arial"/>
          <w:u w:val="single"/>
        </w:rPr>
        <w:t>Representation:</w:t>
      </w:r>
    </w:p>
    <w:p w:rsidR="00496861" w:rsidRPr="005740DD" w:rsidRDefault="00496861" w:rsidP="004610B3">
      <w:pPr>
        <w:spacing w:before="240"/>
        <w:rPr>
          <w:rFonts w:ascii="Book Antiqua" w:hAnsi="Book Antiqua" w:cs="Arial"/>
        </w:rPr>
      </w:pPr>
      <w:proofErr w:type="spellStart"/>
      <w:r w:rsidRPr="005740DD">
        <w:rPr>
          <w:rFonts w:ascii="Book Antiqua" w:hAnsi="Book Antiqua" w:cs="Arial"/>
        </w:rPr>
        <w:t>Forthe</w:t>
      </w:r>
      <w:proofErr w:type="spellEnd"/>
      <w:r w:rsidRPr="005740DD">
        <w:rPr>
          <w:rFonts w:ascii="Book Antiqua" w:hAnsi="Book Antiqua" w:cs="Arial"/>
        </w:rPr>
        <w:t xml:space="preserve"> appellant:</w:t>
      </w:r>
      <w:r w:rsidRPr="005740DD">
        <w:rPr>
          <w:rFonts w:ascii="Book Antiqua" w:hAnsi="Book Antiqua" w:cs="Arial"/>
        </w:rPr>
        <w:tab/>
      </w:r>
      <w:r w:rsidR="004610B3">
        <w:rPr>
          <w:rFonts w:ascii="Book Antiqua" w:hAnsi="Book Antiqua" w:cs="Arial"/>
        </w:rPr>
        <w:t xml:space="preserve">Mr Ian Jarvis, a Senior Home Office Presenting Officer </w:t>
      </w:r>
    </w:p>
    <w:p w:rsidR="004610B3" w:rsidRDefault="00496861" w:rsidP="004610B3">
      <w:pPr>
        <w:rPr>
          <w:rFonts w:ascii="Book Antiqua" w:hAnsi="Book Antiqua" w:cs="Arial"/>
        </w:rPr>
      </w:pPr>
      <w:r w:rsidRPr="005740DD">
        <w:rPr>
          <w:rFonts w:ascii="Book Antiqua" w:hAnsi="Book Antiqua" w:cs="Arial"/>
        </w:rPr>
        <w:t>For the respondent:</w:t>
      </w:r>
      <w:r w:rsidRPr="005740DD">
        <w:rPr>
          <w:rFonts w:ascii="Book Antiqua" w:hAnsi="Book Antiqua" w:cs="Arial"/>
        </w:rPr>
        <w:tab/>
      </w:r>
      <w:r w:rsidR="004610B3">
        <w:rPr>
          <w:rFonts w:ascii="Book Antiqua" w:hAnsi="Book Antiqua" w:cs="Arial"/>
        </w:rPr>
        <w:t xml:space="preserve">Mr Mark Allison, Counsel instructed by Turpin &amp; Miller LLP </w:t>
      </w:r>
    </w:p>
    <w:p w:rsidR="00496861" w:rsidRPr="005740DD" w:rsidRDefault="004610B3" w:rsidP="004610B3">
      <w:pP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(Oxford)</w:t>
      </w:r>
    </w:p>
    <w:p w:rsidR="00DE7DB7" w:rsidRPr="005740DD" w:rsidRDefault="0060752B" w:rsidP="000E01B8">
      <w:pPr>
        <w:tabs>
          <w:tab w:val="left" w:pos="2520"/>
        </w:tabs>
        <w:spacing w:before="240"/>
        <w:jc w:val="center"/>
        <w:rPr>
          <w:rFonts w:ascii="Book Antiqua" w:hAnsi="Book Antiqua" w:cs="Arial"/>
          <w:sz w:val="28"/>
        </w:rPr>
      </w:pPr>
      <w:r w:rsidRPr="005740DD">
        <w:rPr>
          <w:rFonts w:ascii="Book Antiqua" w:hAnsi="Book Antiqua" w:cs="Arial"/>
          <w:b/>
          <w:sz w:val="28"/>
          <w:u w:val="single"/>
        </w:rPr>
        <w:t xml:space="preserve">DECISION AND </w:t>
      </w:r>
      <w:r w:rsidR="000E01B8" w:rsidRPr="005740DD">
        <w:rPr>
          <w:rFonts w:ascii="Book Antiqua" w:hAnsi="Book Antiqua" w:cs="Arial"/>
          <w:b/>
          <w:sz w:val="28"/>
          <w:u w:val="single"/>
        </w:rPr>
        <w:t>REASONS</w:t>
      </w:r>
    </w:p>
    <w:p w:rsidR="002C650D" w:rsidRPr="005740DD" w:rsidRDefault="002C650D" w:rsidP="002C650D">
      <w:pPr>
        <w:tabs>
          <w:tab w:val="left" w:pos="567"/>
        </w:tabs>
        <w:spacing w:before="240"/>
        <w:rPr>
          <w:rFonts w:ascii="Book Antiqua" w:hAnsi="Book Antiqua" w:cs="Arial"/>
          <w:b/>
        </w:rPr>
      </w:pPr>
      <w:r w:rsidRPr="005740DD">
        <w:rPr>
          <w:rFonts w:ascii="Book Antiqua" w:hAnsi="Book Antiqua" w:cs="Arial"/>
          <w:b/>
        </w:rPr>
        <w:t>Anonymity order</w:t>
      </w:r>
    </w:p>
    <w:p w:rsidR="002C650D" w:rsidRPr="005740DD" w:rsidRDefault="001B3ABC" w:rsidP="004610B3">
      <w:pPr>
        <w:jc w:val="both"/>
        <w:rPr>
          <w:rFonts w:ascii="Book Antiqua" w:hAnsi="Book Antiqua"/>
          <w:i/>
          <w:iCs/>
          <w:sz w:val="22"/>
          <w:szCs w:val="22"/>
        </w:rPr>
      </w:pPr>
      <w:r w:rsidRPr="005740DD">
        <w:rPr>
          <w:rFonts w:ascii="Book Antiqua" w:hAnsi="Book Antiqua"/>
          <w:i/>
          <w:iCs/>
        </w:rPr>
        <w:t xml:space="preserve">The First-tier Tribunal made an </w:t>
      </w:r>
      <w:r w:rsidR="004610B3">
        <w:rPr>
          <w:rFonts w:ascii="Book Antiqua" w:hAnsi="Book Antiqua"/>
          <w:i/>
          <w:iCs/>
        </w:rPr>
        <w:t xml:space="preserve">anonymity </w:t>
      </w:r>
      <w:r w:rsidRPr="005740DD">
        <w:rPr>
          <w:rFonts w:ascii="Book Antiqua" w:hAnsi="Book Antiqua"/>
          <w:i/>
          <w:iCs/>
        </w:rPr>
        <w:t xml:space="preserve">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original </w:t>
      </w:r>
      <w:r w:rsidR="005740DD">
        <w:rPr>
          <w:rFonts w:ascii="Book Antiqua" w:hAnsi="Book Antiqua"/>
          <w:i/>
          <w:iCs/>
        </w:rPr>
        <w:t>claimant</w:t>
      </w:r>
      <w:r w:rsidRPr="005740DD">
        <w:rPr>
          <w:rFonts w:ascii="Book Antiqua" w:hAnsi="Book Antiqua"/>
          <w:i/>
          <w:iCs/>
        </w:rPr>
        <w:t xml:space="preserve">, whether directly or indirectly. This order applies to, amongst </w:t>
      </w:r>
      <w:r w:rsidRPr="005740DD">
        <w:rPr>
          <w:rFonts w:ascii="Book Antiqua" w:hAnsi="Book Antiqua"/>
          <w:i/>
          <w:iCs/>
        </w:rPr>
        <w:lastRenderedPageBreak/>
        <w:t>others, all parties. Any failure to comply with this order could give rise to contempt of court proceedings.</w:t>
      </w:r>
    </w:p>
    <w:p w:rsidR="002C650D" w:rsidRPr="005740DD" w:rsidRDefault="002C650D" w:rsidP="002C650D">
      <w:pPr>
        <w:tabs>
          <w:tab w:val="left" w:pos="567"/>
        </w:tabs>
        <w:spacing w:before="240"/>
        <w:jc w:val="both"/>
        <w:rPr>
          <w:rFonts w:ascii="Book Antiqua" w:hAnsi="Book Antiqua" w:cs="Arial"/>
          <w:b/>
        </w:rPr>
      </w:pPr>
      <w:r w:rsidRPr="005740DD">
        <w:rPr>
          <w:rFonts w:ascii="Book Antiqua" w:hAnsi="Book Antiqua" w:cs="Arial"/>
          <w:b/>
        </w:rPr>
        <w:t>Decision and reasons</w:t>
      </w:r>
    </w:p>
    <w:p w:rsidR="0085111B"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5740DD">
        <w:rPr>
          <w:rFonts w:ascii="Book Antiqua" w:hAnsi="Book Antiqua" w:cs="Arial"/>
        </w:rPr>
        <w:t xml:space="preserve">The </w:t>
      </w:r>
      <w:r w:rsidR="005740DD">
        <w:rPr>
          <w:rFonts w:ascii="Book Antiqua" w:hAnsi="Book Antiqua" w:cs="Arial"/>
        </w:rPr>
        <w:t>Secretary of State</w:t>
      </w:r>
      <w:r w:rsidRPr="005740DD">
        <w:rPr>
          <w:rFonts w:ascii="Book Antiqua" w:hAnsi="Book Antiqua" w:cs="Arial"/>
        </w:rPr>
        <w:t xml:space="preserve"> appeals with permission against the decision of the First-tier Tribunal </w:t>
      </w:r>
      <w:r w:rsidR="005740DD">
        <w:rPr>
          <w:rFonts w:ascii="Book Antiqua" w:hAnsi="Book Antiqua" w:cs="Arial"/>
        </w:rPr>
        <w:t>allowing the claimant’s appeal against his decision to remove international protection and to deport the claimant to his country of origin, pursuant to section 32(5) of the UK Borders Act 2007</w:t>
      </w:r>
      <w:r w:rsidRPr="005740DD">
        <w:rPr>
          <w:rFonts w:ascii="Book Antiqua" w:hAnsi="Book Antiqua" w:cs="Arial"/>
        </w:rPr>
        <w:t xml:space="preserve">. </w:t>
      </w:r>
      <w:r w:rsidR="0085111B">
        <w:rPr>
          <w:rFonts w:ascii="Book Antiqua" w:hAnsi="Book Antiqua" w:cs="Arial"/>
        </w:rPr>
        <w:t xml:space="preserve">  The Secretary of State considered that the claimant’s offence was a particularly serious crime as defined by section 72 of the Nationality, Immigration and Asylum Act 2002 (as amended).</w:t>
      </w:r>
      <w:r w:rsidRPr="005740DD">
        <w:rPr>
          <w:rFonts w:ascii="Book Antiqua" w:hAnsi="Book Antiqua" w:cs="Arial"/>
        </w:rPr>
        <w:t xml:space="preserve"> </w:t>
      </w:r>
    </w:p>
    <w:p w:rsidR="0085111B" w:rsidRPr="0085111B" w:rsidRDefault="00D51814" w:rsidP="0085111B">
      <w:pPr>
        <w:numPr>
          <w:ilvl w:val="0"/>
          <w:numId w:val="1"/>
        </w:numPr>
        <w:tabs>
          <w:tab w:val="clear" w:pos="720"/>
          <w:tab w:val="num" w:pos="360"/>
          <w:tab w:val="left" w:pos="567"/>
        </w:tabs>
        <w:spacing w:before="240"/>
        <w:ind w:left="357" w:hanging="357"/>
        <w:jc w:val="both"/>
        <w:rPr>
          <w:rFonts w:ascii="Book Antiqua" w:hAnsi="Book Antiqua" w:cs="Arial"/>
        </w:rPr>
      </w:pPr>
      <w:r w:rsidRPr="005740DD">
        <w:rPr>
          <w:rFonts w:ascii="Book Antiqua" w:hAnsi="Book Antiqua" w:cs="Arial"/>
        </w:rPr>
        <w:t xml:space="preserve">The </w:t>
      </w:r>
      <w:r w:rsidR="005740DD">
        <w:rPr>
          <w:rFonts w:ascii="Book Antiqua" w:hAnsi="Book Antiqua" w:cs="Arial"/>
        </w:rPr>
        <w:t>claimant</w:t>
      </w:r>
      <w:r w:rsidRPr="005740DD">
        <w:rPr>
          <w:rFonts w:ascii="Book Antiqua" w:hAnsi="Book Antiqua" w:cs="Arial"/>
        </w:rPr>
        <w:t xml:space="preserve"> is a citizen of </w:t>
      </w:r>
      <w:r w:rsidR="005740DD" w:rsidRPr="005740DD">
        <w:rPr>
          <w:rFonts w:ascii="Book Antiqua" w:hAnsi="Book Antiqua" w:cs="Arial"/>
        </w:rPr>
        <w:t>Somalia</w:t>
      </w:r>
      <w:r w:rsidR="0085111B">
        <w:rPr>
          <w:rFonts w:ascii="Book Antiqua" w:hAnsi="Book Antiqua" w:cs="Arial"/>
        </w:rPr>
        <w:t>,</w:t>
      </w:r>
      <w:r w:rsidR="005740DD">
        <w:rPr>
          <w:rFonts w:ascii="Book Antiqua" w:hAnsi="Book Antiqua" w:cs="Arial"/>
        </w:rPr>
        <w:t xml:space="preserve"> </w:t>
      </w:r>
      <w:r w:rsidR="0085111B" w:rsidRPr="0025165A">
        <w:rPr>
          <w:rFonts w:ascii="Book Antiqua" w:hAnsi="Book Antiqua" w:cs="Arial"/>
        </w:rPr>
        <w:t>born in 1988</w:t>
      </w:r>
      <w:r w:rsidR="0085111B">
        <w:rPr>
          <w:rFonts w:ascii="Book Antiqua" w:hAnsi="Book Antiqua" w:cs="Arial"/>
        </w:rPr>
        <w:t xml:space="preserve"> in Mogadishu, </w:t>
      </w:r>
      <w:r w:rsidR="005740DD">
        <w:rPr>
          <w:rFonts w:ascii="Book Antiqua" w:hAnsi="Book Antiqua" w:cs="Arial"/>
        </w:rPr>
        <w:t xml:space="preserve">and </w:t>
      </w:r>
      <w:r w:rsidR="0085111B">
        <w:rPr>
          <w:rFonts w:ascii="Book Antiqua" w:hAnsi="Book Antiqua" w:cs="Arial"/>
        </w:rPr>
        <w:t xml:space="preserve">is </w:t>
      </w:r>
      <w:r w:rsidR="005740DD">
        <w:rPr>
          <w:rFonts w:ascii="Book Antiqua" w:hAnsi="Book Antiqua" w:cs="Arial"/>
        </w:rPr>
        <w:t>a member of the majority Isaaq cl</w:t>
      </w:r>
      <w:r w:rsidR="0085111B">
        <w:rPr>
          <w:rFonts w:ascii="Book Antiqua" w:hAnsi="Book Antiqua" w:cs="Arial"/>
        </w:rPr>
        <w:t>an.</w:t>
      </w:r>
      <w:r w:rsidR="004610B3">
        <w:rPr>
          <w:rFonts w:ascii="Book Antiqua" w:hAnsi="Book Antiqua" w:cs="Arial"/>
        </w:rPr>
        <w:t xml:space="preserve">  He claims first to have discovered his clan membership when reading Home Office papers in this appeal. </w:t>
      </w:r>
    </w:p>
    <w:p w:rsidR="00D51814" w:rsidRPr="005740DD" w:rsidRDefault="00D51814" w:rsidP="00D51814">
      <w:pPr>
        <w:tabs>
          <w:tab w:val="left" w:pos="567"/>
        </w:tabs>
        <w:spacing w:before="240"/>
        <w:jc w:val="both"/>
        <w:rPr>
          <w:rFonts w:ascii="Book Antiqua" w:hAnsi="Book Antiqua" w:cs="Arial"/>
        </w:rPr>
      </w:pPr>
      <w:r w:rsidRPr="005740DD">
        <w:rPr>
          <w:rFonts w:ascii="Book Antiqua" w:hAnsi="Book Antiqua" w:cs="Arial"/>
          <w:b/>
        </w:rPr>
        <w:t>Background</w:t>
      </w:r>
      <w:r w:rsidRPr="005740DD">
        <w:rPr>
          <w:rFonts w:ascii="Book Antiqua" w:hAnsi="Book Antiqua" w:cs="Arial"/>
        </w:rPr>
        <w:t xml:space="preserve"> </w:t>
      </w:r>
    </w:p>
    <w:p w:rsidR="0085111B" w:rsidRPr="0085111B" w:rsidRDefault="005740DD" w:rsidP="0085111B">
      <w:pPr>
        <w:numPr>
          <w:ilvl w:val="0"/>
          <w:numId w:val="1"/>
        </w:numPr>
        <w:tabs>
          <w:tab w:val="clear" w:pos="720"/>
          <w:tab w:val="num" w:pos="360"/>
          <w:tab w:val="left" w:pos="567"/>
        </w:tabs>
        <w:spacing w:before="240"/>
        <w:ind w:left="360"/>
        <w:jc w:val="both"/>
        <w:rPr>
          <w:rFonts w:ascii="Book Antiqua" w:hAnsi="Book Antiqua" w:cs="Arial"/>
        </w:rPr>
      </w:pPr>
      <w:r w:rsidRPr="0025165A">
        <w:rPr>
          <w:rFonts w:ascii="Book Antiqua" w:hAnsi="Book Antiqua" w:cs="Arial"/>
        </w:rPr>
        <w:t xml:space="preserve">The claimant </w:t>
      </w:r>
      <w:r w:rsidR="0085111B">
        <w:rPr>
          <w:rFonts w:ascii="Book Antiqua" w:hAnsi="Book Antiqua" w:cs="Arial"/>
        </w:rPr>
        <w:t xml:space="preserve">is the eldest of seven siblings, all of whom live in the United Kingdom. </w:t>
      </w:r>
      <w:r w:rsidR="0085111B" w:rsidRPr="00763EB4">
        <w:rPr>
          <w:rFonts w:ascii="Book Antiqua" w:hAnsi="Book Antiqua" w:cs="Arial"/>
        </w:rPr>
        <w:t xml:space="preserve">The claimant’s father has had refugee status since 7 January 1990, based on his perceived support for, or membership of, the Somali National Movement. </w:t>
      </w:r>
      <w:r w:rsidR="0085111B">
        <w:rPr>
          <w:rFonts w:ascii="Book Antiqua" w:hAnsi="Book Antiqua" w:cs="Arial"/>
        </w:rPr>
        <w:t xml:space="preserve"> </w:t>
      </w:r>
    </w:p>
    <w:p w:rsidR="0025165A" w:rsidRDefault="0085111B" w:rsidP="00D55223">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claimant </w:t>
      </w:r>
      <w:r w:rsidR="005740DD" w:rsidRPr="0025165A">
        <w:rPr>
          <w:rFonts w:ascii="Book Antiqua" w:hAnsi="Book Antiqua" w:cs="Arial"/>
        </w:rPr>
        <w:t>arrived in the United Kingdom as a child</w:t>
      </w:r>
      <w:r w:rsidR="00763EB4" w:rsidRPr="0025165A">
        <w:rPr>
          <w:rFonts w:ascii="Book Antiqua" w:hAnsi="Book Antiqua" w:cs="Arial"/>
        </w:rPr>
        <w:t xml:space="preserve"> with his grandmother, and his aunts</w:t>
      </w:r>
      <w:r w:rsidR="005740DD" w:rsidRPr="0025165A">
        <w:rPr>
          <w:rFonts w:ascii="Book Antiqua" w:hAnsi="Book Antiqua" w:cs="Arial"/>
        </w:rPr>
        <w:t>: it is not known exactly when he arrived, but he says he was 5 years old</w:t>
      </w:r>
      <w:r>
        <w:rPr>
          <w:rFonts w:ascii="Book Antiqua" w:hAnsi="Book Antiqua" w:cs="Arial"/>
        </w:rPr>
        <w:t>, which would make it 1993</w:t>
      </w:r>
      <w:r w:rsidR="005740DD" w:rsidRPr="0025165A">
        <w:rPr>
          <w:rFonts w:ascii="Book Antiqua" w:hAnsi="Book Antiqua" w:cs="Arial"/>
        </w:rPr>
        <w:t xml:space="preserve">. </w:t>
      </w:r>
      <w:r w:rsidR="0025165A" w:rsidRPr="0025165A">
        <w:rPr>
          <w:rFonts w:ascii="Book Antiqua" w:hAnsi="Book Antiqua" w:cs="Arial"/>
        </w:rPr>
        <w:t xml:space="preserve"> They came to join his parents, who were already here with two of his siblings. </w:t>
      </w:r>
      <w:r w:rsidR="005740DD" w:rsidRPr="0025165A">
        <w:rPr>
          <w:rFonts w:ascii="Book Antiqua" w:hAnsi="Book Antiqua" w:cs="Arial"/>
        </w:rPr>
        <w:t xml:space="preserve"> </w:t>
      </w:r>
      <w:r w:rsidR="0025165A" w:rsidRPr="0025165A">
        <w:rPr>
          <w:rFonts w:ascii="Book Antiqua" w:hAnsi="Book Antiqua" w:cs="Arial"/>
        </w:rPr>
        <w:t xml:space="preserve">The claimant’s parents had three more children after he arrived in the United Kingdom, but </w:t>
      </w:r>
      <w:r w:rsidR="0025165A">
        <w:rPr>
          <w:rFonts w:ascii="Book Antiqua" w:hAnsi="Book Antiqua" w:cs="Arial"/>
        </w:rPr>
        <w:t>they</w:t>
      </w:r>
      <w:r w:rsidR="0025165A" w:rsidRPr="0025165A">
        <w:rPr>
          <w:rFonts w:ascii="Book Antiqua" w:hAnsi="Book Antiqua" w:cs="Arial"/>
        </w:rPr>
        <w:t xml:space="preserve"> separated when he was very young, and his </w:t>
      </w:r>
      <w:r w:rsidR="00763EB4" w:rsidRPr="0025165A">
        <w:rPr>
          <w:rFonts w:ascii="Book Antiqua" w:hAnsi="Book Antiqua" w:cs="Arial"/>
        </w:rPr>
        <w:t xml:space="preserve">mother </w:t>
      </w:r>
      <w:r w:rsidR="0025165A" w:rsidRPr="0025165A">
        <w:rPr>
          <w:rFonts w:ascii="Book Antiqua" w:hAnsi="Book Antiqua" w:cs="Arial"/>
        </w:rPr>
        <w:t>returned</w:t>
      </w:r>
      <w:r w:rsidR="00763EB4" w:rsidRPr="0025165A">
        <w:rPr>
          <w:rFonts w:ascii="Book Antiqua" w:hAnsi="Book Antiqua" w:cs="Arial"/>
        </w:rPr>
        <w:t xml:space="preserve"> in Somalia</w:t>
      </w:r>
      <w:r w:rsidR="0025165A">
        <w:rPr>
          <w:rFonts w:ascii="Book Antiqua" w:hAnsi="Book Antiqua" w:cs="Arial"/>
        </w:rPr>
        <w:t>.</w:t>
      </w:r>
    </w:p>
    <w:p w:rsidR="0025165A" w:rsidRDefault="0025165A" w:rsidP="00D55223">
      <w:pPr>
        <w:numPr>
          <w:ilvl w:val="0"/>
          <w:numId w:val="1"/>
        </w:numPr>
        <w:tabs>
          <w:tab w:val="clear" w:pos="720"/>
          <w:tab w:val="num" w:pos="360"/>
          <w:tab w:val="left" w:pos="567"/>
        </w:tabs>
        <w:spacing w:before="240"/>
        <w:ind w:left="360"/>
        <w:jc w:val="both"/>
        <w:rPr>
          <w:rFonts w:ascii="Book Antiqua" w:hAnsi="Book Antiqua" w:cs="Arial"/>
        </w:rPr>
      </w:pPr>
      <w:r w:rsidRPr="0025165A">
        <w:rPr>
          <w:rFonts w:ascii="Book Antiqua" w:hAnsi="Book Antiqua" w:cs="Arial"/>
        </w:rPr>
        <w:t>I</w:t>
      </w:r>
      <w:r w:rsidR="00763EB4" w:rsidRPr="0025165A">
        <w:rPr>
          <w:rFonts w:ascii="Book Antiqua" w:hAnsi="Book Antiqua" w:cs="Arial"/>
        </w:rPr>
        <w:t xml:space="preserve">n 1994, </w:t>
      </w:r>
      <w:r w:rsidRPr="0025165A">
        <w:rPr>
          <w:rFonts w:ascii="Book Antiqua" w:hAnsi="Book Antiqua" w:cs="Arial"/>
        </w:rPr>
        <w:t>the claimant’s</w:t>
      </w:r>
      <w:r w:rsidR="00763EB4" w:rsidRPr="0025165A">
        <w:rPr>
          <w:rFonts w:ascii="Book Antiqua" w:hAnsi="Book Antiqua" w:cs="Arial"/>
        </w:rPr>
        <w:t xml:space="preserve"> parents divorced. </w:t>
      </w:r>
      <w:r w:rsidRPr="0025165A">
        <w:rPr>
          <w:rFonts w:ascii="Book Antiqua" w:hAnsi="Book Antiqua" w:cs="Arial"/>
        </w:rPr>
        <w:t>He has never had a relationship with his mother.  He</w:t>
      </w:r>
      <w:r w:rsidR="00763EB4" w:rsidRPr="0025165A">
        <w:rPr>
          <w:rFonts w:ascii="Book Antiqua" w:hAnsi="Book Antiqua" w:cs="Arial"/>
        </w:rPr>
        <w:t xml:space="preserve"> has not seen his mother (who lives in Somalia) since he was a child.  </w:t>
      </w:r>
    </w:p>
    <w:p w:rsidR="00763EB4" w:rsidRPr="0025165A" w:rsidRDefault="0025165A" w:rsidP="00D55223">
      <w:pPr>
        <w:numPr>
          <w:ilvl w:val="0"/>
          <w:numId w:val="1"/>
        </w:numPr>
        <w:tabs>
          <w:tab w:val="clear" w:pos="720"/>
          <w:tab w:val="num" w:pos="360"/>
          <w:tab w:val="left" w:pos="567"/>
        </w:tabs>
        <w:spacing w:before="240"/>
        <w:ind w:left="360"/>
        <w:jc w:val="both"/>
        <w:rPr>
          <w:rFonts w:ascii="Book Antiqua" w:hAnsi="Book Antiqua" w:cs="Arial"/>
        </w:rPr>
      </w:pPr>
      <w:r w:rsidRPr="0025165A">
        <w:rPr>
          <w:rFonts w:ascii="Book Antiqua" w:hAnsi="Book Antiqua" w:cs="Arial"/>
        </w:rPr>
        <w:t xml:space="preserve">The claimant’s father and grandmother raised him.  </w:t>
      </w:r>
      <w:r w:rsidR="00763EB4" w:rsidRPr="0025165A">
        <w:rPr>
          <w:rFonts w:ascii="Book Antiqua" w:hAnsi="Book Antiqua" w:cs="Arial"/>
        </w:rPr>
        <w:t xml:space="preserve">His grandmother comes from Somaliland and </w:t>
      </w:r>
      <w:r w:rsidRPr="0025165A">
        <w:rPr>
          <w:rFonts w:ascii="Book Antiqua" w:hAnsi="Book Antiqua" w:cs="Arial"/>
        </w:rPr>
        <w:t>since coming to the United Kingdom</w:t>
      </w:r>
      <w:r>
        <w:rPr>
          <w:rFonts w:ascii="Book Antiqua" w:hAnsi="Book Antiqua" w:cs="Arial"/>
        </w:rPr>
        <w:t>, she</w:t>
      </w:r>
      <w:r w:rsidRPr="0025165A">
        <w:rPr>
          <w:rFonts w:ascii="Book Antiqua" w:hAnsi="Book Antiqua" w:cs="Arial"/>
        </w:rPr>
        <w:t xml:space="preserve"> </w:t>
      </w:r>
      <w:r w:rsidR="00763EB4" w:rsidRPr="0025165A">
        <w:rPr>
          <w:rFonts w:ascii="Book Antiqua" w:hAnsi="Book Antiqua" w:cs="Arial"/>
        </w:rPr>
        <w:t xml:space="preserve">has </w:t>
      </w:r>
      <w:r>
        <w:rPr>
          <w:rFonts w:ascii="Book Antiqua" w:hAnsi="Book Antiqua" w:cs="Arial"/>
        </w:rPr>
        <w:t xml:space="preserve">kept in touch with family there by buying telephone cards and having regular conversations with people in Somaliland; she has also </w:t>
      </w:r>
      <w:r w:rsidR="00763EB4" w:rsidRPr="0025165A">
        <w:rPr>
          <w:rFonts w:ascii="Book Antiqua" w:hAnsi="Book Antiqua" w:cs="Arial"/>
        </w:rPr>
        <w:t xml:space="preserve">returned </w:t>
      </w:r>
      <w:r>
        <w:rPr>
          <w:rFonts w:ascii="Book Antiqua" w:hAnsi="Book Antiqua" w:cs="Arial"/>
        </w:rPr>
        <w:t>to Somaliland</w:t>
      </w:r>
      <w:r w:rsidR="00763EB4" w:rsidRPr="0025165A">
        <w:rPr>
          <w:rFonts w:ascii="Book Antiqua" w:hAnsi="Book Antiqua" w:cs="Arial"/>
        </w:rPr>
        <w:t xml:space="preserve"> to visit.</w:t>
      </w:r>
    </w:p>
    <w:p w:rsidR="00E147B4" w:rsidRPr="00763EB4" w:rsidRDefault="00763EB4" w:rsidP="00D55223">
      <w:pPr>
        <w:numPr>
          <w:ilvl w:val="0"/>
          <w:numId w:val="1"/>
        </w:numPr>
        <w:tabs>
          <w:tab w:val="clear" w:pos="720"/>
          <w:tab w:val="num" w:pos="360"/>
          <w:tab w:val="left" w:pos="567"/>
        </w:tabs>
        <w:spacing w:before="240"/>
        <w:ind w:left="360"/>
        <w:jc w:val="both"/>
        <w:rPr>
          <w:rFonts w:ascii="Book Antiqua" w:hAnsi="Book Antiqua" w:cs="Arial"/>
        </w:rPr>
      </w:pPr>
      <w:r w:rsidRPr="00763EB4">
        <w:rPr>
          <w:rFonts w:ascii="Book Antiqua" w:hAnsi="Book Antiqua" w:cs="Arial"/>
        </w:rPr>
        <w:t xml:space="preserve">On </w:t>
      </w:r>
      <w:r w:rsidR="005740DD" w:rsidRPr="00763EB4">
        <w:rPr>
          <w:rFonts w:ascii="Book Antiqua" w:hAnsi="Book Antiqua" w:cs="Arial"/>
        </w:rPr>
        <w:t xml:space="preserve">12 November 1993, the claimant, his grandmother and his aunts were granted refugee status in line with that of his father.  </w:t>
      </w:r>
      <w:r w:rsidRPr="00763EB4">
        <w:rPr>
          <w:rFonts w:ascii="Book Antiqua" w:hAnsi="Book Antiqua" w:cs="Arial"/>
        </w:rPr>
        <w:t xml:space="preserve">On 27 June 1994, the claimant was granted indefinite leave to remain. He was 6 years old. </w:t>
      </w:r>
      <w:r w:rsidR="0025165A">
        <w:rPr>
          <w:rFonts w:ascii="Book Antiqua" w:hAnsi="Book Antiqua" w:cs="Arial"/>
        </w:rPr>
        <w:t>The claimant thinks, but is not sure, that his father is now a British citizen.</w:t>
      </w:r>
    </w:p>
    <w:p w:rsidR="0025165A" w:rsidRPr="0085111B" w:rsidRDefault="0025165A" w:rsidP="0085111B">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The claimant left school at 14 and started work four years later, when he was 18, working in a warehouse on an agency basis until he was about 23 years old.  When he was 24, the claimant moved to Coventry.  He did have a partner, but the relationship failed after they had a baby who lived for just a few hours.</w:t>
      </w:r>
    </w:p>
    <w:p w:rsidR="005740DD" w:rsidRDefault="005740DD"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lastRenderedPageBreak/>
        <w:t xml:space="preserve">The claimant </w:t>
      </w:r>
      <w:r w:rsidR="00763EB4">
        <w:rPr>
          <w:rFonts w:ascii="Book Antiqua" w:hAnsi="Book Antiqua" w:cs="Arial"/>
        </w:rPr>
        <w:t>has a large extended family in the United Kingdom</w:t>
      </w:r>
      <w:r w:rsidR="0085111B">
        <w:rPr>
          <w:rFonts w:ascii="Book Antiqua" w:hAnsi="Book Antiqua" w:cs="Arial"/>
        </w:rPr>
        <w:t>:</w:t>
      </w:r>
      <w:r w:rsidR="00763EB4">
        <w:rPr>
          <w:rFonts w:ascii="Book Antiqua" w:hAnsi="Book Antiqua" w:cs="Arial"/>
        </w:rPr>
        <w:t xml:space="preserve"> </w:t>
      </w:r>
      <w:r w:rsidR="0085111B">
        <w:rPr>
          <w:rFonts w:ascii="Book Antiqua" w:hAnsi="Book Antiqua" w:cs="Arial"/>
        </w:rPr>
        <w:t xml:space="preserve">two of his aunts visited him in prison, as well as his father.  The rest of his family, </w:t>
      </w:r>
      <w:r w:rsidR="00763EB4">
        <w:rPr>
          <w:rFonts w:ascii="Book Antiqua" w:hAnsi="Book Antiqua" w:cs="Arial"/>
        </w:rPr>
        <w:t xml:space="preserve">apart </w:t>
      </w:r>
      <w:r w:rsidR="0085111B">
        <w:rPr>
          <w:rFonts w:ascii="Book Antiqua" w:hAnsi="Book Antiqua" w:cs="Arial"/>
        </w:rPr>
        <w:t>from</w:t>
      </w:r>
      <w:r w:rsidR="00763EB4">
        <w:rPr>
          <w:rFonts w:ascii="Book Antiqua" w:hAnsi="Book Antiqua" w:cs="Arial"/>
        </w:rPr>
        <w:t xml:space="preserve"> his grandmother, have refused to have anything to do with him since he was imprisoned.  </w:t>
      </w:r>
    </w:p>
    <w:p w:rsidR="00763EB4" w:rsidRDefault="005740DD"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On 11 December 2015, </w:t>
      </w:r>
      <w:r w:rsidR="0025165A">
        <w:rPr>
          <w:rFonts w:ascii="Book Antiqua" w:hAnsi="Book Antiqua" w:cs="Arial"/>
        </w:rPr>
        <w:t xml:space="preserve">when he was about 28 years old, </w:t>
      </w:r>
      <w:r>
        <w:rPr>
          <w:rFonts w:ascii="Book Antiqua" w:hAnsi="Book Antiqua" w:cs="Arial"/>
        </w:rPr>
        <w:t xml:space="preserve">the claimant was convicted of battery at Coventry Magistrates' Court and received 6 months’ conditional discharge.  </w:t>
      </w:r>
    </w:p>
    <w:p w:rsidR="003C2117" w:rsidRDefault="005740DD" w:rsidP="0025165A">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On 7 January 2016</w:t>
      </w:r>
      <w:r w:rsidRPr="005740DD">
        <w:rPr>
          <w:rFonts w:ascii="Book Antiqua" w:hAnsi="Book Antiqua" w:cs="Arial"/>
        </w:rPr>
        <w:t xml:space="preserve"> </w:t>
      </w:r>
      <w:r>
        <w:rPr>
          <w:rFonts w:ascii="Book Antiqua" w:hAnsi="Book Antiqua" w:cs="Arial"/>
        </w:rPr>
        <w:t xml:space="preserve">at Warwick Crown Court, within that 6-month period, the claimant was convicted of assault by beating and robbery and sentenced to a total of 50 months’ imprisonment (4 years and 2 months).  </w:t>
      </w:r>
      <w:r w:rsidR="003C2117">
        <w:rPr>
          <w:rFonts w:ascii="Book Antiqua" w:hAnsi="Book Antiqua" w:cs="Arial"/>
        </w:rPr>
        <w:t xml:space="preserve">The claimant was intoxicated, and it was late at night. </w:t>
      </w:r>
      <w:r w:rsidR="0085111B">
        <w:rPr>
          <w:rFonts w:ascii="Book Antiqua" w:hAnsi="Book Antiqua" w:cs="Arial"/>
        </w:rPr>
        <w:t>The claimant, with a friend, viciously</w:t>
      </w:r>
      <w:r w:rsidR="003C2117">
        <w:rPr>
          <w:rFonts w:ascii="Book Antiqua" w:hAnsi="Book Antiqua" w:cs="Arial"/>
        </w:rPr>
        <w:t xml:space="preserve"> beat and kicked a stranger, and in addition, the claimant stole his wallet.  </w:t>
      </w:r>
    </w:p>
    <w:p w:rsidR="00763EB4" w:rsidRPr="0025165A" w:rsidRDefault="0025165A" w:rsidP="0025165A">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OASys report found that the claimant was a medium risk to the public and to known adults in the community; his probability of violent offending in the next two years was 47%.  </w:t>
      </w:r>
      <w:r w:rsidR="0085111B">
        <w:rPr>
          <w:rFonts w:ascii="Book Antiqua" w:hAnsi="Book Antiqua" w:cs="Arial"/>
        </w:rPr>
        <w:t>In May 2016, the claimant was refused permission to appeal against the sentence.</w:t>
      </w:r>
    </w:p>
    <w:p w:rsidR="005740DD" w:rsidRDefault="0025165A"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claimant’s prison sentence expired on 20 October 2017 and thereafter he was held in immigration detention until 1 February 2018, when he was released.  He presently lives in Erith in Kent. </w:t>
      </w:r>
      <w:r w:rsidR="0085111B">
        <w:rPr>
          <w:rFonts w:ascii="Book Antiqua" w:hAnsi="Book Antiqua" w:cs="Arial"/>
        </w:rPr>
        <w:t xml:space="preserve"> While in prison, the claimant took every opportunity to improve himself and now expresses remorse for his crime. </w:t>
      </w:r>
    </w:p>
    <w:p w:rsidR="005740DD" w:rsidRDefault="005740DD"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On 6 November 2017, the respondent revoked the claimant’s refugee status and on 23 November 2017, he made a deportation order.</w:t>
      </w:r>
    </w:p>
    <w:p w:rsidR="005740DD" w:rsidRDefault="005740DD"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w:t>
      </w:r>
      <w:r w:rsidR="00763EB4">
        <w:rPr>
          <w:rFonts w:ascii="Book Antiqua" w:hAnsi="Book Antiqua" w:cs="Arial"/>
        </w:rPr>
        <w:t xml:space="preserve">claimant’s family in the United Kingdom are very disappointed with him: if deported to Somalia, the claimant says they will not assist him in any way, including financially.   The claimant thinks his father is now in South Africa.  They have had a telephone </w:t>
      </w:r>
      <w:r w:rsidR="00496AC2">
        <w:rPr>
          <w:rFonts w:ascii="Book Antiqua" w:hAnsi="Book Antiqua" w:cs="Arial"/>
        </w:rPr>
        <w:t>conversation,</w:t>
      </w:r>
      <w:r w:rsidR="00763EB4">
        <w:rPr>
          <w:rFonts w:ascii="Book Antiqua" w:hAnsi="Book Antiqua" w:cs="Arial"/>
        </w:rPr>
        <w:t xml:space="preserve"> but he also does not think his father will support him if he is returned.</w:t>
      </w:r>
      <w:r w:rsidR="00496AC2">
        <w:rPr>
          <w:rFonts w:ascii="Book Antiqua" w:hAnsi="Book Antiqua" w:cs="Arial"/>
        </w:rPr>
        <w:t xml:space="preserve">  The Judge accepted the claimant’s evidence on these points.</w:t>
      </w:r>
    </w:p>
    <w:p w:rsidR="00763EB4" w:rsidRDefault="00763EB4"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claimant is now 30 years old and has not lived in Somalia for approximately 25 years.  He has anxiety and depression but no physical health problems. </w:t>
      </w:r>
    </w:p>
    <w:p w:rsidR="00D51814" w:rsidRPr="005740DD" w:rsidRDefault="00D51814" w:rsidP="00D51814">
      <w:pPr>
        <w:tabs>
          <w:tab w:val="left" w:pos="567"/>
        </w:tabs>
        <w:spacing w:before="240"/>
        <w:jc w:val="both"/>
        <w:rPr>
          <w:rFonts w:ascii="Book Antiqua" w:hAnsi="Book Antiqua" w:cs="Arial"/>
          <w:b/>
        </w:rPr>
      </w:pPr>
      <w:r w:rsidRPr="005740DD">
        <w:rPr>
          <w:rFonts w:ascii="Book Antiqua" w:hAnsi="Book Antiqua" w:cs="Arial"/>
          <w:b/>
        </w:rPr>
        <w:t xml:space="preserve">First-tier Tribunal decision </w:t>
      </w:r>
    </w:p>
    <w:p w:rsidR="00D51814" w:rsidRDefault="003C2117"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First-tier Judge found that the claimant was socially and culturally integrated in the United Kingdom, and that Exceptions 1 and 2 in in section 117C of the 2002 Act were met. He found that the claimant had no family to call on in Mogadishu and that he would receive no support on return from his United Kingdom family.  He noted that the claimant had left school without qualifications and that his only job had been in a warehouse. </w:t>
      </w:r>
    </w:p>
    <w:p w:rsidR="003C2117" w:rsidRDefault="003C2117"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He considered that the claimant would struggle to find employment and would probably have to live in very poor conditions in an internally displaced person (IDP) camp, where his treatment was likely to violate Article 3 ECHR.  It was not asserted on behalf of the claimant that any health problems he had would reach the Article 3 </w:t>
      </w:r>
      <w:r>
        <w:rPr>
          <w:rFonts w:ascii="Book Antiqua" w:hAnsi="Book Antiqua" w:cs="Arial"/>
        </w:rPr>
        <w:lastRenderedPageBreak/>
        <w:t xml:space="preserve">threshold, nor that he had family and private life </w:t>
      </w:r>
      <w:r w:rsidR="00C24526">
        <w:rPr>
          <w:rFonts w:ascii="Book Antiqua" w:hAnsi="Book Antiqua" w:cs="Arial"/>
        </w:rPr>
        <w:t>for which Article 8 would require the Secretary of State to grant leave outside the Rules.</w:t>
      </w:r>
    </w:p>
    <w:p w:rsidR="00C24526" w:rsidRDefault="00C24526" w:rsidP="00C24526">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The Judge found, implicitly, that the claimant had shown significant obstacles to return, over and above those contained in Exceptions 1 and 2 and allowed the appeal.</w:t>
      </w:r>
    </w:p>
    <w:p w:rsidR="00C24526" w:rsidRPr="00C24526" w:rsidRDefault="00C24526" w:rsidP="00C24526">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Secretary of State appealed. </w:t>
      </w:r>
    </w:p>
    <w:p w:rsidR="00D51814" w:rsidRPr="005740DD" w:rsidRDefault="00D51814" w:rsidP="00D51814">
      <w:pPr>
        <w:tabs>
          <w:tab w:val="left" w:pos="567"/>
        </w:tabs>
        <w:spacing w:before="240"/>
        <w:jc w:val="both"/>
        <w:rPr>
          <w:rFonts w:ascii="Book Antiqua" w:hAnsi="Book Antiqua" w:cs="Arial"/>
          <w:b/>
        </w:rPr>
      </w:pPr>
      <w:r w:rsidRPr="005740DD">
        <w:rPr>
          <w:rFonts w:ascii="Book Antiqua" w:hAnsi="Book Antiqua" w:cs="Arial"/>
          <w:b/>
        </w:rPr>
        <w:t xml:space="preserve">Permission to appeal </w:t>
      </w:r>
    </w:p>
    <w:p w:rsidR="00D51814" w:rsidRDefault="00C24526" w:rsidP="00D55223">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Secretary of State contended </w:t>
      </w:r>
      <w:r w:rsidR="00496AC2">
        <w:rPr>
          <w:rFonts w:ascii="Book Antiqua" w:hAnsi="Book Antiqua" w:cs="Arial"/>
        </w:rPr>
        <w:t xml:space="preserve">in his renewal grounds to the Upper Tribunal </w:t>
      </w:r>
      <w:r>
        <w:rPr>
          <w:rFonts w:ascii="Book Antiqua" w:hAnsi="Book Antiqua" w:cs="Arial"/>
        </w:rPr>
        <w:t xml:space="preserve">that the First-tier Judge had misapplied the country guidance in </w:t>
      </w:r>
      <w:r>
        <w:rPr>
          <w:rFonts w:ascii="Book Antiqua" w:hAnsi="Book Antiqua" w:cs="Arial"/>
          <w:i/>
        </w:rPr>
        <w:t>MOJ and others</w:t>
      </w:r>
      <w:r w:rsidR="00D55223">
        <w:rPr>
          <w:rFonts w:ascii="Book Antiqua" w:hAnsi="Book Antiqua" w:cs="Arial"/>
          <w:i/>
        </w:rPr>
        <w:t xml:space="preserve"> </w:t>
      </w:r>
      <w:r w:rsidR="00D55223" w:rsidRPr="00D55223">
        <w:rPr>
          <w:rFonts w:ascii="Book Antiqua" w:hAnsi="Book Antiqua" w:cs="Arial"/>
        </w:rPr>
        <w:t>(Return to Mogadishu)</w:t>
      </w:r>
      <w:r w:rsidR="00D55223">
        <w:rPr>
          <w:rFonts w:ascii="Book Antiqua" w:hAnsi="Book Antiqua" w:cs="Arial"/>
        </w:rPr>
        <w:t xml:space="preserve"> </w:t>
      </w:r>
      <w:r>
        <w:rPr>
          <w:rFonts w:ascii="Book Antiqua" w:hAnsi="Book Antiqua" w:cs="Arial"/>
        </w:rPr>
        <w:t>[2014] UKUT 00442 (IAC)</w:t>
      </w:r>
      <w:r w:rsidR="00496AC2">
        <w:rPr>
          <w:rFonts w:ascii="Book Antiqua" w:hAnsi="Book Antiqua" w:cs="Arial"/>
        </w:rPr>
        <w:t>, and should have had regard to the claimant’s membership of the majority Isaaq clan when assessing whether he could obtain work and support on return to Mogadishu.</w:t>
      </w:r>
    </w:p>
    <w:p w:rsidR="00D55223" w:rsidRDefault="00496AC2" w:rsidP="00D55223">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In oral argument, though not in his grounds,</w:t>
      </w:r>
      <w:r w:rsidR="00D55223">
        <w:rPr>
          <w:rFonts w:ascii="Book Antiqua" w:hAnsi="Book Antiqua" w:cs="Arial"/>
        </w:rPr>
        <w:t xml:space="preserve"> </w:t>
      </w:r>
      <w:r>
        <w:rPr>
          <w:rFonts w:ascii="Book Antiqua" w:hAnsi="Book Antiqua" w:cs="Arial"/>
        </w:rPr>
        <w:t xml:space="preserve">Mr Jarvis for the </w:t>
      </w:r>
      <w:r w:rsidR="00D55223">
        <w:rPr>
          <w:rFonts w:ascii="Book Antiqua" w:hAnsi="Book Antiqua" w:cs="Arial"/>
        </w:rPr>
        <w:t xml:space="preserve">Secretary of State argued that the Judge had erred in considering whether, applying </w:t>
      </w:r>
      <w:r w:rsidR="00D55223" w:rsidRPr="00D55223">
        <w:rPr>
          <w:rFonts w:ascii="Book Antiqua" w:hAnsi="Book Antiqua" w:cs="Arial"/>
          <w:i/>
        </w:rPr>
        <w:t>The Secretary of State for the Home Department v Mosira</w:t>
      </w:r>
      <w:r w:rsidR="00D55223" w:rsidRPr="00D55223">
        <w:rPr>
          <w:rFonts w:ascii="Book Antiqua" w:hAnsi="Book Antiqua" w:cs="Arial"/>
        </w:rPr>
        <w:t xml:space="preserve"> [2017] EWCA </w:t>
      </w:r>
      <w:r w:rsidR="00D55223">
        <w:rPr>
          <w:rFonts w:ascii="Book Antiqua" w:hAnsi="Book Antiqua" w:cs="Arial"/>
        </w:rPr>
        <w:t xml:space="preserve">Civ 407, on the basis that the grounds for granting of refugee status to the claimant (the risk to his father) had not come to an end and it had not been open to the Secretary of State to end protection on that basis, even if there were no current risk on return to the claimant.  </w:t>
      </w:r>
      <w:r>
        <w:rPr>
          <w:rFonts w:ascii="Book Antiqua" w:hAnsi="Book Antiqua" w:cs="Arial"/>
        </w:rPr>
        <w:t>Mr Jarvis</w:t>
      </w:r>
      <w:r w:rsidR="00D55223">
        <w:rPr>
          <w:rFonts w:ascii="Book Antiqua" w:hAnsi="Book Antiqua" w:cs="Arial"/>
        </w:rPr>
        <w:t xml:space="preserve"> further argued that this</w:t>
      </w:r>
      <w:r>
        <w:rPr>
          <w:rFonts w:ascii="Book Antiqua" w:hAnsi="Book Antiqua" w:cs="Arial"/>
        </w:rPr>
        <w:t xml:space="preserve"> question, raised by the claimant in his Rule 24 Reply,</w:t>
      </w:r>
      <w:r w:rsidR="00D55223">
        <w:rPr>
          <w:rFonts w:ascii="Book Antiqua" w:hAnsi="Book Antiqua" w:cs="Arial"/>
        </w:rPr>
        <w:t xml:space="preserve"> was a ‘new matter’, on which he had not been invited to make submissions, and that the Secretary of State had been refused permission on this point by the Court of Appeal in </w:t>
      </w:r>
      <w:r w:rsidR="00D55223">
        <w:rPr>
          <w:rFonts w:ascii="Book Antiqua" w:hAnsi="Book Antiqua" w:cs="Arial"/>
          <w:i/>
        </w:rPr>
        <w:t xml:space="preserve">Mosira.  </w:t>
      </w:r>
      <w:r w:rsidR="00D55223">
        <w:rPr>
          <w:rFonts w:ascii="Book Antiqua" w:hAnsi="Book Antiqua" w:cs="Arial"/>
        </w:rPr>
        <w:t xml:space="preserve">He contended that this was an issue which now needed to be considered and addressed. </w:t>
      </w:r>
    </w:p>
    <w:p w:rsidR="00D55223" w:rsidRPr="005740DD" w:rsidRDefault="00D55223" w:rsidP="00D55223">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Upper Tribunal Judge Rimington granted permission to appeal on all grounds, but in particular on the </w:t>
      </w:r>
      <w:r>
        <w:rPr>
          <w:rFonts w:ascii="Book Antiqua" w:hAnsi="Book Antiqua" w:cs="Arial"/>
          <w:i/>
        </w:rPr>
        <w:t xml:space="preserve">MOJ and others </w:t>
      </w:r>
      <w:r>
        <w:rPr>
          <w:rFonts w:ascii="Book Antiqua" w:hAnsi="Book Antiqua" w:cs="Arial"/>
        </w:rPr>
        <w:t xml:space="preserve">ground, with reference to clan considerations and employment. </w:t>
      </w:r>
    </w:p>
    <w:p w:rsidR="00D51814" w:rsidRPr="005740DD" w:rsidRDefault="00D55223" w:rsidP="00D51814">
      <w:pPr>
        <w:tabs>
          <w:tab w:val="left" w:pos="567"/>
        </w:tabs>
        <w:spacing w:before="240"/>
        <w:jc w:val="both"/>
        <w:rPr>
          <w:rFonts w:ascii="Book Antiqua" w:hAnsi="Book Antiqua" w:cs="Arial"/>
          <w:b/>
        </w:rPr>
      </w:pPr>
      <w:r>
        <w:rPr>
          <w:rFonts w:ascii="Book Antiqua" w:hAnsi="Book Antiqua" w:cs="Arial"/>
          <w:b/>
        </w:rPr>
        <w:t xml:space="preserve">Rule 24 Reply </w:t>
      </w:r>
    </w:p>
    <w:p w:rsidR="00D51814" w:rsidRPr="00D23E0E" w:rsidRDefault="00480EB2"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In his Rule 24 Reply, the claimant relied on reasoning in the initial refusal of permission by the First-tier Tribunal. Dealing first with the </w:t>
      </w:r>
      <w:r>
        <w:rPr>
          <w:rFonts w:ascii="Book Antiqua" w:hAnsi="Book Antiqua" w:cs="Arial"/>
          <w:i/>
        </w:rPr>
        <w:t xml:space="preserve">Mosira </w:t>
      </w:r>
      <w:r>
        <w:rPr>
          <w:rFonts w:ascii="Book Antiqua" w:hAnsi="Book Antiqua" w:cs="Arial"/>
        </w:rPr>
        <w:t xml:space="preserve">question, the claimant noted that the Secretary of State had not apparently sought to appeal </w:t>
      </w:r>
      <w:proofErr w:type="spellStart"/>
      <w:r>
        <w:rPr>
          <w:rFonts w:ascii="Book Antiqua" w:hAnsi="Book Antiqua" w:cs="Arial"/>
          <w:i/>
        </w:rPr>
        <w:t>Mosira</w:t>
      </w:r>
      <w:proofErr w:type="spellEnd"/>
      <w:r w:rsidR="00075917">
        <w:rPr>
          <w:rFonts w:ascii="Book Antiqua" w:hAnsi="Book Antiqua" w:cs="Arial"/>
          <w:i/>
        </w:rPr>
        <w:t>,</w:t>
      </w:r>
      <w:r w:rsidR="00075917">
        <w:rPr>
          <w:rFonts w:ascii="Book Antiqua" w:hAnsi="Book Antiqua" w:cs="Arial"/>
        </w:rPr>
        <w:t xml:space="preserve"> which preceded her decision to </w:t>
      </w:r>
      <w:r w:rsidR="00D23E0E">
        <w:rPr>
          <w:rFonts w:ascii="Book Antiqua" w:hAnsi="Book Antiqua" w:cs="Arial"/>
        </w:rPr>
        <w:t xml:space="preserve">cease refugee status for the present claimant, but had not addressed </w:t>
      </w:r>
      <w:r w:rsidR="00D23E0E">
        <w:rPr>
          <w:rFonts w:ascii="Book Antiqua" w:hAnsi="Book Antiqua" w:cs="Arial"/>
          <w:i/>
        </w:rPr>
        <w:t xml:space="preserve">Mosira </w:t>
      </w:r>
      <w:r w:rsidR="00D23E0E">
        <w:rPr>
          <w:rFonts w:ascii="Book Antiqua" w:hAnsi="Book Antiqua" w:cs="Arial"/>
        </w:rPr>
        <w:t xml:space="preserve">in her decision.   The claimant’s skeleton argument before the First-tier Judge had included submissions on </w:t>
      </w:r>
      <w:r w:rsidR="00D23E0E">
        <w:rPr>
          <w:rFonts w:ascii="Book Antiqua" w:hAnsi="Book Antiqua" w:cs="Arial"/>
          <w:i/>
        </w:rPr>
        <w:t xml:space="preserve">Mosira, </w:t>
      </w:r>
      <w:r w:rsidR="00D23E0E">
        <w:rPr>
          <w:rFonts w:ascii="Book Antiqua" w:hAnsi="Book Antiqua" w:cs="Arial"/>
        </w:rPr>
        <w:t xml:space="preserve">and both the Judge and the Secretary of State’s representative had been provided with a copy of the decision, which was considered over the short adjournment.  The Secretary of State’s representative had not sought any longer adjournment to consider the implications of </w:t>
      </w:r>
      <w:r w:rsidR="00D23E0E">
        <w:rPr>
          <w:rFonts w:ascii="Book Antiqua" w:hAnsi="Book Antiqua" w:cs="Arial"/>
          <w:i/>
        </w:rPr>
        <w:t xml:space="preserve">Mosira. </w:t>
      </w:r>
    </w:p>
    <w:p w:rsidR="00D23E0E" w:rsidRDefault="00D23E0E"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As regards the application of </w:t>
      </w:r>
      <w:r>
        <w:rPr>
          <w:rFonts w:ascii="Book Antiqua" w:hAnsi="Book Antiqua" w:cs="Arial"/>
          <w:i/>
        </w:rPr>
        <w:t xml:space="preserve">MOJ and others, </w:t>
      </w:r>
      <w:r>
        <w:rPr>
          <w:rFonts w:ascii="Book Antiqua" w:hAnsi="Book Antiqua" w:cs="Arial"/>
        </w:rPr>
        <w:t xml:space="preserve">the claimant would also rely (as he had in his First-tier Tribunal skeleton argument) on </w:t>
      </w:r>
      <w:r>
        <w:rPr>
          <w:rFonts w:ascii="Book Antiqua" w:hAnsi="Book Antiqua" w:cs="Arial"/>
          <w:i/>
        </w:rPr>
        <w:t xml:space="preserve">FA (Libya: Article 15(C)) </w:t>
      </w:r>
      <w:r>
        <w:rPr>
          <w:rFonts w:ascii="Book Antiqua" w:hAnsi="Book Antiqua" w:cs="Arial"/>
        </w:rPr>
        <w:t xml:space="preserve">Libya [2016] UKUT 00413 (IAC).  The claimant further relied on </w:t>
      </w:r>
      <w:r>
        <w:rPr>
          <w:rFonts w:ascii="Book Antiqua" w:hAnsi="Book Antiqua" w:cs="Arial"/>
          <w:i/>
        </w:rPr>
        <w:t xml:space="preserve">Secretary of State for the Home Department v FY (Somalia) </w:t>
      </w:r>
      <w:r>
        <w:rPr>
          <w:rFonts w:ascii="Book Antiqua" w:hAnsi="Book Antiqua" w:cs="Arial"/>
        </w:rPr>
        <w:t>EWCA Civ 1853</w:t>
      </w:r>
      <w:r w:rsidR="00496AC2">
        <w:rPr>
          <w:rFonts w:ascii="Book Antiqua" w:hAnsi="Book Antiqua" w:cs="Arial"/>
        </w:rPr>
        <w:t xml:space="preserve"> and on </w:t>
      </w:r>
      <w:r w:rsidR="00496AC2" w:rsidRPr="00496AC2">
        <w:rPr>
          <w:rFonts w:ascii="Book Antiqua" w:hAnsi="Book Antiqua" w:cs="Arial"/>
          <w:i/>
        </w:rPr>
        <w:t>Secretary of State for the Home Department v Said</w:t>
      </w:r>
      <w:r w:rsidR="00496AC2" w:rsidRPr="00496AC2">
        <w:rPr>
          <w:rFonts w:ascii="Book Antiqua" w:hAnsi="Book Antiqua" w:cs="Arial"/>
        </w:rPr>
        <w:t xml:space="preserve"> [2016] EWCA Civ 442</w:t>
      </w:r>
      <w:r>
        <w:rPr>
          <w:rFonts w:ascii="Book Antiqua" w:hAnsi="Book Antiqua" w:cs="Arial"/>
        </w:rPr>
        <w:t xml:space="preserve">.  </w:t>
      </w:r>
    </w:p>
    <w:p w:rsidR="00496AC2" w:rsidRDefault="00D23E0E"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lastRenderedPageBreak/>
        <w:t xml:space="preserve">The First-tier Judge had regard to the claimant’s country evidence, much of which post-dated </w:t>
      </w:r>
      <w:r>
        <w:rPr>
          <w:rFonts w:ascii="Book Antiqua" w:hAnsi="Book Antiqua" w:cs="Arial"/>
          <w:i/>
        </w:rPr>
        <w:t xml:space="preserve">MOJ and others, </w:t>
      </w:r>
      <w:r>
        <w:rPr>
          <w:rFonts w:ascii="Book Antiqua" w:hAnsi="Book Antiqua" w:cs="Arial"/>
        </w:rPr>
        <w:t xml:space="preserve">and was fully entitled so to do.  </w:t>
      </w:r>
      <w:r w:rsidR="00496AC2">
        <w:rPr>
          <w:rFonts w:ascii="Book Antiqua" w:hAnsi="Book Antiqua" w:cs="Arial"/>
        </w:rPr>
        <w:t xml:space="preserve">I have regard to the discussion of </w:t>
      </w:r>
      <w:r w:rsidR="00496AC2">
        <w:rPr>
          <w:rFonts w:ascii="Book Antiqua" w:hAnsi="Book Antiqua" w:cs="Arial"/>
          <w:i/>
        </w:rPr>
        <w:t xml:space="preserve">MOJ and others </w:t>
      </w:r>
      <w:r w:rsidR="00496AC2">
        <w:rPr>
          <w:rFonts w:ascii="Book Antiqua" w:hAnsi="Book Antiqua" w:cs="Arial"/>
        </w:rPr>
        <w:t xml:space="preserve">in the judgment in </w:t>
      </w:r>
      <w:r w:rsidR="00496AC2">
        <w:rPr>
          <w:rFonts w:ascii="Book Antiqua" w:hAnsi="Book Antiqua" w:cs="Arial"/>
          <w:i/>
        </w:rPr>
        <w:t xml:space="preserve">Said’s </w:t>
      </w:r>
      <w:r w:rsidR="00496AC2">
        <w:rPr>
          <w:rFonts w:ascii="Book Antiqua" w:hAnsi="Book Antiqua" w:cs="Arial"/>
        </w:rPr>
        <w:t xml:space="preserve">case of Lady Justice Arden, with whom Lady Justice Sharp and Lord Justice Christopher Clarke agreed, at [31]: </w:t>
      </w:r>
    </w:p>
    <w:p w:rsidR="00D23E0E" w:rsidRPr="00496AC2" w:rsidRDefault="00496AC2" w:rsidP="00496AC2">
      <w:pPr>
        <w:tabs>
          <w:tab w:val="left" w:pos="567"/>
        </w:tabs>
        <w:spacing w:before="240"/>
        <w:ind w:left="1134"/>
        <w:jc w:val="both"/>
        <w:rPr>
          <w:rFonts w:ascii="Book Antiqua" w:hAnsi="Book Antiqua" w:cs="Arial"/>
        </w:rPr>
      </w:pPr>
      <w:r>
        <w:rPr>
          <w:rFonts w:ascii="Book Antiqua" w:hAnsi="Book Antiqua" w:cs="Arial"/>
        </w:rPr>
        <w:t>“</w:t>
      </w:r>
      <w:r>
        <w:rPr>
          <w:rFonts w:ascii="Book Antiqua" w:hAnsi="Book Antiqua" w:cs="Arial"/>
          <w:sz w:val="22"/>
        </w:rPr>
        <w:t>31.</w:t>
      </w:r>
      <w:r>
        <w:rPr>
          <w:rFonts w:ascii="Book Antiqua" w:hAnsi="Book Antiqua" w:cs="Arial"/>
          <w:sz w:val="22"/>
        </w:rPr>
        <w:tab/>
      </w:r>
      <w:bookmarkStart w:id="1" w:name="para31"/>
      <w:r w:rsidRPr="00496AC2">
        <w:rPr>
          <w:rFonts w:ascii="Book Antiqua" w:hAnsi="Book Antiqua" w:cs="Arial"/>
          <w:sz w:val="22"/>
        </w:rPr>
        <w:t xml:space="preserve">I entirely accept that some of the observations made in the course of the discussion of IDP camps may be taken to suggest that if a returning Somali national can show that he is likely to end up having to establish himself in an IDP camp, that would be sufficient to engage the protection of article 3. Yet such a stark proposition of cause and effect would be inconsistent with the article 3 jurisprudence of the Strasbourg Court and binding authority of the domestic courts. In my judgment the position is accurately stated in para 422. That draws a proper distinction between humanitarian protection and article 3 and recognises that the individual circumstances of the person concerned must be considered. An appeal to article 3 which suggests that the person concerned would face impoverished conditions of living on removal to Somalia should, as the Strasbourg Court indicated in </w:t>
      </w:r>
      <w:r w:rsidRPr="00496AC2">
        <w:rPr>
          <w:rFonts w:ascii="Book Antiqua" w:hAnsi="Book Antiqua" w:cs="Arial"/>
          <w:i/>
          <w:iCs/>
          <w:sz w:val="22"/>
        </w:rPr>
        <w:t xml:space="preserve">Sufi and </w:t>
      </w:r>
      <w:proofErr w:type="spellStart"/>
      <w:r w:rsidRPr="00496AC2">
        <w:rPr>
          <w:rFonts w:ascii="Book Antiqua" w:hAnsi="Book Antiqua" w:cs="Arial"/>
          <w:i/>
          <w:iCs/>
          <w:sz w:val="22"/>
        </w:rPr>
        <w:t>Elmi</w:t>
      </w:r>
      <w:proofErr w:type="spellEnd"/>
      <w:r w:rsidRPr="00496AC2">
        <w:rPr>
          <w:rFonts w:ascii="Book Antiqua" w:hAnsi="Book Antiqua" w:cs="Arial"/>
          <w:i/>
          <w:iCs/>
          <w:sz w:val="22"/>
        </w:rPr>
        <w:t xml:space="preserve"> </w:t>
      </w:r>
      <w:r w:rsidRPr="00496AC2">
        <w:rPr>
          <w:rFonts w:ascii="Book Antiqua" w:hAnsi="Book Antiqua" w:cs="Arial"/>
          <w:sz w:val="22"/>
        </w:rPr>
        <w:t xml:space="preserve">at para 292, be viewed by reference to the test in the </w:t>
      </w:r>
      <w:r w:rsidRPr="00496AC2">
        <w:rPr>
          <w:rFonts w:ascii="Book Antiqua" w:hAnsi="Book Antiqua" w:cs="Arial"/>
          <w:i/>
          <w:iCs/>
          <w:sz w:val="22"/>
        </w:rPr>
        <w:t xml:space="preserve">N case. </w:t>
      </w:r>
      <w:r w:rsidRPr="00496AC2">
        <w:rPr>
          <w:rFonts w:ascii="Book Antiqua" w:hAnsi="Book Antiqua" w:cs="Arial"/>
          <w:sz w:val="22"/>
        </w:rPr>
        <w:t>Impoverished conditions which were the direct result of violent activities may be viewed differently as would cases where the risk suggested is of direct violence itself.</w:t>
      </w:r>
      <w:bookmarkEnd w:id="1"/>
      <w:r>
        <w:rPr>
          <w:rFonts w:ascii="Book Antiqua" w:hAnsi="Book Antiqua" w:cs="Arial"/>
        </w:rPr>
        <w:t>”</w:t>
      </w:r>
    </w:p>
    <w:p w:rsidR="00D23E0E" w:rsidRPr="00496AC2" w:rsidRDefault="00496AC2" w:rsidP="00226E0C">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For the claimant, Mr Allison’s skeleton argument argued that the</w:t>
      </w:r>
      <w:r w:rsidR="00D23E0E" w:rsidRPr="00496AC2">
        <w:rPr>
          <w:rFonts w:ascii="Book Antiqua" w:hAnsi="Book Antiqua" w:cs="Arial"/>
        </w:rPr>
        <w:t xml:space="preserve"> First-tier Judge’s disputed findings were supported by evidence</w:t>
      </w:r>
      <w:r>
        <w:rPr>
          <w:rFonts w:ascii="Book Antiqua" w:hAnsi="Book Antiqua" w:cs="Arial"/>
        </w:rPr>
        <w:t xml:space="preserve"> and should stand</w:t>
      </w:r>
      <w:r w:rsidR="00D23E0E" w:rsidRPr="00496AC2">
        <w:rPr>
          <w:rFonts w:ascii="Book Antiqua" w:hAnsi="Book Antiqua" w:cs="Arial"/>
        </w:rPr>
        <w:t xml:space="preserve">.  </w:t>
      </w:r>
      <w:r>
        <w:rPr>
          <w:rFonts w:ascii="Book Antiqua" w:hAnsi="Book Antiqua" w:cs="Arial"/>
        </w:rPr>
        <w:t>He</w:t>
      </w:r>
      <w:r w:rsidR="004610B3" w:rsidRPr="00496AC2">
        <w:rPr>
          <w:rFonts w:ascii="Book Antiqua" w:hAnsi="Book Antiqua" w:cs="Arial"/>
        </w:rPr>
        <w:t xml:space="preserve"> reminded the Tribunal of </w:t>
      </w:r>
      <w:r>
        <w:rPr>
          <w:rFonts w:ascii="Book Antiqua" w:hAnsi="Book Antiqua" w:cs="Arial"/>
        </w:rPr>
        <w:t>the claimant’s</w:t>
      </w:r>
      <w:r w:rsidR="004610B3" w:rsidRPr="00496AC2">
        <w:rPr>
          <w:rFonts w:ascii="Book Antiqua" w:hAnsi="Book Antiqua" w:cs="Arial"/>
        </w:rPr>
        <w:t xml:space="preserve"> evidence that he did not know his clan origin until he read the Home Office decision and had not had any contact with his family in Somalia while growing up.  </w:t>
      </w:r>
      <w:r w:rsidR="00D23E0E" w:rsidRPr="00496AC2">
        <w:rPr>
          <w:rFonts w:ascii="Book Antiqua" w:hAnsi="Book Antiqua" w:cs="Arial"/>
        </w:rPr>
        <w:t>The Judge had regard to all of the facts before her, including the claimant’s low level of education and the country evidence which post</w:t>
      </w:r>
      <w:r w:rsidR="001C2F0C" w:rsidRPr="00496AC2">
        <w:rPr>
          <w:rFonts w:ascii="Book Antiqua" w:hAnsi="Book Antiqua" w:cs="Arial"/>
        </w:rPr>
        <w:t>-</w:t>
      </w:r>
      <w:r w:rsidR="00D23E0E" w:rsidRPr="00496AC2">
        <w:rPr>
          <w:rFonts w:ascii="Book Antiqua" w:hAnsi="Book Antiqua" w:cs="Arial"/>
        </w:rPr>
        <w:t xml:space="preserve">dated </w:t>
      </w:r>
      <w:r w:rsidR="00D23E0E" w:rsidRPr="00496AC2">
        <w:rPr>
          <w:rFonts w:ascii="Book Antiqua" w:hAnsi="Book Antiqua" w:cs="Arial"/>
          <w:i/>
        </w:rPr>
        <w:t>MOJ and others</w:t>
      </w:r>
      <w:r w:rsidR="00D23E0E" w:rsidRPr="00496AC2">
        <w:rPr>
          <w:rFonts w:ascii="Book Antiqua" w:hAnsi="Book Antiqua" w:cs="Arial"/>
        </w:rPr>
        <w:t>.  The grounds of appeal were really no more than a disagreement with findings which were open to the Judge.</w:t>
      </w:r>
    </w:p>
    <w:p w:rsidR="00D51814" w:rsidRPr="005740DD"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5740DD">
        <w:rPr>
          <w:rFonts w:ascii="Book Antiqua" w:hAnsi="Book Antiqua" w:cs="Arial"/>
        </w:rPr>
        <w:t>That is the basis on which this appeal came before the Upper Tribunal.</w:t>
      </w:r>
    </w:p>
    <w:p w:rsidR="00D51814" w:rsidRPr="005740DD" w:rsidRDefault="00D51814" w:rsidP="00D51814">
      <w:pPr>
        <w:tabs>
          <w:tab w:val="left" w:pos="567"/>
        </w:tabs>
        <w:spacing w:before="240"/>
        <w:jc w:val="both"/>
        <w:rPr>
          <w:rFonts w:ascii="Book Antiqua" w:hAnsi="Book Antiqua" w:cs="Arial"/>
          <w:b/>
        </w:rPr>
      </w:pPr>
      <w:r w:rsidRPr="005740DD">
        <w:rPr>
          <w:rFonts w:ascii="Book Antiqua" w:hAnsi="Book Antiqua" w:cs="Arial"/>
          <w:b/>
        </w:rPr>
        <w:t>Upper Tribunal hearing</w:t>
      </w:r>
    </w:p>
    <w:p w:rsidR="00D51814" w:rsidRDefault="004610B3"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At the Upper Tribunal, Mr Jarvis for the Secretary of State indicated that he was not relying on </w:t>
      </w:r>
      <w:r>
        <w:rPr>
          <w:rFonts w:ascii="Book Antiqua" w:hAnsi="Book Antiqua" w:cs="Arial"/>
          <w:i/>
        </w:rPr>
        <w:t xml:space="preserve">Mosira, </w:t>
      </w:r>
      <w:r>
        <w:rPr>
          <w:rFonts w:ascii="Book Antiqua" w:hAnsi="Book Antiqua" w:cs="Arial"/>
        </w:rPr>
        <w:t>which was not relevant to the circumstances of this appeal.  His father still had refugee status but the risk in Somalia to his father and to the claimant as a member of his father’s family had come to an end. Section 72 certification remained appropriate in this appeal</w:t>
      </w:r>
      <w:r w:rsidR="004A3FE6">
        <w:rPr>
          <w:rFonts w:ascii="Book Antiqua" w:hAnsi="Book Antiqua" w:cs="Arial"/>
        </w:rPr>
        <w:t xml:space="preserve"> and the First-tier Tribunal was required to consider it, whether or not a claimant raised it.  The section 72 test was </w:t>
      </w:r>
      <w:r w:rsidR="004A3FE6">
        <w:rPr>
          <w:rFonts w:ascii="Book Antiqua" w:hAnsi="Book Antiqua" w:cs="Arial"/>
          <w:i/>
        </w:rPr>
        <w:t xml:space="preserve">Robinson </w:t>
      </w:r>
      <w:r w:rsidR="004A3FE6">
        <w:rPr>
          <w:rFonts w:ascii="Book Antiqua" w:hAnsi="Book Antiqua" w:cs="Arial"/>
        </w:rPr>
        <w:t>obvious.</w:t>
      </w:r>
    </w:p>
    <w:p w:rsidR="004610B3" w:rsidRDefault="004610B3"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Mr Allison argued that the Upper Tribunal was bound by </w:t>
      </w:r>
      <w:r>
        <w:rPr>
          <w:rFonts w:ascii="Book Antiqua" w:hAnsi="Book Antiqua" w:cs="Arial"/>
          <w:i/>
        </w:rPr>
        <w:t>Mosira</w:t>
      </w:r>
      <w:r>
        <w:rPr>
          <w:rFonts w:ascii="Book Antiqua" w:hAnsi="Book Antiqua" w:cs="Arial"/>
        </w:rPr>
        <w:t xml:space="preserve">: the ‘circumstances’ in which the appellant had been granted refugee status were that he was a member of his father’s family, and that his father was a refugee.  Section 72 was not raised </w:t>
      </w:r>
      <w:r w:rsidR="007E7610">
        <w:rPr>
          <w:rFonts w:ascii="Book Antiqua" w:hAnsi="Book Antiqua" w:cs="Arial"/>
        </w:rPr>
        <w:t>in the</w:t>
      </w:r>
      <w:r>
        <w:rPr>
          <w:rFonts w:ascii="Book Antiqua" w:hAnsi="Book Antiqua" w:cs="Arial"/>
        </w:rPr>
        <w:t xml:space="preserve"> grounds of appeal and the claimant had not been cross-examined on that question</w:t>
      </w:r>
      <w:r w:rsidR="007E7610">
        <w:rPr>
          <w:rFonts w:ascii="Book Antiqua" w:hAnsi="Book Antiqua" w:cs="Arial"/>
        </w:rPr>
        <w:t xml:space="preserve">, nor was it signalled in the skeleton argument served the day before the Upper Tribunal hearing by the Secretary of State.  The claimant would rely on </w:t>
      </w:r>
      <w:r w:rsidR="007E7610">
        <w:rPr>
          <w:rFonts w:ascii="Book Antiqua" w:hAnsi="Book Antiqua" w:cs="Arial"/>
          <w:i/>
        </w:rPr>
        <w:t>VV</w:t>
      </w:r>
      <w:r w:rsidR="007E7610" w:rsidRPr="007E7610">
        <w:rPr>
          <w:sz w:val="20"/>
          <w:szCs w:val="20"/>
        </w:rPr>
        <w:t xml:space="preserve"> </w:t>
      </w:r>
      <w:r w:rsidR="007E7610" w:rsidRPr="007E7610">
        <w:rPr>
          <w:rFonts w:ascii="Book Antiqua" w:hAnsi="Book Antiqua" w:cs="Arial"/>
        </w:rPr>
        <w:t>(grounds of appeal) [2016] UKUT 53 (IAC)</w:t>
      </w:r>
      <w:r w:rsidR="007E7610">
        <w:rPr>
          <w:rFonts w:ascii="Book Antiqua" w:hAnsi="Book Antiqua" w:cs="Arial"/>
        </w:rPr>
        <w:t xml:space="preserve"> and argue that it was inappropriate to raise section 72 issues now.</w:t>
      </w:r>
    </w:p>
    <w:p w:rsidR="007E7610" w:rsidRDefault="007E7610"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Even if section 72 were relevant, and the Tribunal found a material error of law, the judgment of the First-tier Tribunal did not deal with Article 32 of the Refugee </w:t>
      </w:r>
      <w:r>
        <w:rPr>
          <w:rFonts w:ascii="Book Antiqua" w:hAnsi="Book Antiqua" w:cs="Arial"/>
        </w:rPr>
        <w:lastRenderedPageBreak/>
        <w:t xml:space="preserve">Convention, nor with </w:t>
      </w:r>
      <w:r w:rsidRPr="007E7610">
        <w:rPr>
          <w:rFonts w:ascii="Book Antiqua" w:hAnsi="Book Antiqua" w:cs="Arial"/>
          <w:i/>
        </w:rPr>
        <w:t>MOJ and others</w:t>
      </w:r>
      <w:r>
        <w:rPr>
          <w:rFonts w:ascii="Book Antiqua" w:hAnsi="Book Antiqua" w:cs="Arial"/>
        </w:rPr>
        <w:t xml:space="preserve">.  The Judge could not be </w:t>
      </w:r>
      <w:r w:rsidR="003139B4">
        <w:rPr>
          <w:rFonts w:ascii="Book Antiqua" w:hAnsi="Book Antiqua" w:cs="Arial"/>
        </w:rPr>
        <w:t>criticised</w:t>
      </w:r>
      <w:r>
        <w:rPr>
          <w:rFonts w:ascii="Book Antiqua" w:hAnsi="Book Antiqua" w:cs="Arial"/>
        </w:rPr>
        <w:t xml:space="preserve"> for not taking into account</w:t>
      </w:r>
      <w:r w:rsidR="003139B4">
        <w:rPr>
          <w:rFonts w:ascii="Book Antiqua" w:hAnsi="Book Antiqua" w:cs="Arial"/>
        </w:rPr>
        <w:t xml:space="preserve"> the Court of Appeal judgment in</w:t>
      </w:r>
      <w:r w:rsidRPr="007E7610">
        <w:rPr>
          <w:rFonts w:ascii="Book Antiqua" w:hAnsi="Book Antiqua" w:cs="Arial"/>
          <w:i/>
        </w:rPr>
        <w:t xml:space="preserve"> Secretary of State for the Home Department v MA (Somalia) </w:t>
      </w:r>
      <w:r w:rsidRPr="007E7610">
        <w:rPr>
          <w:rFonts w:ascii="Book Antiqua" w:hAnsi="Book Antiqua" w:cs="Arial"/>
        </w:rPr>
        <w:t xml:space="preserve">[2018] EWCA Civ 994 </w:t>
      </w:r>
      <w:r>
        <w:rPr>
          <w:rFonts w:ascii="Book Antiqua" w:hAnsi="Book Antiqua" w:cs="Arial"/>
        </w:rPr>
        <w:t xml:space="preserve">which was promulgated on </w:t>
      </w:r>
      <w:r w:rsidRPr="007E7610">
        <w:rPr>
          <w:rFonts w:ascii="Book Antiqua" w:hAnsi="Book Antiqua" w:cs="Arial"/>
        </w:rPr>
        <w:t>2 May 2018</w:t>
      </w:r>
      <w:r>
        <w:rPr>
          <w:rFonts w:ascii="Book Antiqua" w:hAnsi="Book Antiqua" w:cs="Arial"/>
        </w:rPr>
        <w:t>, after the First-tier Tribunal hearing.</w:t>
      </w:r>
    </w:p>
    <w:p w:rsidR="003139B4" w:rsidRPr="00496AC2" w:rsidRDefault="003139B4" w:rsidP="00226E0C">
      <w:pPr>
        <w:numPr>
          <w:ilvl w:val="0"/>
          <w:numId w:val="1"/>
        </w:numPr>
        <w:tabs>
          <w:tab w:val="clear" w:pos="720"/>
          <w:tab w:val="num" w:pos="360"/>
          <w:tab w:val="left" w:pos="567"/>
        </w:tabs>
        <w:spacing w:before="240"/>
        <w:ind w:left="360"/>
        <w:jc w:val="both"/>
        <w:rPr>
          <w:rFonts w:ascii="Book Antiqua" w:hAnsi="Book Antiqua" w:cs="Arial"/>
        </w:rPr>
      </w:pPr>
      <w:r w:rsidRPr="00496AC2">
        <w:rPr>
          <w:rFonts w:ascii="Book Antiqua" w:hAnsi="Book Antiqua" w:cs="Arial"/>
        </w:rPr>
        <w:t xml:space="preserve">The decision in </w:t>
      </w:r>
      <w:r w:rsidRPr="00496AC2">
        <w:rPr>
          <w:rFonts w:ascii="Book Antiqua" w:hAnsi="Book Antiqua" w:cs="Arial"/>
          <w:i/>
        </w:rPr>
        <w:t xml:space="preserve">FY (Somalia) </w:t>
      </w:r>
      <w:r w:rsidRPr="00496AC2">
        <w:rPr>
          <w:rFonts w:ascii="Book Antiqua" w:hAnsi="Book Antiqua" w:cs="Arial"/>
        </w:rPr>
        <w:t xml:space="preserve">had been relied upon before the First-tier Tribunal.  There was a real possibility that the claimant might have to live in conditions which violated Article 3 ECHR, in an IDP camp.   </w:t>
      </w:r>
      <w:r w:rsidR="00496AC2" w:rsidRPr="00496AC2">
        <w:rPr>
          <w:rFonts w:ascii="Book Antiqua" w:hAnsi="Book Antiqua" w:cs="Arial"/>
        </w:rPr>
        <w:t>Mr Allison contended that the</w:t>
      </w:r>
      <w:r w:rsidRPr="00496AC2">
        <w:rPr>
          <w:rFonts w:ascii="Book Antiqua" w:hAnsi="Book Antiqua" w:cs="Arial"/>
        </w:rPr>
        <w:t xml:space="preserve"> </w:t>
      </w:r>
      <w:r w:rsidRPr="00496AC2">
        <w:rPr>
          <w:rFonts w:ascii="Book Antiqua" w:hAnsi="Book Antiqua" w:cs="Arial"/>
          <w:i/>
        </w:rPr>
        <w:t xml:space="preserve">Said/FY </w:t>
      </w:r>
      <w:r w:rsidRPr="00496AC2">
        <w:rPr>
          <w:rFonts w:ascii="Book Antiqua" w:hAnsi="Book Antiqua" w:cs="Arial"/>
        </w:rPr>
        <w:t xml:space="preserve">issue was a discrete issue on which the Secretary of State had not relied before the First-tier Tribunal and she should not be permitted to introduce it on appeal.  There had been no submission that the decision of the Court of Appeal in </w:t>
      </w:r>
      <w:r w:rsidRPr="00496AC2">
        <w:rPr>
          <w:rFonts w:ascii="Book Antiqua" w:hAnsi="Book Antiqua" w:cs="Arial"/>
          <w:i/>
        </w:rPr>
        <w:t xml:space="preserve">Said </w:t>
      </w:r>
      <w:r w:rsidRPr="00496AC2">
        <w:rPr>
          <w:rFonts w:ascii="Book Antiqua" w:hAnsi="Book Antiqua" w:cs="Arial"/>
        </w:rPr>
        <w:t xml:space="preserve">rendered [12] in the </w:t>
      </w:r>
      <w:r w:rsidRPr="00496AC2">
        <w:rPr>
          <w:rFonts w:ascii="Book Antiqua" w:hAnsi="Book Antiqua" w:cs="Arial"/>
          <w:i/>
        </w:rPr>
        <w:t>MOJ and others</w:t>
      </w:r>
      <w:r w:rsidRPr="00496AC2">
        <w:rPr>
          <w:rFonts w:ascii="Book Antiqua" w:hAnsi="Book Antiqua" w:cs="Arial"/>
        </w:rPr>
        <w:t xml:space="preserve"> guidance incorrect. </w:t>
      </w:r>
    </w:p>
    <w:p w:rsidR="00AB62C8" w:rsidRDefault="003139B4"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decision was made on Article 3 grounds, not Article 8, so the Rules regarding the applicability of Article 8 ECHR were not relevant or material. </w:t>
      </w:r>
      <w:r w:rsidR="00AB62C8">
        <w:rPr>
          <w:rFonts w:ascii="Book Antiqua" w:hAnsi="Book Antiqua" w:cs="Arial"/>
        </w:rPr>
        <w:t xml:space="preserve">The Secretary of State had not challenged the Article 8 findings of the First-tier Judge. The Judge had considered whether there were very significant obstacles; the Article 8 case was not made out.  </w:t>
      </w:r>
    </w:p>
    <w:p w:rsidR="00AB62C8" w:rsidRDefault="00AB62C8"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Mr Allison invited me to limit the scope of the appeal to Article 3 only and to conclude that the Secretary of State’s criticisms of the Article 3 findings were not made out. </w:t>
      </w:r>
      <w:r>
        <w:rPr>
          <w:rFonts w:ascii="Book Antiqua" w:hAnsi="Book Antiqua" w:cs="Arial"/>
          <w:i/>
        </w:rPr>
        <w:t xml:space="preserve">MA (Somalia) </w:t>
      </w:r>
      <w:r>
        <w:rPr>
          <w:rFonts w:ascii="Book Antiqua" w:hAnsi="Book Antiqua" w:cs="Arial"/>
        </w:rPr>
        <w:t xml:space="preserve">was authority for the proposition that socio-economic issues could be a basis for protection. </w:t>
      </w:r>
    </w:p>
    <w:p w:rsidR="00AB62C8" w:rsidRDefault="004A3FE6"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Mr Allison reminded the Tribunal that the</w:t>
      </w:r>
      <w:r w:rsidR="00AB62C8">
        <w:rPr>
          <w:rFonts w:ascii="Book Antiqua" w:hAnsi="Book Antiqua" w:cs="Arial"/>
        </w:rPr>
        <w:t xml:space="preserve"> First-tier Judge had accepted that experience of working in a warehouse was insufficient to enable </w:t>
      </w:r>
      <w:r>
        <w:rPr>
          <w:rFonts w:ascii="Book Antiqua" w:hAnsi="Book Antiqua" w:cs="Arial"/>
        </w:rPr>
        <w:t>the claimant</w:t>
      </w:r>
      <w:r w:rsidR="00AB62C8">
        <w:rPr>
          <w:rFonts w:ascii="Book Antiqua" w:hAnsi="Book Antiqua" w:cs="Arial"/>
        </w:rPr>
        <w:t xml:space="preserve"> to get a job in Mogadishu, when the locals wanted jobs as well.  The First-tier Judge’s reasoning could have been fuller but there was no error of </w:t>
      </w:r>
      <w:r>
        <w:rPr>
          <w:rFonts w:ascii="Book Antiqua" w:hAnsi="Book Antiqua" w:cs="Arial"/>
        </w:rPr>
        <w:t xml:space="preserve">fact or </w:t>
      </w:r>
      <w:r w:rsidR="00AB62C8">
        <w:rPr>
          <w:rFonts w:ascii="Book Antiqua" w:hAnsi="Book Antiqua" w:cs="Arial"/>
        </w:rPr>
        <w:t xml:space="preserve">law in relation to the Article 3 finding.  </w:t>
      </w:r>
    </w:p>
    <w:p w:rsidR="003139B4" w:rsidRPr="007E7610" w:rsidRDefault="00AB62C8"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An Article 3 ECHR ‘near </w:t>
      </w:r>
      <w:proofErr w:type="spellStart"/>
      <w:r>
        <w:rPr>
          <w:rFonts w:ascii="Book Antiqua" w:hAnsi="Book Antiqua" w:cs="Arial"/>
        </w:rPr>
        <w:t>miss’</w:t>
      </w:r>
      <w:proofErr w:type="spellEnd"/>
      <w:r>
        <w:rPr>
          <w:rFonts w:ascii="Book Antiqua" w:hAnsi="Book Antiqua" w:cs="Arial"/>
        </w:rPr>
        <w:t xml:space="preserve"> on the facts of this application would still be capable of amounting to ‘compelling circumstances’ in the section 117C sense.  </w:t>
      </w:r>
    </w:p>
    <w:p w:rsidR="00D51814" w:rsidRPr="005740DD" w:rsidRDefault="00D51814" w:rsidP="00D51814">
      <w:pPr>
        <w:tabs>
          <w:tab w:val="left" w:pos="567"/>
        </w:tabs>
        <w:spacing w:before="240"/>
        <w:jc w:val="both"/>
        <w:rPr>
          <w:rFonts w:ascii="Book Antiqua" w:hAnsi="Book Antiqua" w:cs="Arial"/>
          <w:b/>
        </w:rPr>
      </w:pPr>
      <w:r w:rsidRPr="005740DD">
        <w:rPr>
          <w:rFonts w:ascii="Book Antiqua" w:hAnsi="Book Antiqua" w:cs="Arial"/>
          <w:b/>
        </w:rPr>
        <w:t xml:space="preserve">Discussion </w:t>
      </w:r>
    </w:p>
    <w:p w:rsidR="00130B79" w:rsidRDefault="001011CA"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grant of permission is based on </w:t>
      </w:r>
      <w:r w:rsidR="004A3FE6">
        <w:rPr>
          <w:rFonts w:ascii="Book Antiqua" w:hAnsi="Book Antiqua" w:cs="Arial"/>
        </w:rPr>
        <w:t>an</w:t>
      </w:r>
      <w:r w:rsidR="00130B79">
        <w:rPr>
          <w:rFonts w:ascii="Book Antiqua" w:hAnsi="Book Antiqua" w:cs="Arial"/>
        </w:rPr>
        <w:t xml:space="preserve"> arguable misapplication of the Upper Tribunal’s guidance in</w:t>
      </w:r>
      <w:r>
        <w:rPr>
          <w:rFonts w:ascii="Book Antiqua" w:hAnsi="Book Antiqua" w:cs="Arial"/>
        </w:rPr>
        <w:t xml:space="preserve"> </w:t>
      </w:r>
      <w:r>
        <w:rPr>
          <w:rFonts w:ascii="Book Antiqua" w:hAnsi="Book Antiqua" w:cs="Arial"/>
          <w:i/>
        </w:rPr>
        <w:t>MOJ and others</w:t>
      </w:r>
      <w:r w:rsidR="00130B79">
        <w:rPr>
          <w:rFonts w:ascii="Book Antiqua" w:hAnsi="Book Antiqua" w:cs="Arial"/>
        </w:rPr>
        <w:t>.  The relevant parts of the guidance are as follows:</w:t>
      </w:r>
    </w:p>
    <w:p w:rsidR="00130B79" w:rsidRPr="00130B79" w:rsidRDefault="00130B79" w:rsidP="00130B79">
      <w:pPr>
        <w:tabs>
          <w:tab w:val="left" w:pos="567"/>
        </w:tabs>
        <w:spacing w:before="240"/>
        <w:ind w:left="1134"/>
        <w:jc w:val="both"/>
        <w:rPr>
          <w:rFonts w:ascii="Book Antiqua" w:hAnsi="Book Antiqua" w:cs="Arial"/>
          <w:sz w:val="22"/>
        </w:rPr>
      </w:pPr>
      <w:r>
        <w:rPr>
          <w:rFonts w:ascii="Book Antiqua" w:hAnsi="Book Antiqua" w:cs="Arial"/>
        </w:rPr>
        <w:t>“</w:t>
      </w:r>
      <w:r w:rsidRPr="00130B79">
        <w:rPr>
          <w:rFonts w:ascii="Book Antiqua" w:hAnsi="Book Antiqua" w:cs="Arial"/>
          <w:i/>
          <w:iCs/>
          <w:sz w:val="22"/>
        </w:rPr>
        <w:t>(vii)           A person returning to Mogadishu after a period of absence will look to his nuclear family, if he has one living in the city, for assistance in re-establishing himself and securing a livelihood. Although a returnee may also seek assistance from his clan members who are not close relatives, such help is only likely to be forthcoming for majority clan members, as minority clans may have little to offer.</w:t>
      </w:r>
    </w:p>
    <w:p w:rsidR="00130B79" w:rsidRPr="00130B79" w:rsidRDefault="00130B79" w:rsidP="00130B79">
      <w:pPr>
        <w:tabs>
          <w:tab w:val="left" w:pos="567"/>
        </w:tabs>
        <w:spacing w:before="240"/>
        <w:ind w:left="1134"/>
        <w:jc w:val="both"/>
        <w:rPr>
          <w:rFonts w:ascii="Book Antiqua" w:hAnsi="Book Antiqua" w:cs="Arial"/>
          <w:sz w:val="22"/>
        </w:rPr>
      </w:pPr>
      <w:r w:rsidRPr="00130B79">
        <w:rPr>
          <w:rFonts w:ascii="Book Antiqua" w:hAnsi="Book Antiqua" w:cs="Arial"/>
          <w:i/>
          <w:iCs/>
          <w:sz w:val="22"/>
        </w:rPr>
        <w:t>(viii)         The significance of clan membership in Mogadishu has changed. Clans now provide, potentially, social support mechanisms and assist with access to livelihoods, performing less of a protection function than previously. There are no clan militias in Mogadishu, no clan violence, and no clan based discriminatory treatment, even for minority clan members.</w:t>
      </w:r>
    </w:p>
    <w:p w:rsidR="00130B79" w:rsidRPr="00130B79" w:rsidRDefault="00130B79" w:rsidP="00130B79">
      <w:pPr>
        <w:tabs>
          <w:tab w:val="left" w:pos="567"/>
        </w:tabs>
        <w:spacing w:before="240"/>
        <w:ind w:left="1134"/>
        <w:jc w:val="both"/>
        <w:rPr>
          <w:rFonts w:ascii="Book Antiqua" w:hAnsi="Book Antiqua" w:cs="Arial"/>
          <w:sz w:val="22"/>
        </w:rPr>
      </w:pPr>
      <w:r w:rsidRPr="00130B79">
        <w:rPr>
          <w:rFonts w:ascii="Book Antiqua" w:hAnsi="Book Antiqua" w:cs="Arial"/>
          <w:i/>
          <w:iCs/>
          <w:sz w:val="22"/>
        </w:rPr>
        <w:t xml:space="preserve">(ix)              If it is accepted that a person facing a return to Mogadishu after a period of absence has no nuclear family or close relatives in the city to assist him in re-establishing himself on </w:t>
      </w:r>
      <w:r w:rsidRPr="00130B79">
        <w:rPr>
          <w:rFonts w:ascii="Book Antiqua" w:hAnsi="Book Antiqua" w:cs="Arial"/>
          <w:i/>
          <w:iCs/>
          <w:sz w:val="22"/>
        </w:rPr>
        <w:lastRenderedPageBreak/>
        <w:t xml:space="preserve">return, there will need to be a careful assessment of all of the circumstances. These considerations will include, but are not limited to: </w:t>
      </w:r>
    </w:p>
    <w:p w:rsidR="00130B79" w:rsidRPr="00130B79" w:rsidRDefault="00130B79" w:rsidP="00130B79">
      <w:pPr>
        <w:tabs>
          <w:tab w:val="left" w:pos="567"/>
        </w:tabs>
        <w:spacing w:before="240"/>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circumstances in Mogadishu before departure;</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length of absence from Mogadishu;</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 xml:space="preserve">family or clan associations to call upon in Mogadishu; </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access to financial resources;</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 xml:space="preserve">prospects of securing a livelihood, whether that be employment or </w:t>
      </w:r>
      <w:proofErr w:type="spellStart"/>
      <w:r w:rsidRPr="00130B79">
        <w:rPr>
          <w:rFonts w:ascii="Book Antiqua" w:hAnsi="Book Antiqua" w:cs="Arial"/>
          <w:i/>
          <w:iCs/>
          <w:sz w:val="22"/>
        </w:rPr>
        <w:t>self employment</w:t>
      </w:r>
      <w:proofErr w:type="spellEnd"/>
      <w:r w:rsidRPr="00130B79">
        <w:rPr>
          <w:rFonts w:ascii="Book Antiqua" w:hAnsi="Book Antiqua" w:cs="Arial"/>
          <w:i/>
          <w:iCs/>
          <w:sz w:val="22"/>
        </w:rPr>
        <w:t>;</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availability of remittances from abroad;</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means of support during the time spent in the United Kingdom;</w:t>
      </w:r>
    </w:p>
    <w:p w:rsidR="00130B79" w:rsidRPr="00130B79" w:rsidRDefault="00130B79" w:rsidP="00130B79">
      <w:pPr>
        <w:tabs>
          <w:tab w:val="left" w:pos="567"/>
        </w:tabs>
        <w:ind w:left="1134"/>
        <w:jc w:val="both"/>
        <w:rPr>
          <w:rFonts w:ascii="Book Antiqua" w:hAnsi="Book Antiqua" w:cs="Arial"/>
          <w:sz w:val="22"/>
        </w:rPr>
      </w:pPr>
      <w:r w:rsidRPr="00130B79">
        <w:rPr>
          <w:rFonts w:ascii="Book Antiqua" w:hAnsi="Book Antiqua" w:cs="Arial"/>
          <w:sz w:val="22"/>
        </w:rPr>
        <w:t xml:space="preserve">·       </w:t>
      </w:r>
      <w:r w:rsidRPr="00130B79">
        <w:rPr>
          <w:rFonts w:ascii="Book Antiqua" w:hAnsi="Book Antiqua" w:cs="Arial"/>
          <w:i/>
          <w:iCs/>
          <w:sz w:val="22"/>
        </w:rPr>
        <w:t>why his ability to fund the journey to the West no longer enables an appellant to secure financial support on return.</w:t>
      </w:r>
    </w:p>
    <w:p w:rsidR="00130B79" w:rsidRPr="00130B79" w:rsidRDefault="00130B79" w:rsidP="00130B79">
      <w:pPr>
        <w:tabs>
          <w:tab w:val="left" w:pos="567"/>
        </w:tabs>
        <w:spacing w:before="240"/>
        <w:ind w:left="1134"/>
        <w:jc w:val="both"/>
        <w:rPr>
          <w:rFonts w:ascii="Book Antiqua" w:hAnsi="Book Antiqua" w:cs="Arial"/>
          <w:sz w:val="22"/>
        </w:rPr>
      </w:pPr>
      <w:r w:rsidRPr="00130B79">
        <w:rPr>
          <w:rFonts w:ascii="Book Antiqua" w:hAnsi="Book Antiqua" w:cs="Arial"/>
          <w:i/>
          <w:iCs/>
          <w:sz w:val="22"/>
        </w:rPr>
        <w:t>(x)               Put another way, it will be for the person facing return to explain why he would not be able to access the economic opportunities that have been produced by the economic boom, especially as there is evidence to the effect that returnees are taking jobs at the expense of those who have never been away.</w:t>
      </w:r>
    </w:p>
    <w:p w:rsidR="00130B79" w:rsidRDefault="00130B79" w:rsidP="00130B79">
      <w:pPr>
        <w:tabs>
          <w:tab w:val="left" w:pos="567"/>
        </w:tabs>
        <w:spacing w:before="240"/>
        <w:ind w:left="1134"/>
        <w:jc w:val="both"/>
        <w:rPr>
          <w:rFonts w:ascii="Book Antiqua" w:hAnsi="Book Antiqua" w:cs="Arial"/>
        </w:rPr>
      </w:pPr>
      <w:r w:rsidRPr="00130B79">
        <w:rPr>
          <w:rFonts w:ascii="Book Antiqua" w:hAnsi="Book Antiqua" w:cs="Arial"/>
          <w:i/>
          <w:iCs/>
          <w:sz w:val="22"/>
        </w:rPr>
        <w:t>(xi)             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r w:rsidRPr="00130B79">
        <w:rPr>
          <w:rFonts w:ascii="Book Antiqua" w:hAnsi="Book Antiqua" w:cs="Arial"/>
          <w:i/>
          <w:iCs/>
        </w:rPr>
        <w:t>.</w:t>
      </w:r>
      <w:r>
        <w:rPr>
          <w:rFonts w:ascii="Book Antiqua" w:hAnsi="Book Antiqua" w:cs="Arial"/>
        </w:rPr>
        <w:t>”</w:t>
      </w:r>
    </w:p>
    <w:p w:rsidR="00130B79" w:rsidRDefault="004A3FE6"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I remind myself of the strong public interest in deportation.  However, i</w:t>
      </w:r>
      <w:r w:rsidR="00130B79">
        <w:rPr>
          <w:rFonts w:ascii="Book Antiqua" w:hAnsi="Book Antiqua" w:cs="Arial"/>
        </w:rPr>
        <w:t xml:space="preserve">n this case, the </w:t>
      </w:r>
      <w:r>
        <w:rPr>
          <w:rFonts w:ascii="Book Antiqua" w:hAnsi="Book Antiqua" w:cs="Arial"/>
        </w:rPr>
        <w:t xml:space="preserve">unchallenged factual matrix is that this </w:t>
      </w:r>
      <w:r w:rsidR="00130B79">
        <w:rPr>
          <w:rFonts w:ascii="Book Antiqua" w:hAnsi="Book Antiqua" w:cs="Arial"/>
        </w:rPr>
        <w:t xml:space="preserve">claimant’s nuclear family has scattered.  His mother is somewhere in Somalia.  His father is said to be in South Africa.  His brothers and sisters are in the United Kingdom and few of them want anything to do with him.  He is a majority clan member, but on his account, has no clan knowledge and did not know he was a member until these proceedings began.  He has lived in the United Kingdom, lawfully, for 25 of his 30 years.  </w:t>
      </w:r>
    </w:p>
    <w:p w:rsidR="001C2F0C" w:rsidRDefault="00130B79"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The Judge found as a fact that it was unlikely that the Isaaq clan would support him on return ‘given his lengthy absence from Mogadishu and his lack of any family ties’.  The grounds of appeal do not challenge that finding of fact, which was open to the Judge on the evidence before her.  Nor do the renewal grounds challenge the finding that ‘his access to financial resources from family appear[s] to be extremely limited as is the availability of remittances from abroad’.</w:t>
      </w:r>
    </w:p>
    <w:p w:rsidR="00D51814" w:rsidRDefault="001C2F0C"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On the basis of those findings of fact, the Judge’s assessment that the </w:t>
      </w:r>
      <w:r>
        <w:rPr>
          <w:rFonts w:ascii="Book Antiqua" w:hAnsi="Book Antiqua" w:cs="Arial"/>
          <w:i/>
        </w:rPr>
        <w:t xml:space="preserve">MOJ and others </w:t>
      </w:r>
      <w:r>
        <w:rPr>
          <w:rFonts w:ascii="Book Antiqua" w:hAnsi="Book Antiqua" w:cs="Arial"/>
        </w:rPr>
        <w:t xml:space="preserve">test </w:t>
      </w:r>
      <w:r w:rsidR="004A3FE6">
        <w:rPr>
          <w:rFonts w:ascii="Book Antiqua" w:hAnsi="Book Antiqua" w:cs="Arial"/>
        </w:rPr>
        <w:t>fell</w:t>
      </w:r>
      <w:r>
        <w:rPr>
          <w:rFonts w:ascii="Book Antiqua" w:hAnsi="Book Antiqua" w:cs="Arial"/>
        </w:rPr>
        <w:t xml:space="preserve"> in the claimant’s favour was open to her</w:t>
      </w:r>
      <w:r w:rsidR="004A3FE6">
        <w:rPr>
          <w:rFonts w:ascii="Book Antiqua" w:hAnsi="Book Antiqua" w:cs="Arial"/>
        </w:rPr>
        <w:t xml:space="preserve">, as it was to the First-tier Judge in </w:t>
      </w:r>
      <w:r w:rsidR="004A3FE6">
        <w:rPr>
          <w:rFonts w:ascii="Book Antiqua" w:hAnsi="Book Antiqua" w:cs="Arial"/>
          <w:i/>
        </w:rPr>
        <w:t xml:space="preserve">FY, </w:t>
      </w:r>
      <w:r w:rsidR="004A3FE6">
        <w:rPr>
          <w:rFonts w:ascii="Book Antiqua" w:hAnsi="Book Antiqua" w:cs="Arial"/>
        </w:rPr>
        <w:t>where the facts were very similar</w:t>
      </w:r>
      <w:r>
        <w:rPr>
          <w:rFonts w:ascii="Book Antiqua" w:hAnsi="Book Antiqua" w:cs="Arial"/>
        </w:rPr>
        <w:t>.</w:t>
      </w:r>
      <w:r w:rsidR="001011CA">
        <w:rPr>
          <w:rFonts w:ascii="Book Antiqua" w:hAnsi="Book Antiqua" w:cs="Arial"/>
        </w:rPr>
        <w:t xml:space="preserve"> </w:t>
      </w:r>
    </w:p>
    <w:p w:rsidR="001C2F0C" w:rsidRDefault="001C2F0C"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t xml:space="preserve">The next question is whether </w:t>
      </w:r>
      <w:r>
        <w:rPr>
          <w:rFonts w:ascii="Book Antiqua" w:hAnsi="Book Antiqua" w:cs="Arial"/>
          <w:i/>
        </w:rPr>
        <w:t xml:space="preserve">Mosira </w:t>
      </w:r>
      <w:r>
        <w:rPr>
          <w:rFonts w:ascii="Book Antiqua" w:hAnsi="Book Antiqua" w:cs="Arial"/>
        </w:rPr>
        <w:t xml:space="preserve">affects the outcome of this appeal such that there is a </w:t>
      </w:r>
      <w:r>
        <w:rPr>
          <w:rFonts w:ascii="Book Antiqua" w:hAnsi="Book Antiqua" w:cs="Arial"/>
          <w:i/>
        </w:rPr>
        <w:t xml:space="preserve">Robinson </w:t>
      </w:r>
      <w:r>
        <w:rPr>
          <w:rFonts w:ascii="Book Antiqua" w:hAnsi="Book Antiqua" w:cs="Arial"/>
        </w:rPr>
        <w:t xml:space="preserve">obvious error of law. </w:t>
      </w:r>
      <w:r>
        <w:rPr>
          <w:rFonts w:ascii="Book Antiqua" w:hAnsi="Book Antiqua" w:cs="Arial"/>
          <w:i/>
        </w:rPr>
        <w:t xml:space="preserve">Mosira </w:t>
      </w:r>
      <w:r>
        <w:rPr>
          <w:rFonts w:ascii="Book Antiqua" w:hAnsi="Book Antiqua" w:cs="Arial"/>
        </w:rPr>
        <w:t xml:space="preserve">concerned whether a child granted leave in line with a refugee parent themselves has refugee status derived under paragraph 334 of the Rules, such that cessation can be applied to her, where the status of the refugee parent is unaffected, even where there is no risk on return to the dependant in the country of origin.  </w:t>
      </w:r>
    </w:p>
    <w:p w:rsidR="001C2F0C" w:rsidRDefault="001C2F0C" w:rsidP="00E147B4">
      <w:pPr>
        <w:numPr>
          <w:ilvl w:val="0"/>
          <w:numId w:val="1"/>
        </w:numPr>
        <w:tabs>
          <w:tab w:val="clear" w:pos="720"/>
          <w:tab w:val="num" w:pos="360"/>
          <w:tab w:val="left" w:pos="567"/>
        </w:tabs>
        <w:spacing w:before="240"/>
        <w:ind w:left="360"/>
        <w:jc w:val="both"/>
        <w:rPr>
          <w:rFonts w:ascii="Book Antiqua" w:hAnsi="Book Antiqua" w:cs="Arial"/>
        </w:rPr>
      </w:pPr>
      <w:r>
        <w:rPr>
          <w:rFonts w:ascii="Book Antiqua" w:hAnsi="Book Antiqua" w:cs="Arial"/>
        </w:rPr>
        <w:lastRenderedPageBreak/>
        <w:t xml:space="preserve">As in </w:t>
      </w:r>
      <w:r>
        <w:rPr>
          <w:rFonts w:ascii="Book Antiqua" w:hAnsi="Book Antiqua" w:cs="Arial"/>
          <w:i/>
        </w:rPr>
        <w:t xml:space="preserve">Mosira </w:t>
      </w:r>
      <w:r>
        <w:rPr>
          <w:rFonts w:ascii="Book Antiqua" w:hAnsi="Book Antiqua" w:cs="Arial"/>
        </w:rPr>
        <w:t xml:space="preserve">itself, this point was raised at the eleventh hour and is not presaged in the First-tier Tribunal decision or the Secretary of State’s arguments therein.  Nor is it in the grounds of appeal.  It is inappropriate to allow it to be raised at this late stage, still less to determine the application.  Even if the </w:t>
      </w:r>
      <w:r>
        <w:rPr>
          <w:rFonts w:ascii="Book Antiqua" w:hAnsi="Book Antiqua" w:cs="Arial"/>
          <w:i/>
        </w:rPr>
        <w:t xml:space="preserve">Mosira </w:t>
      </w:r>
      <w:r>
        <w:rPr>
          <w:rFonts w:ascii="Book Antiqua" w:hAnsi="Book Antiqua" w:cs="Arial"/>
        </w:rPr>
        <w:t xml:space="preserve">point had been raised, I doubt whether it would have availed the Secretary of State in this appeal: the claimant is no longer a child, but there are unchallenged findings in the decision that he will be at risk at least of an Article 3 ECHR breach on return. </w:t>
      </w:r>
    </w:p>
    <w:p w:rsidR="00306236" w:rsidRPr="005740DD" w:rsidRDefault="00306236" w:rsidP="00BF23BB">
      <w:pPr>
        <w:tabs>
          <w:tab w:val="left" w:pos="567"/>
        </w:tabs>
        <w:ind w:left="567" w:hanging="567"/>
        <w:jc w:val="both"/>
        <w:rPr>
          <w:rFonts w:ascii="Book Antiqua" w:hAnsi="Book Antiqua" w:cs="Arial"/>
        </w:rPr>
      </w:pPr>
    </w:p>
    <w:p w:rsidR="00306236" w:rsidRPr="005740DD" w:rsidRDefault="00306236" w:rsidP="00BF23BB">
      <w:pPr>
        <w:tabs>
          <w:tab w:val="left" w:pos="567"/>
        </w:tabs>
        <w:ind w:left="567" w:hanging="567"/>
        <w:jc w:val="both"/>
        <w:rPr>
          <w:rFonts w:ascii="Book Antiqua" w:hAnsi="Book Antiqua" w:cs="Arial"/>
        </w:rPr>
      </w:pPr>
      <w:r w:rsidRPr="005740DD">
        <w:rPr>
          <w:rFonts w:ascii="Book Antiqua" w:hAnsi="Book Antiqua" w:cs="Arial"/>
          <w:b/>
        </w:rPr>
        <w:t>DECISION</w:t>
      </w:r>
    </w:p>
    <w:p w:rsidR="001F2716" w:rsidRPr="005740DD" w:rsidRDefault="001F2716" w:rsidP="00780F86">
      <w:pPr>
        <w:ind w:left="540" w:hanging="540"/>
        <w:jc w:val="both"/>
        <w:rPr>
          <w:rFonts w:ascii="Book Antiqua" w:hAnsi="Book Antiqua" w:cs="Arial"/>
        </w:rPr>
      </w:pPr>
    </w:p>
    <w:p w:rsidR="00306236" w:rsidRPr="005740DD" w:rsidRDefault="00306236" w:rsidP="00306236">
      <w:pPr>
        <w:numPr>
          <w:ilvl w:val="0"/>
          <w:numId w:val="1"/>
        </w:numPr>
        <w:tabs>
          <w:tab w:val="clear" w:pos="720"/>
          <w:tab w:val="num" w:pos="360"/>
          <w:tab w:val="left" w:pos="567"/>
        </w:tabs>
        <w:ind w:left="360"/>
        <w:jc w:val="both"/>
        <w:rPr>
          <w:rFonts w:ascii="Book Antiqua" w:hAnsi="Book Antiqua" w:cs="Arial"/>
        </w:rPr>
      </w:pPr>
      <w:r w:rsidRPr="005740DD">
        <w:rPr>
          <w:rFonts w:ascii="Book Antiqua" w:hAnsi="Book Antiqua" w:cs="Arial"/>
        </w:rPr>
        <w:t>For the foregoing reasons, my decision is as follows:</w:t>
      </w:r>
    </w:p>
    <w:p w:rsidR="00306236" w:rsidRPr="005740DD" w:rsidRDefault="00306236" w:rsidP="004A3FE6">
      <w:pPr>
        <w:tabs>
          <w:tab w:val="left" w:pos="567"/>
        </w:tabs>
        <w:spacing w:before="240"/>
        <w:ind w:left="360"/>
        <w:jc w:val="both"/>
        <w:rPr>
          <w:rFonts w:ascii="Book Antiqua" w:hAnsi="Book Antiqua" w:cs="Arial"/>
        </w:rPr>
      </w:pPr>
      <w:r w:rsidRPr="005740DD">
        <w:rPr>
          <w:rFonts w:ascii="Book Antiqua" w:hAnsi="Book Antiqua" w:cs="Arial"/>
        </w:rPr>
        <w:t>The making of the previous decision involved the making of no error on a point of law</w:t>
      </w:r>
    </w:p>
    <w:p w:rsidR="00DB7283" w:rsidRPr="005740DD" w:rsidRDefault="00DB7283" w:rsidP="004A3FE6">
      <w:pPr>
        <w:tabs>
          <w:tab w:val="left" w:pos="567"/>
        </w:tabs>
        <w:spacing w:before="240"/>
        <w:ind w:left="360"/>
        <w:jc w:val="both"/>
        <w:rPr>
          <w:rFonts w:ascii="Book Antiqua" w:hAnsi="Book Antiqua" w:cs="Arial"/>
        </w:rPr>
      </w:pPr>
      <w:r w:rsidRPr="005740DD">
        <w:rPr>
          <w:rFonts w:ascii="Book Antiqua" w:hAnsi="Book Antiqua" w:cs="Arial"/>
        </w:rPr>
        <w:t>I do not set aside the decision but order that it shall stand.</w:t>
      </w:r>
    </w:p>
    <w:p w:rsidR="009F5220" w:rsidRPr="005740DD" w:rsidRDefault="009F5220" w:rsidP="00780F86">
      <w:pPr>
        <w:ind w:left="540" w:hanging="540"/>
        <w:jc w:val="both"/>
        <w:rPr>
          <w:rFonts w:ascii="Book Antiqua" w:hAnsi="Book Antiqua" w:cs="Arial"/>
        </w:rPr>
      </w:pPr>
    </w:p>
    <w:p w:rsidR="001F2716" w:rsidRPr="005740DD" w:rsidRDefault="00306236" w:rsidP="00185211">
      <w:pPr>
        <w:rPr>
          <w:rFonts w:ascii="Book Antiqua" w:hAnsi="Book Antiqua" w:cs="Arial"/>
        </w:rPr>
      </w:pPr>
      <w:r w:rsidRPr="005740DD">
        <w:rPr>
          <w:rFonts w:ascii="Book Antiqua" w:hAnsi="Book Antiqua" w:cs="Arial"/>
        </w:rPr>
        <w:t>Date:</w:t>
      </w:r>
      <w:r w:rsidR="00AD7978" w:rsidRPr="005740DD">
        <w:rPr>
          <w:rFonts w:ascii="Book Antiqua" w:hAnsi="Book Antiqua" w:cs="Arial"/>
        </w:rPr>
        <w:tab/>
      </w:r>
      <w:r w:rsidRPr="005740DD">
        <w:rPr>
          <w:rFonts w:ascii="Book Antiqua" w:hAnsi="Book Antiqua" w:cs="Arial"/>
        </w:rPr>
        <w:tab/>
      </w:r>
      <w:r w:rsidR="005740DD" w:rsidRPr="005740DD">
        <w:rPr>
          <w:rFonts w:ascii="Book Antiqua" w:hAnsi="Book Antiqua" w:cs="Arial"/>
        </w:rPr>
        <w:t>3 September 2018</w:t>
      </w:r>
      <w:r w:rsidR="00185211" w:rsidRPr="005740DD">
        <w:rPr>
          <w:rFonts w:ascii="Book Antiqua" w:hAnsi="Book Antiqua" w:cs="Arial"/>
        </w:rPr>
        <w:tab/>
      </w:r>
      <w:r w:rsidR="00185211" w:rsidRPr="005740DD">
        <w:rPr>
          <w:rFonts w:ascii="Book Antiqua" w:hAnsi="Book Antiqua" w:cs="Arial"/>
        </w:rPr>
        <w:tab/>
      </w:r>
      <w:r w:rsidRPr="005740DD">
        <w:rPr>
          <w:rFonts w:ascii="Book Antiqua" w:hAnsi="Book Antiqua" w:cs="Arial"/>
        </w:rPr>
        <w:tab/>
      </w:r>
      <w:r w:rsidRPr="005740DD">
        <w:rPr>
          <w:rFonts w:ascii="Book Antiqua" w:hAnsi="Book Antiqua" w:cs="Arial"/>
        </w:rPr>
        <w:tab/>
      </w:r>
      <w:r w:rsidR="00780F86" w:rsidRPr="005740DD">
        <w:rPr>
          <w:rFonts w:ascii="Book Antiqua" w:hAnsi="Book Antiqua" w:cs="Arial"/>
        </w:rPr>
        <w:t>Signed</w:t>
      </w:r>
      <w:r w:rsidR="00780F86" w:rsidRPr="005740DD">
        <w:rPr>
          <w:rFonts w:ascii="Book Antiqua" w:hAnsi="Book Antiqua" w:cs="Arial"/>
        </w:rPr>
        <w:tab/>
      </w:r>
      <w:r w:rsidR="00185211" w:rsidRPr="005740DD">
        <w:rPr>
          <w:rFonts w:ascii="Rage Italic" w:hAnsi="Rage Italic" w:cs="Arial"/>
          <w:color w:val="0070C0"/>
          <w:sz w:val="36"/>
          <w:szCs w:val="28"/>
        </w:rPr>
        <w:t>Judith AJC Gleeson</w:t>
      </w:r>
      <w:r w:rsidR="00780F86" w:rsidRPr="005740DD">
        <w:rPr>
          <w:rFonts w:ascii="Book Antiqua" w:hAnsi="Book Antiqua" w:cs="Arial"/>
        </w:rPr>
        <w:tab/>
      </w:r>
      <w:r w:rsidR="00780F86" w:rsidRPr="005740DD">
        <w:rPr>
          <w:rFonts w:ascii="Book Antiqua" w:hAnsi="Book Antiqua" w:cs="Arial"/>
        </w:rPr>
        <w:tab/>
      </w:r>
      <w:r w:rsidR="00780F86" w:rsidRPr="005740DD">
        <w:rPr>
          <w:rFonts w:ascii="Book Antiqua" w:hAnsi="Book Antiqua" w:cs="Arial"/>
        </w:rPr>
        <w:tab/>
      </w:r>
      <w:r w:rsidR="00780F86" w:rsidRPr="005740DD">
        <w:rPr>
          <w:rFonts w:ascii="Book Antiqua" w:hAnsi="Book Antiqua" w:cs="Arial"/>
        </w:rPr>
        <w:tab/>
      </w:r>
      <w:r w:rsidR="00185211" w:rsidRPr="005740DD">
        <w:rPr>
          <w:rFonts w:ascii="Book Antiqua" w:hAnsi="Book Antiqua" w:cs="Arial"/>
        </w:rPr>
        <w:tab/>
      </w:r>
      <w:r w:rsidR="00185211" w:rsidRPr="005740DD">
        <w:rPr>
          <w:rFonts w:ascii="Book Antiqua" w:hAnsi="Book Antiqua" w:cs="Arial"/>
        </w:rPr>
        <w:tab/>
      </w:r>
      <w:r w:rsidR="00185211" w:rsidRPr="005740DD">
        <w:rPr>
          <w:rFonts w:ascii="Book Antiqua" w:hAnsi="Book Antiqua" w:cs="Arial"/>
        </w:rPr>
        <w:tab/>
      </w:r>
      <w:r w:rsidR="00185211" w:rsidRPr="005740DD">
        <w:rPr>
          <w:rFonts w:ascii="Book Antiqua" w:hAnsi="Book Antiqua" w:cs="Arial"/>
        </w:rPr>
        <w:tab/>
      </w:r>
      <w:r w:rsidR="00185211" w:rsidRPr="005740DD">
        <w:rPr>
          <w:rFonts w:ascii="Book Antiqua" w:hAnsi="Book Antiqua" w:cs="Arial"/>
        </w:rPr>
        <w:tab/>
      </w:r>
      <w:r w:rsidR="00185211" w:rsidRPr="005740DD">
        <w:rPr>
          <w:rFonts w:ascii="Book Antiqua" w:hAnsi="Book Antiqua" w:cs="Arial"/>
        </w:rPr>
        <w:tab/>
      </w:r>
      <w:r w:rsidR="00AD7978" w:rsidRPr="005740DD">
        <w:rPr>
          <w:rFonts w:ascii="Book Antiqua" w:hAnsi="Book Antiqua" w:cs="Arial"/>
        </w:rPr>
        <w:tab/>
      </w:r>
      <w:r w:rsidR="00185211" w:rsidRPr="005740DD">
        <w:rPr>
          <w:rFonts w:ascii="Book Antiqua" w:hAnsi="Book Antiqua" w:cs="Arial"/>
        </w:rPr>
        <w:tab/>
      </w:r>
      <w:r w:rsidR="00AD7978" w:rsidRPr="005740DD">
        <w:rPr>
          <w:rFonts w:ascii="Book Antiqua" w:hAnsi="Book Antiqua" w:cs="Arial"/>
        </w:rPr>
        <w:t xml:space="preserve">Upper Tribunal </w:t>
      </w:r>
      <w:r w:rsidRPr="005740DD">
        <w:rPr>
          <w:rFonts w:ascii="Book Antiqua" w:hAnsi="Book Antiqua" w:cs="Arial"/>
        </w:rPr>
        <w:t xml:space="preserve">Judge Gleeson </w:t>
      </w:r>
    </w:p>
    <w:p w:rsidR="00D51814" w:rsidRPr="005740DD" w:rsidRDefault="00AD7978" w:rsidP="00306236">
      <w:pPr>
        <w:tabs>
          <w:tab w:val="left" w:pos="2520"/>
        </w:tabs>
        <w:ind w:left="6181" w:hanging="539"/>
        <w:rPr>
          <w:rFonts w:ascii="Book Antiqua" w:hAnsi="Book Antiqua" w:cs="Arial"/>
          <w:color w:val="000000"/>
        </w:rPr>
      </w:pPr>
      <w:r w:rsidRPr="005740DD">
        <w:rPr>
          <w:rFonts w:ascii="Book Antiqua" w:hAnsi="Book Antiqua" w:cs="Arial"/>
          <w:color w:val="000000"/>
        </w:rPr>
        <w:t xml:space="preserve"> </w:t>
      </w:r>
      <w:r w:rsidR="005F1F19" w:rsidRPr="005740DD">
        <w:rPr>
          <w:rFonts w:ascii="Book Antiqua" w:hAnsi="Book Antiqua" w:cs="Arial"/>
          <w:color w:val="000000"/>
        </w:rPr>
        <w:t xml:space="preserve"> </w:t>
      </w:r>
    </w:p>
    <w:p w:rsidR="00B95326" w:rsidRPr="00F97703" w:rsidRDefault="00B95326" w:rsidP="00306236">
      <w:pPr>
        <w:tabs>
          <w:tab w:val="left" w:pos="2520"/>
        </w:tabs>
        <w:ind w:left="6181" w:hanging="539"/>
        <w:rPr>
          <w:rFonts w:ascii="Book Antiqua" w:hAnsi="Book Antiqua" w:cs="Arial"/>
          <w:color w:val="000000"/>
        </w:rPr>
      </w:pP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E0C" w:rsidRDefault="00226E0C">
      <w:r>
        <w:separator/>
      </w:r>
    </w:p>
  </w:endnote>
  <w:endnote w:type="continuationSeparator" w:id="0">
    <w:p w:rsidR="00226E0C" w:rsidRDefault="0022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F0C" w:rsidRPr="00593795" w:rsidRDefault="001C2F0C"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30C83">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F0C" w:rsidRPr="00090CF9" w:rsidRDefault="001C2F0C"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D470DB">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E0C" w:rsidRDefault="00226E0C">
      <w:r>
        <w:separator/>
      </w:r>
    </w:p>
  </w:footnote>
  <w:footnote w:type="continuationSeparator" w:id="0">
    <w:p w:rsidR="00226E0C" w:rsidRDefault="00226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F0C" w:rsidRPr="003C5CE5" w:rsidRDefault="001C2F0C" w:rsidP="00593795">
    <w:pPr>
      <w:pStyle w:val="Header"/>
      <w:jc w:val="right"/>
      <w:rPr>
        <w:rFonts w:ascii="Arial" w:hAnsi="Arial" w:cs="Arial"/>
        <w:sz w:val="16"/>
        <w:szCs w:val="16"/>
      </w:rPr>
    </w:pPr>
    <w:r>
      <w:rPr>
        <w:rFonts w:ascii="Arial" w:hAnsi="Arial" w:cs="Arial"/>
        <w:sz w:val="16"/>
        <w:szCs w:val="16"/>
      </w:rPr>
      <w:t xml:space="preserve">Appeal Number:  RP/00147/2017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DD"/>
    <w:rsid w:val="00000621"/>
    <w:rsid w:val="000036C2"/>
    <w:rsid w:val="000060DE"/>
    <w:rsid w:val="00021C88"/>
    <w:rsid w:val="00033D3D"/>
    <w:rsid w:val="00057601"/>
    <w:rsid w:val="00062F02"/>
    <w:rsid w:val="00071A7E"/>
    <w:rsid w:val="000746C0"/>
    <w:rsid w:val="00074D1D"/>
    <w:rsid w:val="00075917"/>
    <w:rsid w:val="00090CF9"/>
    <w:rsid w:val="00092580"/>
    <w:rsid w:val="00093D4D"/>
    <w:rsid w:val="00096BCF"/>
    <w:rsid w:val="000D0CB5"/>
    <w:rsid w:val="000D5D94"/>
    <w:rsid w:val="000E01B8"/>
    <w:rsid w:val="000F1A0E"/>
    <w:rsid w:val="001011CA"/>
    <w:rsid w:val="00113ECC"/>
    <w:rsid w:val="001165A7"/>
    <w:rsid w:val="00130B79"/>
    <w:rsid w:val="00167D3A"/>
    <w:rsid w:val="00185211"/>
    <w:rsid w:val="001A3082"/>
    <w:rsid w:val="001B186A"/>
    <w:rsid w:val="001B2F75"/>
    <w:rsid w:val="001B3ABC"/>
    <w:rsid w:val="001C2F0C"/>
    <w:rsid w:val="001C5C75"/>
    <w:rsid w:val="001F2716"/>
    <w:rsid w:val="00201E53"/>
    <w:rsid w:val="00207617"/>
    <w:rsid w:val="00226E0C"/>
    <w:rsid w:val="0023134B"/>
    <w:rsid w:val="0025165A"/>
    <w:rsid w:val="0026015E"/>
    <w:rsid w:val="002667BE"/>
    <w:rsid w:val="00270E13"/>
    <w:rsid w:val="00283659"/>
    <w:rsid w:val="002B243C"/>
    <w:rsid w:val="002B5149"/>
    <w:rsid w:val="002C650D"/>
    <w:rsid w:val="002C6BD4"/>
    <w:rsid w:val="002D68BF"/>
    <w:rsid w:val="002F6B98"/>
    <w:rsid w:val="00306236"/>
    <w:rsid w:val="003139B4"/>
    <w:rsid w:val="00336CBF"/>
    <w:rsid w:val="00343FE3"/>
    <w:rsid w:val="003546C8"/>
    <w:rsid w:val="003A7CF2"/>
    <w:rsid w:val="003C2117"/>
    <w:rsid w:val="003C5CE5"/>
    <w:rsid w:val="003E267B"/>
    <w:rsid w:val="003E3BB6"/>
    <w:rsid w:val="003E5773"/>
    <w:rsid w:val="003E7CD1"/>
    <w:rsid w:val="00402B9E"/>
    <w:rsid w:val="00420643"/>
    <w:rsid w:val="004249CB"/>
    <w:rsid w:val="00436115"/>
    <w:rsid w:val="0044127D"/>
    <w:rsid w:val="004448DB"/>
    <w:rsid w:val="00446C9A"/>
    <w:rsid w:val="00452F2B"/>
    <w:rsid w:val="004610B3"/>
    <w:rsid w:val="00477193"/>
    <w:rsid w:val="00480EB2"/>
    <w:rsid w:val="00496861"/>
    <w:rsid w:val="00496AC2"/>
    <w:rsid w:val="004A1848"/>
    <w:rsid w:val="004A3FE6"/>
    <w:rsid w:val="004A6F4A"/>
    <w:rsid w:val="004E4717"/>
    <w:rsid w:val="005035E7"/>
    <w:rsid w:val="00507FEC"/>
    <w:rsid w:val="00510F0E"/>
    <w:rsid w:val="005479E1"/>
    <w:rsid w:val="00553E0A"/>
    <w:rsid w:val="005570FD"/>
    <w:rsid w:val="005575EA"/>
    <w:rsid w:val="005740DD"/>
    <w:rsid w:val="0057790C"/>
    <w:rsid w:val="00593795"/>
    <w:rsid w:val="00593821"/>
    <w:rsid w:val="005A3B95"/>
    <w:rsid w:val="005A549B"/>
    <w:rsid w:val="005A61A3"/>
    <w:rsid w:val="005A75FF"/>
    <w:rsid w:val="005D10AB"/>
    <w:rsid w:val="005F1F19"/>
    <w:rsid w:val="00601D8F"/>
    <w:rsid w:val="0060752B"/>
    <w:rsid w:val="00611011"/>
    <w:rsid w:val="00653E97"/>
    <w:rsid w:val="00676204"/>
    <w:rsid w:val="00684A74"/>
    <w:rsid w:val="00690B8A"/>
    <w:rsid w:val="006B5D9A"/>
    <w:rsid w:val="006F2CF1"/>
    <w:rsid w:val="007038ED"/>
    <w:rsid w:val="00703BC3"/>
    <w:rsid w:val="00704B61"/>
    <w:rsid w:val="007334B3"/>
    <w:rsid w:val="007552A9"/>
    <w:rsid w:val="00761858"/>
    <w:rsid w:val="00763EB4"/>
    <w:rsid w:val="00767D59"/>
    <w:rsid w:val="00776E97"/>
    <w:rsid w:val="00780F86"/>
    <w:rsid w:val="007912AD"/>
    <w:rsid w:val="007A37E8"/>
    <w:rsid w:val="007B0824"/>
    <w:rsid w:val="007B5D3C"/>
    <w:rsid w:val="007E7610"/>
    <w:rsid w:val="00821B72"/>
    <w:rsid w:val="00823EF2"/>
    <w:rsid w:val="008303B8"/>
    <w:rsid w:val="00833DCE"/>
    <w:rsid w:val="0085111B"/>
    <w:rsid w:val="00871D34"/>
    <w:rsid w:val="00880370"/>
    <w:rsid w:val="008B270C"/>
    <w:rsid w:val="008B382D"/>
    <w:rsid w:val="008B5078"/>
    <w:rsid w:val="008C3D3D"/>
    <w:rsid w:val="008D4131"/>
    <w:rsid w:val="008F1932"/>
    <w:rsid w:val="00921062"/>
    <w:rsid w:val="00925AB2"/>
    <w:rsid w:val="00930C83"/>
    <w:rsid w:val="009722BC"/>
    <w:rsid w:val="009727A3"/>
    <w:rsid w:val="00987774"/>
    <w:rsid w:val="009A11E8"/>
    <w:rsid w:val="009F5220"/>
    <w:rsid w:val="00A15234"/>
    <w:rsid w:val="00A16913"/>
    <w:rsid w:val="00A17E2E"/>
    <w:rsid w:val="00A201AB"/>
    <w:rsid w:val="00A240AA"/>
    <w:rsid w:val="00A253BF"/>
    <w:rsid w:val="00A26A9A"/>
    <w:rsid w:val="00A31C8B"/>
    <w:rsid w:val="00A509FA"/>
    <w:rsid w:val="00A845DC"/>
    <w:rsid w:val="00A87238"/>
    <w:rsid w:val="00AB62C8"/>
    <w:rsid w:val="00AD7978"/>
    <w:rsid w:val="00AF0A6B"/>
    <w:rsid w:val="00AF3B01"/>
    <w:rsid w:val="00B26AA2"/>
    <w:rsid w:val="00B3524D"/>
    <w:rsid w:val="00B40F69"/>
    <w:rsid w:val="00B46616"/>
    <w:rsid w:val="00B7040A"/>
    <w:rsid w:val="00B83391"/>
    <w:rsid w:val="00B95326"/>
    <w:rsid w:val="00B9753D"/>
    <w:rsid w:val="00BC7802"/>
    <w:rsid w:val="00BD4196"/>
    <w:rsid w:val="00BF22CA"/>
    <w:rsid w:val="00BF23BB"/>
    <w:rsid w:val="00C12F97"/>
    <w:rsid w:val="00C24526"/>
    <w:rsid w:val="00C26032"/>
    <w:rsid w:val="00C345E1"/>
    <w:rsid w:val="00C43BFD"/>
    <w:rsid w:val="00CA0269"/>
    <w:rsid w:val="00CB6E35"/>
    <w:rsid w:val="00CE1A46"/>
    <w:rsid w:val="00D20757"/>
    <w:rsid w:val="00D22636"/>
    <w:rsid w:val="00D23E0E"/>
    <w:rsid w:val="00D31AEA"/>
    <w:rsid w:val="00D40FD9"/>
    <w:rsid w:val="00D470DB"/>
    <w:rsid w:val="00D51814"/>
    <w:rsid w:val="00D53769"/>
    <w:rsid w:val="00D55223"/>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30683"/>
    <w:rsid w:val="00E453D8"/>
    <w:rsid w:val="00E50BCE"/>
    <w:rsid w:val="00E574BF"/>
    <w:rsid w:val="00E61292"/>
    <w:rsid w:val="00E77C4D"/>
    <w:rsid w:val="00E80AD9"/>
    <w:rsid w:val="00E81D01"/>
    <w:rsid w:val="00EA49E6"/>
    <w:rsid w:val="00EE0670"/>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3F9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0413">
      <w:bodyDiv w:val="1"/>
      <w:marLeft w:val="0"/>
      <w:marRight w:val="0"/>
      <w:marTop w:val="0"/>
      <w:marBottom w:val="0"/>
      <w:divBdr>
        <w:top w:val="none" w:sz="0" w:space="0" w:color="auto"/>
        <w:left w:val="none" w:sz="0" w:space="0" w:color="auto"/>
        <w:bottom w:val="none" w:sz="0" w:space="0" w:color="auto"/>
        <w:right w:val="none" w:sz="0" w:space="0" w:color="auto"/>
      </w:divBdr>
    </w:div>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207">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3423</Words>
  <Characters>16561</Characters>
  <Application>Microsoft Office Word</Application>
  <DocSecurity>0</DocSecurity>
  <Lines>138</Lines>
  <Paragraphs>39</Paragraphs>
  <ScaleCrop>false</ScaleCrop>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2018-09-26T09:42:00Z</dcterms:created>
  <dcterms:modified xsi:type="dcterms:W3CDTF">2018-09-26T09:42:00Z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