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84A" w:rsidRPr="001B4BAE" w:rsidRDefault="004B456A" w:rsidP="0020384A">
      <w:pPr>
        <w:jc w:val="center"/>
        <w:rPr>
          <w:rFonts w:ascii="Book Antiqua" w:hAnsi="Book Antiqua" w:cs="Arial"/>
          <w:color w:val="000000"/>
          <w:sz w:val="16"/>
          <w:szCs w:val="16"/>
        </w:rPr>
      </w:pPr>
      <w:r w:rsidRPr="001B4BAE">
        <w:rPr>
          <w:rFonts w:ascii="Book Antiqua" w:hAnsi="Book Antiqua"/>
          <w:noProof/>
          <w:sz w:val="16"/>
          <w:szCs w:val="16"/>
        </w:rPr>
        <w:drawing>
          <wp:inline distT="0" distB="0" distL="0" distR="0" wp14:anchorId="286F2042" wp14:editId="4A353EA5">
            <wp:extent cx="1497965" cy="1132205"/>
            <wp:effectExtent l="0" t="0" r="63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1B4BAE" w:rsidRPr="001B4BAE" w:rsidRDefault="001B4BAE" w:rsidP="001B4BAE">
      <w:pPr>
        <w:rPr>
          <w:rFonts w:ascii="Book Antiqua" w:hAnsi="Book Antiqua" w:cs="Arial"/>
          <w:color w:val="000000"/>
          <w:sz w:val="16"/>
          <w:szCs w:val="16"/>
        </w:rPr>
      </w:pPr>
    </w:p>
    <w:p w:rsidR="0020384A" w:rsidRPr="00B67284" w:rsidRDefault="0020384A" w:rsidP="0020384A">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rsidR="0020384A" w:rsidRPr="00084E08" w:rsidRDefault="0020384A" w:rsidP="0020384A">
      <w:pPr>
        <w:tabs>
          <w:tab w:val="right" w:pos="9720"/>
        </w:tabs>
        <w:ind w:right="-82"/>
        <w:rPr>
          <w:rFonts w:ascii="Book Antiqua" w:hAnsi="Book Antiqua" w:cs="Arial"/>
          <w:b/>
          <w:color w:val="000000"/>
        </w:rPr>
      </w:pPr>
      <w:r w:rsidRPr="00B67284">
        <w:rPr>
          <w:rFonts w:ascii="Book Antiqua" w:hAnsi="Book Antiqua" w:cs="Arial"/>
          <w:b/>
          <w:color w:val="000000"/>
        </w:rPr>
        <w:t>(Immigration and Asylum Chamber)</w:t>
      </w:r>
      <w:r w:rsidRPr="00B67284">
        <w:rPr>
          <w:rFonts w:ascii="Book Antiqua" w:hAnsi="Book Antiqua" w:cs="Arial"/>
          <w:b/>
          <w:color w:val="000000"/>
        </w:rPr>
        <w:tab/>
      </w:r>
      <w:r w:rsidRPr="00031C92">
        <w:rPr>
          <w:rFonts w:ascii="Book Antiqua" w:hAnsi="Book Antiqua" w:cs="Arial"/>
          <w:b/>
          <w:color w:val="000000"/>
        </w:rPr>
        <w:t xml:space="preserve">Appeal Number: </w:t>
      </w:r>
      <w:bookmarkStart w:id="0" w:name="_GoBack"/>
      <w:r w:rsidR="003F609F">
        <w:rPr>
          <w:rFonts w:ascii="Book Antiqua" w:hAnsi="Book Antiqua" w:cs="Arial"/>
          <w:b/>
          <w:caps/>
          <w:color w:val="000000"/>
        </w:rPr>
        <w:t>RP/00157</w:t>
      </w:r>
      <w:r w:rsidR="00953D03">
        <w:rPr>
          <w:rFonts w:ascii="Book Antiqua" w:hAnsi="Book Antiqua" w:cs="Arial"/>
          <w:b/>
          <w:caps/>
          <w:color w:val="000000"/>
        </w:rPr>
        <w:t>/201</w:t>
      </w:r>
      <w:r w:rsidR="003F609F">
        <w:rPr>
          <w:rFonts w:ascii="Book Antiqua" w:hAnsi="Book Antiqua" w:cs="Arial"/>
          <w:b/>
          <w:caps/>
          <w:color w:val="000000"/>
        </w:rPr>
        <w:t>6</w:t>
      </w:r>
      <w:bookmarkEnd w:id="0"/>
    </w:p>
    <w:p w:rsidR="0020384A" w:rsidRPr="00B67284" w:rsidRDefault="0020384A" w:rsidP="001B4BAE">
      <w:pPr>
        <w:tabs>
          <w:tab w:val="right" w:pos="9720"/>
        </w:tabs>
        <w:ind w:right="-82"/>
        <w:jc w:val="center"/>
        <w:rPr>
          <w:rFonts w:ascii="Book Antiqua" w:hAnsi="Book Antiqua" w:cs="Arial"/>
          <w:color w:val="000000"/>
        </w:rPr>
      </w:pPr>
    </w:p>
    <w:p w:rsidR="00A6368E" w:rsidRDefault="00A6368E" w:rsidP="001B4BAE">
      <w:pPr>
        <w:jc w:val="center"/>
        <w:outlineLvl w:val="0"/>
        <w:rPr>
          <w:rFonts w:ascii="Book Antiqua" w:hAnsi="Book Antiqua" w:cs="Arial"/>
          <w:b/>
          <w:color w:val="000000"/>
          <w:u w:val="single"/>
        </w:rPr>
      </w:pPr>
    </w:p>
    <w:p w:rsidR="0020384A" w:rsidRDefault="0020384A" w:rsidP="001B4BAE">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rsidR="00A6368E" w:rsidRPr="00B67284" w:rsidRDefault="00A6368E" w:rsidP="001B4BAE">
      <w:pPr>
        <w:jc w:val="center"/>
        <w:outlineLvl w:val="0"/>
        <w:rPr>
          <w:rFonts w:ascii="Book Antiqua" w:hAnsi="Book Antiqua" w:cs="Arial"/>
          <w:b/>
          <w:color w:val="000000"/>
          <w:u w:val="single"/>
        </w:rPr>
      </w:pPr>
    </w:p>
    <w:p w:rsidR="0020384A" w:rsidRPr="00B67284" w:rsidRDefault="0020384A" w:rsidP="001B4BAE">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CB66F8" w:rsidRPr="00431C7D" w:rsidTr="00A6368E">
        <w:tc>
          <w:tcPr>
            <w:tcW w:w="2500" w:type="pct"/>
          </w:tcPr>
          <w:p w:rsidR="00CB66F8" w:rsidRPr="00431C7D" w:rsidRDefault="00CB66F8" w:rsidP="00CB66F8">
            <w:pPr>
              <w:jc w:val="both"/>
              <w:rPr>
                <w:rFonts w:ascii="Book Antiqua" w:hAnsi="Book Antiqua" w:cs="Arial"/>
                <w:b/>
              </w:rPr>
            </w:pPr>
            <w:r w:rsidRPr="00431C7D">
              <w:rPr>
                <w:rFonts w:ascii="Book Antiqua" w:hAnsi="Book Antiqua" w:cs="Arial"/>
                <w:b/>
              </w:rPr>
              <w:t xml:space="preserve">Heard </w:t>
            </w:r>
            <w:r>
              <w:rPr>
                <w:rFonts w:ascii="Book Antiqua" w:hAnsi="Book Antiqua" w:cs="Arial"/>
                <w:b/>
              </w:rPr>
              <w:t>at Manchester</w:t>
            </w:r>
          </w:p>
        </w:tc>
        <w:tc>
          <w:tcPr>
            <w:tcW w:w="2500" w:type="pct"/>
          </w:tcPr>
          <w:p w:rsidR="00CB66F8" w:rsidRPr="000704BB" w:rsidRDefault="00CB66F8" w:rsidP="00A6368E">
            <w:pPr>
              <w:jc w:val="right"/>
              <w:rPr>
                <w:rFonts w:ascii="Book Antiqua" w:hAnsi="Book Antiqua" w:cs="Arial"/>
                <w:b/>
                <w:color w:val="000000"/>
              </w:rPr>
            </w:pPr>
            <w:r>
              <w:rPr>
                <w:rFonts w:ascii="Book Antiqua" w:hAnsi="Book Antiqua" w:cs="Arial"/>
                <w:b/>
                <w:color w:val="000000"/>
              </w:rPr>
              <w:t>Decision &amp; Reasons</w:t>
            </w:r>
            <w:r w:rsidRPr="000704BB">
              <w:rPr>
                <w:rFonts w:ascii="Book Antiqua" w:hAnsi="Book Antiqua" w:cs="Arial"/>
                <w:b/>
                <w:color w:val="000000"/>
              </w:rPr>
              <w:t xml:space="preserve"> Promulgated</w:t>
            </w:r>
          </w:p>
        </w:tc>
      </w:tr>
      <w:tr w:rsidR="00CB66F8" w:rsidRPr="00431C7D" w:rsidTr="00A6368E">
        <w:tc>
          <w:tcPr>
            <w:tcW w:w="2500" w:type="pct"/>
          </w:tcPr>
          <w:p w:rsidR="00CB66F8" w:rsidRPr="00431C7D" w:rsidRDefault="00CB66F8" w:rsidP="00CB66F8">
            <w:pPr>
              <w:jc w:val="both"/>
              <w:rPr>
                <w:rFonts w:ascii="Book Antiqua" w:hAnsi="Book Antiqua" w:cs="Arial"/>
                <w:b/>
              </w:rPr>
            </w:pPr>
            <w:r>
              <w:rPr>
                <w:rFonts w:ascii="Book Antiqua" w:hAnsi="Book Antiqua" w:cs="Arial"/>
                <w:b/>
              </w:rPr>
              <w:t>On 10 July 2017</w:t>
            </w:r>
          </w:p>
        </w:tc>
        <w:tc>
          <w:tcPr>
            <w:tcW w:w="2500" w:type="pct"/>
          </w:tcPr>
          <w:p w:rsidR="00CB66F8" w:rsidRPr="00431C7D" w:rsidRDefault="00CB66F8" w:rsidP="00A6368E">
            <w:pPr>
              <w:jc w:val="right"/>
              <w:rPr>
                <w:rFonts w:ascii="Book Antiqua" w:hAnsi="Book Antiqua" w:cs="Arial"/>
                <w:b/>
              </w:rPr>
            </w:pPr>
            <w:r>
              <w:rPr>
                <w:rFonts w:ascii="Book Antiqua" w:hAnsi="Book Antiqua" w:cs="Arial"/>
                <w:b/>
              </w:rPr>
              <w:t>On 13 July 2018</w:t>
            </w:r>
          </w:p>
        </w:tc>
      </w:tr>
      <w:tr w:rsidR="00CB66F8" w:rsidRPr="00431C7D" w:rsidTr="00A6368E">
        <w:tc>
          <w:tcPr>
            <w:tcW w:w="2500" w:type="pct"/>
          </w:tcPr>
          <w:p w:rsidR="00CB66F8" w:rsidRPr="00431C7D" w:rsidRDefault="00CB66F8" w:rsidP="00CB66F8">
            <w:pPr>
              <w:jc w:val="both"/>
              <w:rPr>
                <w:rFonts w:ascii="Book Antiqua" w:hAnsi="Book Antiqua" w:cs="Arial"/>
                <w:b/>
              </w:rPr>
            </w:pPr>
          </w:p>
        </w:tc>
        <w:tc>
          <w:tcPr>
            <w:tcW w:w="2500" w:type="pct"/>
          </w:tcPr>
          <w:p w:rsidR="00CB66F8" w:rsidRPr="00431C7D" w:rsidRDefault="00CB66F8" w:rsidP="00A6368E">
            <w:pPr>
              <w:jc w:val="right"/>
              <w:rPr>
                <w:rFonts w:ascii="Book Antiqua" w:hAnsi="Book Antiqua" w:cs="Arial"/>
                <w:b/>
              </w:rPr>
            </w:pPr>
          </w:p>
        </w:tc>
      </w:tr>
    </w:tbl>
    <w:p w:rsidR="0020384A" w:rsidRPr="00B67284" w:rsidRDefault="0020384A" w:rsidP="0020384A">
      <w:pPr>
        <w:jc w:val="center"/>
        <w:rPr>
          <w:rFonts w:ascii="Book Antiqua" w:hAnsi="Book Antiqua" w:cs="Arial"/>
        </w:rPr>
      </w:pPr>
    </w:p>
    <w:p w:rsidR="0020384A" w:rsidRPr="00B67284" w:rsidRDefault="0020384A" w:rsidP="0020384A">
      <w:pPr>
        <w:jc w:val="center"/>
        <w:outlineLvl w:val="0"/>
        <w:rPr>
          <w:rFonts w:ascii="Book Antiqua" w:hAnsi="Book Antiqua" w:cs="Arial"/>
          <w:b/>
        </w:rPr>
      </w:pPr>
      <w:r w:rsidRPr="00B67284">
        <w:rPr>
          <w:rFonts w:ascii="Book Antiqua" w:hAnsi="Book Antiqua" w:cs="Arial"/>
          <w:b/>
        </w:rPr>
        <w:t>Before</w:t>
      </w:r>
    </w:p>
    <w:p w:rsidR="0020384A" w:rsidRPr="00B67284" w:rsidRDefault="0020384A" w:rsidP="0020384A">
      <w:pPr>
        <w:jc w:val="center"/>
        <w:rPr>
          <w:rFonts w:ascii="Book Antiqua" w:hAnsi="Book Antiqua" w:cs="Arial"/>
          <w:b/>
        </w:rPr>
      </w:pPr>
    </w:p>
    <w:p w:rsidR="0020384A" w:rsidRPr="00B67284" w:rsidRDefault="0020384A" w:rsidP="0020384A">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rsidR="0020384A" w:rsidRPr="00B67284" w:rsidRDefault="0020384A" w:rsidP="0020384A">
      <w:pPr>
        <w:jc w:val="center"/>
        <w:rPr>
          <w:rFonts w:ascii="Book Antiqua" w:hAnsi="Book Antiqua" w:cs="Arial"/>
          <w:b/>
        </w:rPr>
      </w:pPr>
    </w:p>
    <w:p w:rsidR="001B4BAE" w:rsidRDefault="001B4BAE" w:rsidP="0020384A">
      <w:pPr>
        <w:jc w:val="center"/>
        <w:outlineLvl w:val="0"/>
        <w:rPr>
          <w:rFonts w:ascii="Book Antiqua" w:hAnsi="Book Antiqua" w:cs="Arial"/>
          <w:b/>
        </w:rPr>
      </w:pPr>
    </w:p>
    <w:p w:rsidR="0020384A" w:rsidRDefault="0020384A" w:rsidP="0020384A">
      <w:pPr>
        <w:jc w:val="center"/>
        <w:outlineLvl w:val="0"/>
        <w:rPr>
          <w:rFonts w:ascii="Book Antiqua" w:hAnsi="Book Antiqua" w:cs="Arial"/>
          <w:b/>
        </w:rPr>
      </w:pPr>
      <w:r w:rsidRPr="00B67284">
        <w:rPr>
          <w:rFonts w:ascii="Book Antiqua" w:hAnsi="Book Antiqua" w:cs="Arial"/>
          <w:b/>
        </w:rPr>
        <w:t>Between</w:t>
      </w:r>
    </w:p>
    <w:p w:rsidR="00B1380C" w:rsidRDefault="00B1380C" w:rsidP="0020384A">
      <w:pPr>
        <w:jc w:val="center"/>
        <w:outlineLvl w:val="0"/>
        <w:rPr>
          <w:rFonts w:ascii="Book Antiqua" w:hAnsi="Book Antiqua" w:cs="Arial"/>
          <w:b/>
        </w:rPr>
      </w:pPr>
    </w:p>
    <w:p w:rsidR="0020384A" w:rsidRPr="00B67284" w:rsidRDefault="00B1380C" w:rsidP="0020384A">
      <w:pPr>
        <w:jc w:val="center"/>
        <w:outlineLvl w:val="0"/>
        <w:rPr>
          <w:rFonts w:ascii="Book Antiqua" w:hAnsi="Book Antiqua" w:cs="Arial"/>
          <w:b/>
        </w:rPr>
      </w:pPr>
      <w:r>
        <w:rPr>
          <w:rFonts w:ascii="Book Antiqua" w:hAnsi="Book Antiqua" w:cs="Arial"/>
          <w:b/>
        </w:rPr>
        <w:t>SECRETARY OF STATE FOR THE HOME DEPARTMENT</w:t>
      </w:r>
    </w:p>
    <w:p w:rsidR="0020384A" w:rsidRPr="00B67284" w:rsidRDefault="0020384A" w:rsidP="0020384A">
      <w:pPr>
        <w:jc w:val="right"/>
        <w:outlineLvl w:val="0"/>
        <w:rPr>
          <w:rFonts w:ascii="Book Antiqua" w:hAnsi="Book Antiqua" w:cs="Arial"/>
          <w:u w:val="single"/>
        </w:rPr>
      </w:pPr>
      <w:r w:rsidRPr="00B67284">
        <w:rPr>
          <w:rFonts w:ascii="Book Antiqua" w:hAnsi="Book Antiqua" w:cs="Arial"/>
          <w:u w:val="single"/>
        </w:rPr>
        <w:t>Appellant</w:t>
      </w:r>
    </w:p>
    <w:p w:rsidR="0020384A" w:rsidRDefault="00EE30D7" w:rsidP="0020384A">
      <w:pPr>
        <w:jc w:val="center"/>
        <w:rPr>
          <w:rFonts w:ascii="Book Antiqua" w:hAnsi="Book Antiqua" w:cs="Arial"/>
          <w:b/>
        </w:rPr>
      </w:pPr>
      <w:r>
        <w:rPr>
          <w:rFonts w:ascii="Book Antiqua" w:hAnsi="Book Antiqua" w:cs="Arial"/>
          <w:b/>
        </w:rPr>
        <w:t>a</w:t>
      </w:r>
      <w:r w:rsidR="0020384A" w:rsidRPr="00B67284">
        <w:rPr>
          <w:rFonts w:ascii="Book Antiqua" w:hAnsi="Book Antiqua" w:cs="Arial"/>
          <w:b/>
        </w:rPr>
        <w:t>nd</w:t>
      </w:r>
    </w:p>
    <w:p w:rsidR="00EE30D7" w:rsidRDefault="00EE30D7" w:rsidP="0020384A">
      <w:pPr>
        <w:jc w:val="center"/>
        <w:rPr>
          <w:rFonts w:ascii="Book Antiqua" w:hAnsi="Book Antiqua" w:cs="Arial"/>
          <w:b/>
        </w:rPr>
      </w:pPr>
    </w:p>
    <w:p w:rsidR="00CD6FD3" w:rsidRPr="00B1380C" w:rsidRDefault="00B1380C" w:rsidP="00B1380C">
      <w:pPr>
        <w:jc w:val="center"/>
        <w:rPr>
          <w:rFonts w:ascii="Book Antiqua" w:hAnsi="Book Antiqua" w:cs="Arial"/>
          <w:b/>
          <w:u w:val="single"/>
        </w:rPr>
      </w:pPr>
      <w:r>
        <w:rPr>
          <w:rFonts w:ascii="Book Antiqua" w:hAnsi="Book Antiqua" w:cs="Arial"/>
          <w:b/>
        </w:rPr>
        <w:t xml:space="preserve">TRUONG </w:t>
      </w:r>
      <w:r w:rsidR="001B4BAE">
        <w:rPr>
          <w:rFonts w:ascii="Book Antiqua" w:hAnsi="Book Antiqua" w:cs="Arial"/>
          <w:b/>
        </w:rPr>
        <w:t>[D]</w:t>
      </w:r>
    </w:p>
    <w:p w:rsidR="0020384A" w:rsidRPr="00B67284" w:rsidRDefault="0020384A" w:rsidP="0020384A">
      <w:pPr>
        <w:jc w:val="right"/>
        <w:outlineLvl w:val="0"/>
        <w:rPr>
          <w:rFonts w:ascii="Book Antiqua" w:hAnsi="Book Antiqua" w:cs="Arial"/>
          <w:u w:val="single"/>
        </w:rPr>
      </w:pPr>
      <w:r w:rsidRPr="00B67284">
        <w:rPr>
          <w:rFonts w:ascii="Book Antiqua" w:hAnsi="Book Antiqua" w:cs="Arial"/>
          <w:u w:val="single"/>
        </w:rPr>
        <w:t>Respondent</w:t>
      </w:r>
    </w:p>
    <w:p w:rsidR="0020384A" w:rsidRDefault="0020384A" w:rsidP="0020384A">
      <w:pPr>
        <w:rPr>
          <w:rFonts w:ascii="Book Antiqua" w:hAnsi="Book Antiqua" w:cs="Arial"/>
          <w:u w:val="single"/>
        </w:rPr>
      </w:pPr>
    </w:p>
    <w:p w:rsidR="001B4BAE" w:rsidRPr="00B67284" w:rsidRDefault="001B4BAE" w:rsidP="0020384A">
      <w:pPr>
        <w:rPr>
          <w:rFonts w:ascii="Book Antiqua" w:hAnsi="Book Antiqua" w:cs="Arial"/>
          <w:u w:val="single"/>
        </w:rPr>
      </w:pPr>
    </w:p>
    <w:p w:rsidR="0020384A" w:rsidRPr="00B67284" w:rsidRDefault="0020384A" w:rsidP="0020384A">
      <w:pPr>
        <w:outlineLvl w:val="0"/>
        <w:rPr>
          <w:rFonts w:ascii="Book Antiqua" w:hAnsi="Book Antiqua" w:cs="Arial"/>
        </w:rPr>
      </w:pPr>
      <w:r w:rsidRPr="00B67284">
        <w:rPr>
          <w:rFonts w:ascii="Book Antiqua" w:hAnsi="Book Antiqua" w:cs="Arial"/>
          <w:b/>
          <w:u w:val="single"/>
        </w:rPr>
        <w:t>Representation</w:t>
      </w:r>
      <w:r w:rsidRPr="00B67284">
        <w:rPr>
          <w:rFonts w:ascii="Book Antiqua" w:hAnsi="Book Antiqua" w:cs="Arial"/>
          <w:b/>
        </w:rPr>
        <w:t>:</w:t>
      </w:r>
    </w:p>
    <w:p w:rsidR="00CD6FD3" w:rsidRDefault="00DD240B" w:rsidP="0020384A">
      <w:pPr>
        <w:tabs>
          <w:tab w:val="left" w:pos="2520"/>
        </w:tabs>
        <w:outlineLvl w:val="0"/>
        <w:rPr>
          <w:rFonts w:ascii="Book Antiqua" w:hAnsi="Book Antiqua" w:cs="Arial"/>
        </w:rPr>
      </w:pPr>
      <w:r>
        <w:rPr>
          <w:rFonts w:ascii="Book Antiqua" w:hAnsi="Book Antiqua" w:cs="Arial"/>
        </w:rPr>
        <w:t>For the a</w:t>
      </w:r>
      <w:r w:rsidR="0020384A" w:rsidRPr="00B67284">
        <w:rPr>
          <w:rFonts w:ascii="Book Antiqua" w:hAnsi="Book Antiqua" w:cs="Arial"/>
        </w:rPr>
        <w:t>ppellant:</w:t>
      </w:r>
      <w:r w:rsidR="0020384A" w:rsidRPr="00B67284">
        <w:rPr>
          <w:rFonts w:ascii="Book Antiqua" w:hAnsi="Book Antiqua" w:cs="Arial"/>
        </w:rPr>
        <w:tab/>
      </w:r>
      <w:r>
        <w:rPr>
          <w:rFonts w:ascii="Book Antiqua" w:hAnsi="Book Antiqua" w:cs="Arial"/>
        </w:rPr>
        <w:t>M</w:t>
      </w:r>
      <w:r w:rsidR="003F609F">
        <w:rPr>
          <w:rFonts w:ascii="Book Antiqua" w:hAnsi="Book Antiqua" w:cs="Arial"/>
        </w:rPr>
        <w:t>r Ell</w:t>
      </w:r>
      <w:r>
        <w:rPr>
          <w:rFonts w:ascii="Book Antiqua" w:hAnsi="Book Antiqua" w:cs="Arial"/>
        </w:rPr>
        <w:t>, Counsel</w:t>
      </w:r>
    </w:p>
    <w:p w:rsidR="0020384A" w:rsidRPr="00B67284" w:rsidRDefault="0020384A" w:rsidP="00B9594F">
      <w:pPr>
        <w:tabs>
          <w:tab w:val="left" w:pos="2520"/>
        </w:tabs>
        <w:rPr>
          <w:rFonts w:ascii="Book Antiqua" w:hAnsi="Book Antiqua" w:cs="Arial"/>
        </w:rPr>
      </w:pPr>
      <w:r w:rsidRPr="00B67284">
        <w:rPr>
          <w:rFonts w:ascii="Book Antiqua" w:hAnsi="Book Antiqua" w:cs="Arial"/>
        </w:rPr>
        <w:t xml:space="preserve">For the </w:t>
      </w:r>
      <w:r w:rsidR="00DD240B">
        <w:rPr>
          <w:rFonts w:ascii="Book Antiqua" w:hAnsi="Book Antiqua" w:cs="Arial"/>
        </w:rPr>
        <w:t>r</w:t>
      </w:r>
      <w:r w:rsidRPr="00B67284">
        <w:rPr>
          <w:rFonts w:ascii="Book Antiqua" w:hAnsi="Book Antiqua" w:cs="Arial"/>
        </w:rPr>
        <w:t>espondent:</w:t>
      </w:r>
      <w:r w:rsidRPr="00B67284">
        <w:rPr>
          <w:rFonts w:ascii="Book Antiqua" w:hAnsi="Book Antiqua" w:cs="Arial"/>
        </w:rPr>
        <w:tab/>
      </w:r>
      <w:r w:rsidR="0033168C">
        <w:rPr>
          <w:rFonts w:ascii="Book Antiqua" w:hAnsi="Book Antiqua" w:cs="Arial"/>
        </w:rPr>
        <w:t>M</w:t>
      </w:r>
      <w:r w:rsidR="000D1B32">
        <w:rPr>
          <w:rFonts w:ascii="Book Antiqua" w:hAnsi="Book Antiqua" w:cs="Arial"/>
        </w:rPr>
        <w:t>r Bates</w:t>
      </w:r>
      <w:r w:rsidR="00DD240B">
        <w:rPr>
          <w:rFonts w:ascii="Book Antiqua" w:hAnsi="Book Antiqua" w:cs="Arial"/>
        </w:rPr>
        <w:t xml:space="preserve">, </w:t>
      </w:r>
      <w:r w:rsidR="006627A5">
        <w:rPr>
          <w:rFonts w:ascii="Book Antiqua" w:hAnsi="Book Antiqua" w:cs="Arial"/>
        </w:rPr>
        <w:t xml:space="preserve">Senior </w:t>
      </w:r>
      <w:r w:rsidR="00DD240B">
        <w:rPr>
          <w:rFonts w:ascii="Book Antiqua" w:hAnsi="Book Antiqua" w:cs="Arial"/>
        </w:rPr>
        <w:t>Home Office Presenting Officer</w:t>
      </w:r>
    </w:p>
    <w:p w:rsidR="0020384A" w:rsidRPr="00B67284" w:rsidRDefault="0020384A" w:rsidP="0020384A">
      <w:pPr>
        <w:tabs>
          <w:tab w:val="left" w:pos="2520"/>
        </w:tabs>
        <w:jc w:val="center"/>
        <w:rPr>
          <w:rFonts w:ascii="Book Antiqua" w:hAnsi="Book Antiqua" w:cs="Arial"/>
        </w:rPr>
      </w:pPr>
    </w:p>
    <w:p w:rsidR="001B4BAE" w:rsidRDefault="001B4BAE" w:rsidP="0020384A">
      <w:pPr>
        <w:tabs>
          <w:tab w:val="left" w:pos="2520"/>
        </w:tabs>
        <w:jc w:val="center"/>
        <w:outlineLvl w:val="0"/>
        <w:rPr>
          <w:rFonts w:ascii="Book Antiqua" w:hAnsi="Book Antiqua" w:cs="Arial"/>
          <w:b/>
          <w:u w:val="single"/>
        </w:rPr>
      </w:pPr>
    </w:p>
    <w:p w:rsidR="0020384A" w:rsidRPr="00B67284" w:rsidRDefault="0020384A" w:rsidP="0020384A">
      <w:pPr>
        <w:tabs>
          <w:tab w:val="left" w:pos="2520"/>
        </w:tabs>
        <w:jc w:val="center"/>
        <w:outlineLvl w:val="0"/>
        <w:rPr>
          <w:rFonts w:ascii="Book Antiqua" w:hAnsi="Book Antiqua" w:cs="Arial"/>
        </w:rPr>
      </w:pPr>
      <w:r w:rsidRPr="00B67284">
        <w:rPr>
          <w:rFonts w:ascii="Book Antiqua" w:hAnsi="Book Antiqua" w:cs="Arial"/>
          <w:b/>
          <w:u w:val="single"/>
        </w:rPr>
        <w:t>DE</w:t>
      </w:r>
      <w:r w:rsidR="00B120DE">
        <w:rPr>
          <w:rFonts w:ascii="Book Antiqua" w:hAnsi="Book Antiqua" w:cs="Arial"/>
          <w:b/>
          <w:u w:val="single"/>
        </w:rPr>
        <w:t>CISION</w:t>
      </w:r>
      <w:r>
        <w:rPr>
          <w:rFonts w:ascii="Book Antiqua" w:hAnsi="Book Antiqua" w:cs="Arial"/>
          <w:b/>
          <w:u w:val="single"/>
        </w:rPr>
        <w:t xml:space="preserve"> AND </w:t>
      </w:r>
      <w:r w:rsidR="006453F7">
        <w:rPr>
          <w:rFonts w:ascii="Book Antiqua" w:hAnsi="Book Antiqua" w:cs="Arial"/>
          <w:b/>
          <w:u w:val="single"/>
        </w:rPr>
        <w:t>REASONS</w:t>
      </w:r>
    </w:p>
    <w:p w:rsidR="0045651B" w:rsidRDefault="0045651B" w:rsidP="003F609F">
      <w:pPr>
        <w:jc w:val="both"/>
        <w:rPr>
          <w:rFonts w:ascii="Book Antiqua" w:hAnsi="Book Antiqua" w:cs="Arial"/>
        </w:rPr>
      </w:pPr>
    </w:p>
    <w:p w:rsidR="000D1B32" w:rsidRPr="000D1B32" w:rsidRDefault="000D1B32" w:rsidP="003F609F">
      <w:pPr>
        <w:jc w:val="both"/>
        <w:rPr>
          <w:rFonts w:ascii="Book Antiqua" w:hAnsi="Book Antiqua" w:cs="Arial"/>
          <w:b/>
        </w:rPr>
      </w:pPr>
      <w:r w:rsidRPr="000D1B32">
        <w:rPr>
          <w:rFonts w:ascii="Book Antiqua" w:hAnsi="Book Antiqua" w:cs="Arial"/>
          <w:b/>
        </w:rPr>
        <w:t>Introduction</w:t>
      </w:r>
    </w:p>
    <w:p w:rsidR="000D1B32" w:rsidRPr="003F609F" w:rsidRDefault="000D1B32" w:rsidP="003F609F">
      <w:pPr>
        <w:jc w:val="both"/>
        <w:rPr>
          <w:rFonts w:ascii="Book Antiqua" w:hAnsi="Book Antiqua" w:cs="Arial"/>
        </w:rPr>
      </w:pPr>
    </w:p>
    <w:p w:rsidR="00A26204" w:rsidRDefault="00B1380C" w:rsidP="008D2A8E">
      <w:pPr>
        <w:pStyle w:val="ListParagraph"/>
        <w:numPr>
          <w:ilvl w:val="0"/>
          <w:numId w:val="1"/>
        </w:numPr>
        <w:jc w:val="both"/>
        <w:rPr>
          <w:rFonts w:ascii="Book Antiqua" w:hAnsi="Book Antiqua" w:cs="Arial"/>
        </w:rPr>
      </w:pPr>
      <w:r>
        <w:rPr>
          <w:rFonts w:ascii="Book Antiqua" w:hAnsi="Book Antiqua" w:cs="Arial"/>
        </w:rPr>
        <w:t xml:space="preserve">Mr </w:t>
      </w:r>
      <w:r w:rsidR="001B4BAE">
        <w:rPr>
          <w:rFonts w:ascii="Book Antiqua" w:hAnsi="Book Antiqua" w:cs="Arial"/>
        </w:rPr>
        <w:t>[D]</w:t>
      </w:r>
      <w:r w:rsidR="0045651B">
        <w:rPr>
          <w:rFonts w:ascii="Book Antiqua" w:hAnsi="Book Antiqua" w:cs="Arial"/>
        </w:rPr>
        <w:t xml:space="preserve"> </w:t>
      </w:r>
      <w:r w:rsidR="003F609F">
        <w:rPr>
          <w:rFonts w:ascii="Book Antiqua" w:hAnsi="Book Antiqua" w:cs="Arial"/>
        </w:rPr>
        <w:t xml:space="preserve">is </w:t>
      </w:r>
      <w:r w:rsidR="00DD240B">
        <w:rPr>
          <w:rFonts w:ascii="Book Antiqua" w:hAnsi="Book Antiqua" w:cs="Arial"/>
        </w:rPr>
        <w:t xml:space="preserve">a citizen of </w:t>
      </w:r>
      <w:r w:rsidR="003F609F">
        <w:rPr>
          <w:rFonts w:ascii="Book Antiqua" w:hAnsi="Book Antiqua" w:cs="Arial"/>
        </w:rPr>
        <w:t>Vietnam</w:t>
      </w:r>
      <w:r w:rsidR="00A26204">
        <w:rPr>
          <w:rFonts w:ascii="Book Antiqua" w:hAnsi="Book Antiqua" w:cs="Arial"/>
        </w:rPr>
        <w:t xml:space="preserve"> who was born in 1973</w:t>
      </w:r>
      <w:r w:rsidR="00AB5B6A">
        <w:rPr>
          <w:rFonts w:ascii="Book Antiqua" w:hAnsi="Book Antiqua" w:cs="Arial"/>
        </w:rPr>
        <w:t xml:space="preserve"> and is therefore 45 years old. </w:t>
      </w:r>
      <w:r w:rsidR="00DD240B">
        <w:rPr>
          <w:rFonts w:ascii="Book Antiqua" w:hAnsi="Book Antiqua" w:cs="Arial"/>
        </w:rPr>
        <w:t xml:space="preserve"> </w:t>
      </w:r>
      <w:r w:rsidR="005D64F6">
        <w:rPr>
          <w:rFonts w:ascii="Book Antiqua" w:hAnsi="Book Antiqua" w:cs="Arial"/>
        </w:rPr>
        <w:t xml:space="preserve"> </w:t>
      </w:r>
      <w:r w:rsidR="00AE4F5D">
        <w:rPr>
          <w:rFonts w:ascii="Book Antiqua" w:hAnsi="Book Antiqua" w:cs="Arial"/>
        </w:rPr>
        <w:t xml:space="preserve">On 3 November 2016, the SSHD made a decision to deport him to Vietnam.  </w:t>
      </w:r>
      <w:r w:rsidR="000D1B32">
        <w:rPr>
          <w:rFonts w:ascii="Book Antiqua" w:hAnsi="Book Antiqua" w:cs="Arial"/>
        </w:rPr>
        <w:t>In a decision dated 27 July 2017</w:t>
      </w:r>
      <w:r w:rsidR="00AE4F5D">
        <w:rPr>
          <w:rFonts w:ascii="Book Antiqua" w:hAnsi="Book Antiqua" w:cs="Arial"/>
        </w:rPr>
        <w:t>,</w:t>
      </w:r>
      <w:r w:rsidR="000D1B32">
        <w:rPr>
          <w:rFonts w:ascii="Book Antiqua" w:hAnsi="Book Antiqua" w:cs="Arial"/>
        </w:rPr>
        <w:t xml:space="preserve"> I found that the decision of the First-tier Tribunal </w:t>
      </w:r>
      <w:r w:rsidR="002D0356">
        <w:rPr>
          <w:rFonts w:ascii="Book Antiqua" w:hAnsi="Book Antiqua" w:cs="Arial"/>
        </w:rPr>
        <w:t xml:space="preserve">(‘FTT’) </w:t>
      </w:r>
      <w:r w:rsidR="000D1B32">
        <w:rPr>
          <w:rFonts w:ascii="Book Antiqua" w:hAnsi="Book Antiqua" w:cs="Arial"/>
        </w:rPr>
        <w:t xml:space="preserve">allowing the appeal on Article 8 grounds </w:t>
      </w:r>
      <w:r w:rsidR="00AB5B6A">
        <w:rPr>
          <w:rFonts w:ascii="Book Antiqua" w:hAnsi="Book Antiqua" w:cs="Arial"/>
        </w:rPr>
        <w:t xml:space="preserve">dated 17 January </w:t>
      </w:r>
      <w:r w:rsidR="00AB5B6A">
        <w:rPr>
          <w:rFonts w:ascii="Book Antiqua" w:hAnsi="Book Antiqua" w:cs="Arial"/>
        </w:rPr>
        <w:lastRenderedPageBreak/>
        <w:t xml:space="preserve">2017, </w:t>
      </w:r>
      <w:r w:rsidR="000D1B32">
        <w:rPr>
          <w:rFonts w:ascii="Book Antiqua" w:hAnsi="Book Antiqua" w:cs="Arial"/>
        </w:rPr>
        <w:t>contained an error of law and should be remade by me.</w:t>
      </w:r>
      <w:r w:rsidR="00DD240B">
        <w:rPr>
          <w:rFonts w:ascii="Book Antiqua" w:hAnsi="Book Antiqua" w:cs="Arial"/>
        </w:rPr>
        <w:t xml:space="preserve"> </w:t>
      </w:r>
      <w:r w:rsidR="00AB5B6A">
        <w:rPr>
          <w:rFonts w:ascii="Book Antiqua" w:hAnsi="Book Antiqua" w:cs="Arial"/>
        </w:rPr>
        <w:t xml:space="preserve"> I now remake the decision.</w:t>
      </w:r>
    </w:p>
    <w:p w:rsidR="00A26204" w:rsidRDefault="00A26204" w:rsidP="00A26204">
      <w:pPr>
        <w:jc w:val="both"/>
        <w:rPr>
          <w:rFonts w:ascii="Book Antiqua" w:hAnsi="Book Antiqua" w:cs="Arial"/>
        </w:rPr>
      </w:pPr>
    </w:p>
    <w:p w:rsidR="00A26204" w:rsidRPr="00A26204" w:rsidRDefault="00A26204" w:rsidP="00A26204">
      <w:pPr>
        <w:jc w:val="both"/>
        <w:rPr>
          <w:rFonts w:ascii="Book Antiqua" w:hAnsi="Book Antiqua" w:cs="Arial"/>
          <w:b/>
        </w:rPr>
      </w:pPr>
      <w:r w:rsidRPr="00A26204">
        <w:rPr>
          <w:rFonts w:ascii="Book Antiqua" w:hAnsi="Book Antiqua" w:cs="Arial"/>
          <w:b/>
        </w:rPr>
        <w:t>Background facts</w:t>
      </w:r>
    </w:p>
    <w:p w:rsidR="00A26204" w:rsidRPr="00A26204" w:rsidRDefault="00A26204" w:rsidP="00A26204">
      <w:pPr>
        <w:jc w:val="both"/>
        <w:rPr>
          <w:rFonts w:ascii="Book Antiqua" w:hAnsi="Book Antiqua" w:cs="Arial"/>
        </w:rPr>
      </w:pPr>
    </w:p>
    <w:p w:rsidR="00AB5B6A" w:rsidRDefault="00B1380C" w:rsidP="000D1B32">
      <w:pPr>
        <w:pStyle w:val="ListParagraph"/>
        <w:numPr>
          <w:ilvl w:val="0"/>
          <w:numId w:val="1"/>
        </w:numPr>
        <w:jc w:val="both"/>
        <w:rPr>
          <w:rFonts w:ascii="Book Antiqua" w:hAnsi="Book Antiqua" w:cs="Arial"/>
        </w:rPr>
      </w:pPr>
      <w:r>
        <w:rPr>
          <w:rFonts w:ascii="Book Antiqua" w:hAnsi="Book Antiqua" w:cs="Arial"/>
        </w:rPr>
        <w:t xml:space="preserve">Mr </w:t>
      </w:r>
      <w:r w:rsidR="001B4BAE">
        <w:rPr>
          <w:rFonts w:ascii="Book Antiqua" w:hAnsi="Book Antiqua" w:cs="Arial"/>
        </w:rPr>
        <w:t>[D]</w:t>
      </w:r>
      <w:r w:rsidR="00DD240B">
        <w:rPr>
          <w:rFonts w:ascii="Book Antiqua" w:hAnsi="Book Antiqua" w:cs="Arial"/>
        </w:rPr>
        <w:t xml:space="preserve"> </w:t>
      </w:r>
      <w:r w:rsidR="00386D42">
        <w:rPr>
          <w:rFonts w:ascii="Book Antiqua" w:hAnsi="Book Antiqua" w:cs="Arial"/>
        </w:rPr>
        <w:t>arrived in the U</w:t>
      </w:r>
      <w:r w:rsidR="00260F64">
        <w:rPr>
          <w:rFonts w:ascii="Book Antiqua" w:hAnsi="Book Antiqua" w:cs="Arial"/>
        </w:rPr>
        <w:t xml:space="preserve">nited </w:t>
      </w:r>
      <w:r w:rsidR="00386D42">
        <w:rPr>
          <w:rFonts w:ascii="Book Antiqua" w:hAnsi="Book Antiqua" w:cs="Arial"/>
        </w:rPr>
        <w:t>K</w:t>
      </w:r>
      <w:r w:rsidR="00260F64">
        <w:rPr>
          <w:rFonts w:ascii="Book Antiqua" w:hAnsi="Book Antiqua" w:cs="Arial"/>
        </w:rPr>
        <w:t>ingdom</w:t>
      </w:r>
      <w:r w:rsidR="00386D42">
        <w:rPr>
          <w:rFonts w:ascii="Book Antiqua" w:hAnsi="Book Antiqua" w:cs="Arial"/>
        </w:rPr>
        <w:t xml:space="preserve"> </w:t>
      </w:r>
      <w:r w:rsidR="000D1B32">
        <w:rPr>
          <w:rFonts w:ascii="Book Antiqua" w:hAnsi="Book Antiqua" w:cs="Arial"/>
        </w:rPr>
        <w:t xml:space="preserve">(‘UK’) </w:t>
      </w:r>
      <w:r w:rsidR="00A26204">
        <w:rPr>
          <w:rFonts w:ascii="Book Antiqua" w:hAnsi="Book Antiqua" w:cs="Arial"/>
        </w:rPr>
        <w:t xml:space="preserve">when he was a </w:t>
      </w:r>
      <w:r w:rsidR="007237D8">
        <w:rPr>
          <w:rFonts w:ascii="Book Antiqua" w:hAnsi="Book Antiqua" w:cs="Arial"/>
        </w:rPr>
        <w:t>13-year-old</w:t>
      </w:r>
      <w:r w:rsidR="005D64F6">
        <w:rPr>
          <w:rFonts w:ascii="Book Antiqua" w:hAnsi="Book Antiqua" w:cs="Arial"/>
        </w:rPr>
        <w:t xml:space="preserve"> child,</w:t>
      </w:r>
      <w:r w:rsidR="00A26204">
        <w:rPr>
          <w:rFonts w:ascii="Book Antiqua" w:hAnsi="Book Antiqua" w:cs="Arial"/>
        </w:rPr>
        <w:t xml:space="preserve"> in 1986 on a settlement/refugee visa, together with his family</w:t>
      </w:r>
      <w:r w:rsidR="00AB5B6A">
        <w:rPr>
          <w:rFonts w:ascii="Book Antiqua" w:hAnsi="Book Antiqua" w:cs="Arial"/>
        </w:rPr>
        <w:t>, as one of the ‘boat people’</w:t>
      </w:r>
      <w:r w:rsidR="00386D42">
        <w:rPr>
          <w:rFonts w:ascii="Book Antiqua" w:hAnsi="Book Antiqua" w:cs="Arial"/>
        </w:rPr>
        <w:t xml:space="preserve">.  </w:t>
      </w:r>
      <w:r w:rsidR="00AB5B6A">
        <w:rPr>
          <w:rFonts w:ascii="Book Antiqua" w:hAnsi="Book Antiqua" w:cs="Arial"/>
        </w:rPr>
        <w:t xml:space="preserve">The difficult and traumatic circumstances of the ‘boat people’ </w:t>
      </w:r>
      <w:r w:rsidR="006B668B">
        <w:rPr>
          <w:rFonts w:ascii="Book Antiqua" w:hAnsi="Book Antiqua" w:cs="Arial"/>
        </w:rPr>
        <w:t>are</w:t>
      </w:r>
      <w:r w:rsidR="00AB5B6A">
        <w:rPr>
          <w:rFonts w:ascii="Book Antiqua" w:hAnsi="Book Antiqua" w:cs="Arial"/>
        </w:rPr>
        <w:t xml:space="preserve"> well known.  They </w:t>
      </w:r>
      <w:r w:rsidR="00A26204">
        <w:rPr>
          <w:rFonts w:ascii="Book Antiqua" w:hAnsi="Book Antiqua" w:cs="Arial"/>
        </w:rPr>
        <w:t>were granted leave to enter for an indefinite period.</w:t>
      </w:r>
      <w:r w:rsidR="000D1B32">
        <w:rPr>
          <w:rFonts w:ascii="Book Antiqua" w:hAnsi="Book Antiqua" w:cs="Arial"/>
        </w:rPr>
        <w:t xml:space="preserve">  He has therefore been in the UK for 32 years</w:t>
      </w:r>
      <w:r w:rsidR="002D0356">
        <w:rPr>
          <w:rFonts w:ascii="Book Antiqua" w:hAnsi="Book Antiqua" w:cs="Arial"/>
        </w:rPr>
        <w:t xml:space="preserve"> alongside his parents and siblings</w:t>
      </w:r>
      <w:r w:rsidR="006D084E">
        <w:rPr>
          <w:rFonts w:ascii="Book Antiqua" w:hAnsi="Book Antiqua" w:cs="Arial"/>
        </w:rPr>
        <w:t xml:space="preserve"> (three sisters and two brothers)</w:t>
      </w:r>
      <w:r w:rsidR="005D64F6">
        <w:rPr>
          <w:rFonts w:ascii="Book Antiqua" w:hAnsi="Book Antiqua" w:cs="Arial"/>
        </w:rPr>
        <w:t>, with settled status</w:t>
      </w:r>
      <w:r w:rsidR="000D1B32">
        <w:rPr>
          <w:rFonts w:ascii="Book Antiqua" w:hAnsi="Book Antiqua" w:cs="Arial"/>
        </w:rPr>
        <w:t xml:space="preserve">. </w:t>
      </w:r>
    </w:p>
    <w:p w:rsidR="00AB5B6A" w:rsidRDefault="00AB5B6A" w:rsidP="00AB5B6A">
      <w:pPr>
        <w:pStyle w:val="ListParagraph"/>
        <w:ind w:left="1280"/>
        <w:jc w:val="both"/>
        <w:rPr>
          <w:rFonts w:ascii="Book Antiqua" w:hAnsi="Book Antiqua" w:cs="Arial"/>
        </w:rPr>
      </w:pPr>
    </w:p>
    <w:p w:rsidR="00DD240B" w:rsidRPr="000D1B32" w:rsidRDefault="00B1380C" w:rsidP="000D1B32">
      <w:pPr>
        <w:pStyle w:val="ListParagraph"/>
        <w:numPr>
          <w:ilvl w:val="0"/>
          <w:numId w:val="1"/>
        </w:numPr>
        <w:jc w:val="both"/>
        <w:rPr>
          <w:rFonts w:ascii="Book Antiqua" w:hAnsi="Book Antiqua" w:cs="Arial"/>
        </w:rPr>
      </w:pPr>
      <w:r w:rsidRPr="000D1B32">
        <w:rPr>
          <w:rFonts w:ascii="Book Antiqua" w:hAnsi="Book Antiqua" w:cs="Arial"/>
        </w:rPr>
        <w:t xml:space="preserve">Mr </w:t>
      </w:r>
      <w:r w:rsidR="001B4BAE">
        <w:rPr>
          <w:rFonts w:ascii="Book Antiqua" w:hAnsi="Book Antiqua" w:cs="Arial"/>
        </w:rPr>
        <w:t>[D]</w:t>
      </w:r>
      <w:r w:rsidR="00386D42" w:rsidRPr="000D1B32">
        <w:rPr>
          <w:rFonts w:ascii="Book Antiqua" w:hAnsi="Book Antiqua" w:cs="Arial"/>
        </w:rPr>
        <w:t xml:space="preserve"> </w:t>
      </w:r>
      <w:r w:rsidR="0045651B" w:rsidRPr="000D1B32">
        <w:rPr>
          <w:rFonts w:ascii="Book Antiqua" w:hAnsi="Book Antiqua" w:cs="Arial"/>
        </w:rPr>
        <w:t xml:space="preserve">has </w:t>
      </w:r>
      <w:r w:rsidR="00A26204" w:rsidRPr="000D1B32">
        <w:rPr>
          <w:rFonts w:ascii="Book Antiqua" w:hAnsi="Book Antiqua" w:cs="Arial"/>
        </w:rPr>
        <w:t>been convicted of a range of criminal offences</w:t>
      </w:r>
      <w:r w:rsidR="00AB5B6A">
        <w:rPr>
          <w:rFonts w:ascii="Book Antiqua" w:hAnsi="Book Antiqua" w:cs="Arial"/>
        </w:rPr>
        <w:t xml:space="preserve"> between 1995 and 2007</w:t>
      </w:r>
      <w:r w:rsidR="00A26204" w:rsidRPr="000D1B32">
        <w:rPr>
          <w:rFonts w:ascii="Book Antiqua" w:hAnsi="Book Antiqua" w:cs="Arial"/>
        </w:rPr>
        <w:t>.</w:t>
      </w:r>
      <w:r w:rsidR="00AB5B6A">
        <w:rPr>
          <w:rFonts w:ascii="Book Antiqua" w:hAnsi="Book Antiqua" w:cs="Arial"/>
        </w:rPr>
        <w:t xml:space="preserve">  </w:t>
      </w:r>
      <w:r w:rsidR="00A26204" w:rsidRPr="000D1B32">
        <w:rPr>
          <w:rFonts w:ascii="Book Antiqua" w:hAnsi="Book Antiqua" w:cs="Arial"/>
        </w:rPr>
        <w:t xml:space="preserve"> More recently, in 2012, he was sentenced to two years and three months imprisonment for </w:t>
      </w:r>
      <w:r w:rsidR="00AB5B6A">
        <w:rPr>
          <w:rFonts w:ascii="Book Antiqua" w:hAnsi="Book Antiqua" w:cs="Arial"/>
        </w:rPr>
        <w:t xml:space="preserve">the </w:t>
      </w:r>
      <w:r w:rsidR="00A26204" w:rsidRPr="000D1B32">
        <w:rPr>
          <w:rFonts w:ascii="Book Antiqua" w:hAnsi="Book Antiqua" w:cs="Arial"/>
        </w:rPr>
        <w:t xml:space="preserve">production of cannabis.  </w:t>
      </w:r>
      <w:r w:rsidR="002D0356">
        <w:rPr>
          <w:rFonts w:ascii="Book Antiqua" w:hAnsi="Book Antiqua" w:cs="Arial"/>
        </w:rPr>
        <w:t xml:space="preserve">He has explained that his offending took place at a time when he was young and with drug, alcohol and gambling dependencies.  Since his release from prison in February 2013, he </w:t>
      </w:r>
      <w:r w:rsidR="00AB5B6A">
        <w:rPr>
          <w:rFonts w:ascii="Book Antiqua" w:hAnsi="Book Antiqua" w:cs="Arial"/>
        </w:rPr>
        <w:t xml:space="preserve">has </w:t>
      </w:r>
      <w:r w:rsidR="002D0356">
        <w:rPr>
          <w:rFonts w:ascii="Book Antiqua" w:hAnsi="Book Antiqua" w:cs="Arial"/>
        </w:rPr>
        <w:t>not reoffended.</w:t>
      </w:r>
    </w:p>
    <w:p w:rsidR="00260F64" w:rsidRPr="00260F64" w:rsidRDefault="00260F64" w:rsidP="00260F64">
      <w:pPr>
        <w:rPr>
          <w:rFonts w:ascii="Book Antiqua" w:hAnsi="Book Antiqua"/>
          <w:b/>
        </w:rPr>
      </w:pPr>
    </w:p>
    <w:p w:rsidR="00260F64" w:rsidRPr="00260F64" w:rsidRDefault="00260F64" w:rsidP="00260F64">
      <w:pPr>
        <w:rPr>
          <w:rFonts w:ascii="Book Antiqua" w:hAnsi="Book Antiqua" w:cs="Arial"/>
          <w:b/>
        </w:rPr>
      </w:pPr>
      <w:r w:rsidRPr="00260F64">
        <w:rPr>
          <w:rFonts w:ascii="Book Antiqua" w:hAnsi="Book Antiqua"/>
          <w:b/>
        </w:rPr>
        <w:t>Hearing</w:t>
      </w:r>
    </w:p>
    <w:p w:rsidR="005E52D9" w:rsidRPr="005E52D9" w:rsidRDefault="005E52D9" w:rsidP="00260F64">
      <w:pPr>
        <w:rPr>
          <w:rFonts w:ascii="Book Antiqua" w:hAnsi="Book Antiqua"/>
          <w:i/>
        </w:rPr>
      </w:pPr>
    </w:p>
    <w:p w:rsidR="005E52D9" w:rsidRPr="005E52D9" w:rsidRDefault="005E52D9" w:rsidP="00260F64">
      <w:pPr>
        <w:rPr>
          <w:rFonts w:ascii="Book Antiqua" w:hAnsi="Book Antiqua" w:cs="Arial"/>
          <w:i/>
        </w:rPr>
      </w:pPr>
      <w:r w:rsidRPr="005E52D9">
        <w:rPr>
          <w:rFonts w:ascii="Book Antiqua" w:hAnsi="Book Antiqua"/>
          <w:i/>
        </w:rPr>
        <w:t>Issue</w:t>
      </w:r>
      <w:r>
        <w:rPr>
          <w:rFonts w:ascii="Book Antiqua" w:hAnsi="Book Antiqua"/>
          <w:i/>
        </w:rPr>
        <w:t>s</w:t>
      </w:r>
      <w:r w:rsidRPr="005E52D9">
        <w:rPr>
          <w:rFonts w:ascii="Book Antiqua" w:hAnsi="Book Antiqua"/>
          <w:i/>
        </w:rPr>
        <w:t xml:space="preserve"> in dispute</w:t>
      </w:r>
    </w:p>
    <w:p w:rsidR="005E52D9" w:rsidRPr="005E52D9" w:rsidRDefault="005E52D9" w:rsidP="005E52D9">
      <w:pPr>
        <w:rPr>
          <w:rFonts w:ascii="Book Antiqua" w:hAnsi="Book Antiqua" w:cs="Arial"/>
        </w:rPr>
      </w:pPr>
    </w:p>
    <w:p w:rsidR="002D0356" w:rsidRDefault="00260F64" w:rsidP="000D1B32">
      <w:pPr>
        <w:pStyle w:val="ListParagraph"/>
        <w:numPr>
          <w:ilvl w:val="0"/>
          <w:numId w:val="1"/>
        </w:numPr>
        <w:jc w:val="both"/>
        <w:rPr>
          <w:rFonts w:ascii="Book Antiqua" w:hAnsi="Book Antiqua" w:cs="Arial"/>
        </w:rPr>
      </w:pPr>
      <w:r w:rsidRPr="00415485">
        <w:rPr>
          <w:rFonts w:ascii="Book Antiqua" w:hAnsi="Book Antiqua" w:cs="Arial"/>
        </w:rPr>
        <w:t xml:space="preserve">At the </w:t>
      </w:r>
      <w:r w:rsidR="000D1B32">
        <w:rPr>
          <w:rFonts w:ascii="Book Antiqua" w:hAnsi="Book Antiqua" w:cs="Arial"/>
        </w:rPr>
        <w:t xml:space="preserve">beginning of the </w:t>
      </w:r>
      <w:r w:rsidRPr="00415485">
        <w:rPr>
          <w:rFonts w:ascii="Book Antiqua" w:hAnsi="Book Antiqua" w:cs="Arial"/>
        </w:rPr>
        <w:t xml:space="preserve">hearing </w:t>
      </w:r>
      <w:r w:rsidR="00AE4F5D">
        <w:rPr>
          <w:rFonts w:ascii="Book Antiqua" w:hAnsi="Book Antiqua" w:cs="Arial"/>
        </w:rPr>
        <w:t>Mr Ell clarified that given the FTT’s preserved findings, the only ground relied upon to cha</w:t>
      </w:r>
      <w:r w:rsidR="00AB5B6A">
        <w:rPr>
          <w:rFonts w:ascii="Book Antiqua" w:hAnsi="Book Antiqua" w:cs="Arial"/>
        </w:rPr>
        <w:t xml:space="preserve">llenge Mr </w:t>
      </w:r>
      <w:r w:rsidR="001B4BAE">
        <w:rPr>
          <w:rFonts w:ascii="Book Antiqua" w:hAnsi="Book Antiqua" w:cs="Arial"/>
        </w:rPr>
        <w:t>[D]</w:t>
      </w:r>
      <w:r w:rsidR="00AB5B6A">
        <w:rPr>
          <w:rFonts w:ascii="Book Antiqua" w:hAnsi="Book Antiqua" w:cs="Arial"/>
        </w:rPr>
        <w:t>’s deportation</w:t>
      </w:r>
      <w:r w:rsidR="005D64F6">
        <w:rPr>
          <w:rFonts w:ascii="Book Antiqua" w:hAnsi="Book Antiqua" w:cs="Arial"/>
        </w:rPr>
        <w:t xml:space="preserve"> </w:t>
      </w:r>
      <w:r w:rsidR="00AB5B6A">
        <w:rPr>
          <w:rFonts w:ascii="Book Antiqua" w:hAnsi="Book Antiqua" w:cs="Arial"/>
        </w:rPr>
        <w:t>i</w:t>
      </w:r>
      <w:r w:rsidR="00AE4F5D">
        <w:rPr>
          <w:rFonts w:ascii="Book Antiqua" w:hAnsi="Book Antiqua" w:cs="Arial"/>
        </w:rPr>
        <w:t>s Article 8 of the ECHR.  B</w:t>
      </w:r>
      <w:r w:rsidR="000D1B32">
        <w:rPr>
          <w:rFonts w:ascii="Book Antiqua" w:hAnsi="Book Antiqua" w:cs="Arial"/>
        </w:rPr>
        <w:t>oth representatives agreed that the only remaining issues</w:t>
      </w:r>
      <w:r w:rsidR="002D0356">
        <w:rPr>
          <w:rFonts w:ascii="Book Antiqua" w:hAnsi="Book Antiqua" w:cs="Arial"/>
        </w:rPr>
        <w:t xml:space="preserve"> in dispute</w:t>
      </w:r>
      <w:r w:rsidR="00AE4F5D">
        <w:rPr>
          <w:rFonts w:ascii="Book Antiqua" w:hAnsi="Book Antiqua" w:cs="Arial"/>
        </w:rPr>
        <w:t>,</w:t>
      </w:r>
      <w:r w:rsidR="000D1B32">
        <w:rPr>
          <w:rFonts w:ascii="Book Antiqua" w:hAnsi="Book Antiqua" w:cs="Arial"/>
        </w:rPr>
        <w:t xml:space="preserve"> </w:t>
      </w:r>
      <w:r w:rsidR="00AE4F5D">
        <w:rPr>
          <w:rFonts w:ascii="Book Antiqua" w:hAnsi="Book Antiqua" w:cs="Arial"/>
        </w:rPr>
        <w:t xml:space="preserve">relevant to Article 8, </w:t>
      </w:r>
      <w:r w:rsidR="000D1B32">
        <w:rPr>
          <w:rFonts w:ascii="Book Antiqua" w:hAnsi="Book Antiqua" w:cs="Arial"/>
        </w:rPr>
        <w:t>g</w:t>
      </w:r>
      <w:r w:rsidR="000D1B32" w:rsidRPr="000D1B32">
        <w:rPr>
          <w:rFonts w:ascii="Book Antiqua" w:hAnsi="Book Antiqua" w:cs="Arial"/>
        </w:rPr>
        <w:t>iven the preserved findings of the FTT together with the updated evidence available to me</w:t>
      </w:r>
      <w:r w:rsidR="00AE4F5D">
        <w:rPr>
          <w:rFonts w:ascii="Book Antiqua" w:hAnsi="Book Antiqua" w:cs="Arial"/>
        </w:rPr>
        <w:t>,</w:t>
      </w:r>
      <w:r w:rsidR="000D1B32">
        <w:rPr>
          <w:rFonts w:ascii="Book Antiqua" w:hAnsi="Book Antiqua" w:cs="Arial"/>
        </w:rPr>
        <w:t xml:space="preserve"> </w:t>
      </w:r>
      <w:r w:rsidR="002D0356">
        <w:rPr>
          <w:rFonts w:ascii="Book Antiqua" w:hAnsi="Book Antiqua" w:cs="Arial"/>
        </w:rPr>
        <w:t xml:space="preserve">are as follows: </w:t>
      </w:r>
    </w:p>
    <w:p w:rsidR="002D0356" w:rsidRDefault="002D0356" w:rsidP="002D0356">
      <w:pPr>
        <w:pStyle w:val="ListParagraph"/>
        <w:ind w:left="1280"/>
        <w:jc w:val="both"/>
        <w:rPr>
          <w:rFonts w:ascii="Book Antiqua" w:hAnsi="Book Antiqua" w:cs="Arial"/>
        </w:rPr>
      </w:pPr>
    </w:p>
    <w:p w:rsidR="002D0356" w:rsidRDefault="000D1B32" w:rsidP="0072295F">
      <w:pPr>
        <w:pStyle w:val="ListParagraph"/>
        <w:numPr>
          <w:ilvl w:val="0"/>
          <w:numId w:val="3"/>
        </w:numPr>
        <w:jc w:val="both"/>
        <w:rPr>
          <w:rFonts w:ascii="Book Antiqua" w:hAnsi="Book Antiqua" w:cs="Arial"/>
        </w:rPr>
      </w:pPr>
      <w:r>
        <w:rPr>
          <w:rFonts w:ascii="Book Antiqua" w:hAnsi="Book Antiqua" w:cs="Arial"/>
        </w:rPr>
        <w:t xml:space="preserve">does Mr </w:t>
      </w:r>
      <w:r w:rsidR="001B4BAE">
        <w:rPr>
          <w:rFonts w:ascii="Book Antiqua" w:hAnsi="Book Antiqua" w:cs="Arial"/>
        </w:rPr>
        <w:t>[D]</w:t>
      </w:r>
      <w:r>
        <w:rPr>
          <w:rFonts w:ascii="Book Antiqua" w:hAnsi="Book Antiqua" w:cs="Arial"/>
        </w:rPr>
        <w:t xml:space="preserve"> meet the requirements of section 117C(4)(c)</w:t>
      </w:r>
      <w:r w:rsidR="005D64F6">
        <w:rPr>
          <w:rFonts w:ascii="Book Antiqua" w:hAnsi="Book Antiqua" w:cs="Arial"/>
        </w:rPr>
        <w:t>?</w:t>
      </w:r>
      <w:r>
        <w:rPr>
          <w:rFonts w:ascii="Book Antiqua" w:hAnsi="Book Antiqua" w:cs="Arial"/>
        </w:rPr>
        <w:t xml:space="preserve"> </w:t>
      </w:r>
    </w:p>
    <w:p w:rsidR="000D1B32" w:rsidRDefault="00AB5B6A" w:rsidP="0072295F">
      <w:pPr>
        <w:pStyle w:val="ListParagraph"/>
        <w:numPr>
          <w:ilvl w:val="0"/>
          <w:numId w:val="3"/>
        </w:numPr>
        <w:jc w:val="both"/>
        <w:rPr>
          <w:rFonts w:ascii="Book Antiqua" w:hAnsi="Book Antiqua" w:cs="Arial"/>
        </w:rPr>
      </w:pPr>
      <w:r>
        <w:rPr>
          <w:rFonts w:ascii="Book Antiqua" w:hAnsi="Book Antiqua" w:cs="Arial"/>
        </w:rPr>
        <w:t xml:space="preserve">if not, </w:t>
      </w:r>
      <w:r w:rsidR="000D1B32">
        <w:rPr>
          <w:rFonts w:ascii="Book Antiqua" w:hAnsi="Book Antiqua" w:cs="Arial"/>
        </w:rPr>
        <w:t xml:space="preserve">are there </w:t>
      </w:r>
      <w:r>
        <w:rPr>
          <w:rFonts w:ascii="Book Antiqua" w:hAnsi="Book Antiqua" w:cs="Arial"/>
        </w:rPr>
        <w:t>‘</w:t>
      </w:r>
      <w:r w:rsidR="000D1B32">
        <w:rPr>
          <w:rFonts w:ascii="Book Antiqua" w:hAnsi="Book Antiqua" w:cs="Arial"/>
        </w:rPr>
        <w:t>very compelling circumstances</w:t>
      </w:r>
      <w:r>
        <w:rPr>
          <w:rFonts w:ascii="Book Antiqua" w:hAnsi="Book Antiqua" w:cs="Arial"/>
        </w:rPr>
        <w:t>’</w:t>
      </w:r>
      <w:r w:rsidR="000D1B32">
        <w:rPr>
          <w:rFonts w:ascii="Book Antiqua" w:hAnsi="Book Antiqua" w:cs="Arial"/>
        </w:rPr>
        <w:t xml:space="preserve"> to nevertheless justify allowing </w:t>
      </w:r>
      <w:r w:rsidR="00601E94">
        <w:rPr>
          <w:rFonts w:ascii="Book Antiqua" w:hAnsi="Book Antiqua" w:cs="Arial"/>
        </w:rPr>
        <w:t>the appeal on Article 8 grounds?</w:t>
      </w:r>
    </w:p>
    <w:p w:rsidR="000D1B32" w:rsidRDefault="000D1B32" w:rsidP="005E52D9">
      <w:pPr>
        <w:jc w:val="both"/>
        <w:rPr>
          <w:rFonts w:ascii="Book Antiqua" w:hAnsi="Book Antiqua" w:cs="Arial"/>
        </w:rPr>
      </w:pPr>
    </w:p>
    <w:p w:rsidR="005E52D9" w:rsidRPr="005E52D9" w:rsidRDefault="005E52D9" w:rsidP="005E52D9">
      <w:pPr>
        <w:jc w:val="both"/>
        <w:rPr>
          <w:rFonts w:ascii="Book Antiqua" w:hAnsi="Book Antiqua" w:cs="Arial"/>
          <w:i/>
        </w:rPr>
      </w:pPr>
      <w:r w:rsidRPr="005E52D9">
        <w:rPr>
          <w:rFonts w:ascii="Book Antiqua" w:hAnsi="Book Antiqua" w:cs="Arial"/>
          <w:i/>
        </w:rPr>
        <w:t>Oral evidence</w:t>
      </w:r>
    </w:p>
    <w:p w:rsidR="005E52D9" w:rsidRPr="005E52D9" w:rsidRDefault="005E52D9" w:rsidP="005E52D9">
      <w:pPr>
        <w:jc w:val="both"/>
        <w:rPr>
          <w:rFonts w:ascii="Book Antiqua" w:hAnsi="Book Antiqua" w:cs="Arial"/>
        </w:rPr>
      </w:pPr>
    </w:p>
    <w:p w:rsidR="005E52D9" w:rsidRDefault="000D1B32" w:rsidP="000D1B32">
      <w:pPr>
        <w:pStyle w:val="ListParagraph"/>
        <w:numPr>
          <w:ilvl w:val="0"/>
          <w:numId w:val="1"/>
        </w:numPr>
        <w:jc w:val="both"/>
        <w:rPr>
          <w:rFonts w:ascii="Book Antiqua" w:hAnsi="Book Antiqua" w:cs="Arial"/>
        </w:rPr>
      </w:pPr>
      <w:r>
        <w:rPr>
          <w:rFonts w:ascii="Book Antiqua" w:hAnsi="Book Antiqua" w:cs="Arial"/>
        </w:rPr>
        <w:t>I then heard evidence from t</w:t>
      </w:r>
      <w:r w:rsidR="005E52D9">
        <w:rPr>
          <w:rFonts w:ascii="Book Antiqua" w:hAnsi="Book Antiqua" w:cs="Arial"/>
        </w:rPr>
        <w:t xml:space="preserve">he </w:t>
      </w:r>
      <w:proofErr w:type="gramStart"/>
      <w:r>
        <w:rPr>
          <w:rFonts w:ascii="Book Antiqua" w:hAnsi="Book Antiqua" w:cs="Arial"/>
        </w:rPr>
        <w:t>appellant</w:t>
      </w:r>
      <w:r w:rsidR="002D0356">
        <w:rPr>
          <w:rFonts w:ascii="Book Antiqua" w:hAnsi="Book Antiqua" w:cs="Arial"/>
        </w:rPr>
        <w:t xml:space="preserve">  </w:t>
      </w:r>
      <w:r w:rsidR="00AB5B6A">
        <w:rPr>
          <w:rFonts w:ascii="Book Antiqua" w:hAnsi="Book Antiqua" w:cs="Arial"/>
        </w:rPr>
        <w:t>who</w:t>
      </w:r>
      <w:proofErr w:type="gramEnd"/>
      <w:r w:rsidR="00AB5B6A">
        <w:rPr>
          <w:rFonts w:ascii="Book Antiqua" w:hAnsi="Book Antiqua" w:cs="Arial"/>
        </w:rPr>
        <w:t xml:space="preserve"> was cross-examined by Mr Bates.</w:t>
      </w:r>
      <w:r w:rsidR="005E52D9">
        <w:rPr>
          <w:rFonts w:ascii="Book Antiqua" w:hAnsi="Book Antiqua" w:cs="Arial"/>
        </w:rPr>
        <w:t xml:space="preserve">  Mr </w:t>
      </w:r>
      <w:r w:rsidR="001B4BAE">
        <w:rPr>
          <w:rFonts w:ascii="Book Antiqua" w:hAnsi="Book Antiqua" w:cs="Arial"/>
        </w:rPr>
        <w:t>[D]</w:t>
      </w:r>
      <w:r w:rsidR="00AB5B6A">
        <w:rPr>
          <w:rFonts w:ascii="Book Antiqua" w:hAnsi="Book Antiqua" w:cs="Arial"/>
        </w:rPr>
        <w:t xml:space="preserve"> gave his evidence i</w:t>
      </w:r>
      <w:r w:rsidR="005E52D9">
        <w:rPr>
          <w:rFonts w:ascii="Book Antiqua" w:hAnsi="Book Antiqua" w:cs="Arial"/>
        </w:rPr>
        <w:t>n fluent English.  He</w:t>
      </w:r>
      <w:r w:rsidR="00AB5B6A">
        <w:rPr>
          <w:rFonts w:ascii="Book Antiqua" w:hAnsi="Book Antiqua" w:cs="Arial"/>
        </w:rPr>
        <w:t xml:space="preserve"> explained that he had been running a small take</w:t>
      </w:r>
      <w:r w:rsidR="005D64F6">
        <w:rPr>
          <w:rFonts w:ascii="Book Antiqua" w:hAnsi="Book Antiqua" w:cs="Arial"/>
        </w:rPr>
        <w:t>-</w:t>
      </w:r>
      <w:r w:rsidR="00AB5B6A">
        <w:rPr>
          <w:rFonts w:ascii="Book Antiqua" w:hAnsi="Book Antiqua" w:cs="Arial"/>
        </w:rPr>
        <w:t>away business called ‘Sea Breeze’ in Warrington from April 2018</w:t>
      </w:r>
      <w:r w:rsidR="005E52D9">
        <w:rPr>
          <w:rFonts w:ascii="Book Antiqua" w:hAnsi="Book Antiqua" w:cs="Arial"/>
        </w:rPr>
        <w:t xml:space="preserve">.  He paid £10,000 for the business, and was paying for this in instalments of £300 per month.  He therefore did not have any capital from the business to take with him to Vietnam.  He worked long hours, seven days a week.  He closed the business once a fortnight to visit his mother and disabled brother (‘B’), who both continue to reside in Birmingham.  </w:t>
      </w:r>
    </w:p>
    <w:p w:rsidR="005E52D9" w:rsidRDefault="005E52D9" w:rsidP="005E52D9">
      <w:pPr>
        <w:pStyle w:val="ListParagraph"/>
        <w:ind w:left="1280"/>
        <w:jc w:val="both"/>
        <w:rPr>
          <w:rFonts w:ascii="Book Antiqua" w:hAnsi="Book Antiqua" w:cs="Arial"/>
        </w:rPr>
      </w:pPr>
    </w:p>
    <w:p w:rsidR="00AB5B6A" w:rsidRDefault="005E52D9" w:rsidP="000D1B32">
      <w:pPr>
        <w:pStyle w:val="ListParagraph"/>
        <w:numPr>
          <w:ilvl w:val="0"/>
          <w:numId w:val="1"/>
        </w:numPr>
        <w:jc w:val="both"/>
        <w:rPr>
          <w:rFonts w:ascii="Book Antiqua" w:hAnsi="Book Antiqua" w:cs="Arial"/>
        </w:rPr>
      </w:pPr>
      <w:r>
        <w:rPr>
          <w:rFonts w:ascii="Book Antiqua" w:hAnsi="Book Antiqua" w:cs="Arial"/>
        </w:rPr>
        <w:t xml:space="preserve">Mr </w:t>
      </w:r>
      <w:r w:rsidR="001B4BAE">
        <w:rPr>
          <w:rFonts w:ascii="Book Antiqua" w:hAnsi="Book Antiqua" w:cs="Arial"/>
        </w:rPr>
        <w:t>[D]</w:t>
      </w:r>
      <w:r>
        <w:rPr>
          <w:rFonts w:ascii="Book Antiqua" w:hAnsi="Book Antiqua" w:cs="Arial"/>
        </w:rPr>
        <w:t xml:space="preserve"> confirmed that he speaks to his mother in Vietnamese and is therefore able to understand and speak basic Vietnamese.  Mr Bates pressed Mr </w:t>
      </w:r>
      <w:r w:rsidR="001B4BAE">
        <w:rPr>
          <w:rFonts w:ascii="Book Antiqua" w:hAnsi="Book Antiqua" w:cs="Arial"/>
        </w:rPr>
        <w:t>[D]</w:t>
      </w:r>
      <w:r>
        <w:rPr>
          <w:rFonts w:ascii="Book Antiqua" w:hAnsi="Book Antiqua" w:cs="Arial"/>
        </w:rPr>
        <w:t xml:space="preserve"> to </w:t>
      </w:r>
      <w:r>
        <w:rPr>
          <w:rFonts w:ascii="Book Antiqua" w:hAnsi="Book Antiqua" w:cs="Arial"/>
        </w:rPr>
        <w:lastRenderedPageBreak/>
        <w:t xml:space="preserve">acknowledge that with his English / Vietnamese, long experience as a chef and recent experience running a business, he would be well-placed to secure employment or start a business in Vietnam.  Mr </w:t>
      </w:r>
      <w:r w:rsidR="001B4BAE">
        <w:rPr>
          <w:rFonts w:ascii="Book Antiqua" w:hAnsi="Book Antiqua" w:cs="Arial"/>
        </w:rPr>
        <w:t>[D]</w:t>
      </w:r>
      <w:r>
        <w:rPr>
          <w:rFonts w:ascii="Book Antiqua" w:hAnsi="Book Antiqua" w:cs="Arial"/>
        </w:rPr>
        <w:t xml:space="preserve"> simply said that he did not know anything about Vietnam and had not thought about looking into jobs in Vietnam that required English skills.</w:t>
      </w:r>
    </w:p>
    <w:p w:rsidR="00AB5B6A" w:rsidRDefault="00AB5B6A" w:rsidP="005E52D9">
      <w:pPr>
        <w:jc w:val="both"/>
        <w:rPr>
          <w:rFonts w:ascii="Book Antiqua" w:hAnsi="Book Antiqua" w:cs="Arial"/>
        </w:rPr>
      </w:pPr>
    </w:p>
    <w:p w:rsidR="005E52D9" w:rsidRDefault="005E52D9" w:rsidP="005E52D9">
      <w:pPr>
        <w:jc w:val="both"/>
        <w:rPr>
          <w:rFonts w:ascii="Book Antiqua" w:hAnsi="Book Antiqua" w:cs="Arial"/>
          <w:i/>
        </w:rPr>
      </w:pPr>
      <w:r>
        <w:rPr>
          <w:rFonts w:ascii="Book Antiqua" w:hAnsi="Book Antiqua" w:cs="Arial"/>
          <w:i/>
        </w:rPr>
        <w:t>Submissions</w:t>
      </w:r>
    </w:p>
    <w:p w:rsidR="005E52D9" w:rsidRPr="005E52D9" w:rsidRDefault="005E52D9" w:rsidP="005E52D9">
      <w:pPr>
        <w:jc w:val="both"/>
        <w:rPr>
          <w:rFonts w:ascii="Book Antiqua" w:hAnsi="Book Antiqua" w:cs="Arial"/>
          <w:i/>
        </w:rPr>
      </w:pPr>
    </w:p>
    <w:p w:rsidR="00EC5022" w:rsidRDefault="00EC5022" w:rsidP="00D1693E">
      <w:pPr>
        <w:pStyle w:val="ListParagraph"/>
        <w:numPr>
          <w:ilvl w:val="0"/>
          <w:numId w:val="1"/>
        </w:numPr>
        <w:jc w:val="both"/>
        <w:rPr>
          <w:rFonts w:ascii="Book Antiqua" w:hAnsi="Book Antiqua" w:cs="Arial"/>
        </w:rPr>
      </w:pPr>
      <w:r w:rsidRPr="00D1693E">
        <w:rPr>
          <w:rFonts w:ascii="Book Antiqua" w:hAnsi="Book Antiqua" w:cs="Arial"/>
        </w:rPr>
        <w:t xml:space="preserve">Mr Bates submitted that although reintegration to Vietnam may well be difficult, Mr </w:t>
      </w:r>
      <w:r w:rsidR="001B4BAE">
        <w:rPr>
          <w:rFonts w:ascii="Book Antiqua" w:hAnsi="Book Antiqua" w:cs="Arial"/>
        </w:rPr>
        <w:t>[D]</w:t>
      </w:r>
      <w:r w:rsidRPr="00EC5022">
        <w:rPr>
          <w:rFonts w:ascii="Book Antiqua" w:hAnsi="Book Antiqua" w:cs="Arial"/>
        </w:rPr>
        <w:t xml:space="preserve"> has demonstrated</w:t>
      </w:r>
      <w:r w:rsidRPr="00D1693E">
        <w:rPr>
          <w:rFonts w:ascii="Book Antiqua" w:hAnsi="Book Antiqua" w:cs="Arial"/>
        </w:rPr>
        <w:t xml:space="preserve"> resilience</w:t>
      </w:r>
      <w:r>
        <w:rPr>
          <w:rFonts w:ascii="Book Antiqua" w:hAnsi="Book Antiqua" w:cs="Arial"/>
        </w:rPr>
        <w:t xml:space="preserve"> in recent years</w:t>
      </w:r>
      <w:r w:rsidRPr="00D1693E">
        <w:rPr>
          <w:rFonts w:ascii="Book Antiqua" w:hAnsi="Book Antiqua" w:cs="Arial"/>
        </w:rPr>
        <w:t xml:space="preserve"> and has the requisite experience and skills to overcome obstacles.  </w:t>
      </w:r>
      <w:r>
        <w:rPr>
          <w:rFonts w:ascii="Book Antiqua" w:hAnsi="Book Antiqua" w:cs="Arial"/>
        </w:rPr>
        <w:t xml:space="preserve"> </w:t>
      </w:r>
      <w:r w:rsidRPr="00D1693E">
        <w:rPr>
          <w:rFonts w:ascii="Book Antiqua" w:hAnsi="Book Antiqua" w:cs="Arial"/>
        </w:rPr>
        <w:t xml:space="preserve">Mr Bates also submitted that the circumstances relied upon by Mr </w:t>
      </w:r>
      <w:r w:rsidR="001B4BAE">
        <w:rPr>
          <w:rFonts w:ascii="Book Antiqua" w:hAnsi="Book Antiqua" w:cs="Arial"/>
        </w:rPr>
        <w:t>[D]</w:t>
      </w:r>
      <w:r w:rsidRPr="00D1693E">
        <w:rPr>
          <w:rFonts w:ascii="Book Antiqua" w:hAnsi="Book Antiqua" w:cs="Arial"/>
        </w:rPr>
        <w:t xml:space="preserve"> cannot properly be described as ‘very compelling</w:t>
      </w:r>
      <w:r>
        <w:rPr>
          <w:rFonts w:ascii="Book Antiqua" w:hAnsi="Book Antiqua" w:cs="Arial"/>
        </w:rPr>
        <w:t>’,</w:t>
      </w:r>
      <w:r w:rsidRPr="00EC5022">
        <w:rPr>
          <w:rFonts w:ascii="Book Antiqua" w:hAnsi="Book Antiqua" w:cs="Arial"/>
        </w:rPr>
        <w:t xml:space="preserve"> </w:t>
      </w:r>
      <w:r w:rsidR="007237D8" w:rsidRPr="00EC5022">
        <w:rPr>
          <w:rFonts w:ascii="Book Antiqua" w:hAnsi="Book Antiqua" w:cs="Arial"/>
        </w:rPr>
        <w:t>because</w:t>
      </w:r>
      <w:r w:rsidR="007237D8" w:rsidRPr="007237D8">
        <w:rPr>
          <w:rFonts w:ascii="Book Antiqua" w:hAnsi="Book Antiqua" w:cs="Arial"/>
        </w:rPr>
        <w:t xml:space="preserve"> Mr</w:t>
      </w:r>
      <w:r w:rsidRPr="00D1693E">
        <w:rPr>
          <w:rFonts w:ascii="Book Antiqua" w:hAnsi="Book Antiqua" w:cs="Arial"/>
        </w:rPr>
        <w:t xml:space="preserve"> </w:t>
      </w:r>
      <w:r w:rsidR="001B4BAE">
        <w:rPr>
          <w:rFonts w:ascii="Book Antiqua" w:hAnsi="Book Antiqua" w:cs="Arial"/>
        </w:rPr>
        <w:t>[D]</w:t>
      </w:r>
      <w:r w:rsidRPr="00D1693E">
        <w:rPr>
          <w:rFonts w:ascii="Book Antiqua" w:hAnsi="Book Antiqua" w:cs="Arial"/>
        </w:rPr>
        <w:t xml:space="preserve">’s mother and B clearly had significant support from the other siblings, and would be adequately cared for by them.  Mr Bates also invited me to find that there remains a strong public interest in deporting Mr </w:t>
      </w:r>
      <w:r w:rsidR="001B4BAE">
        <w:rPr>
          <w:rFonts w:ascii="Book Antiqua" w:hAnsi="Book Antiqua" w:cs="Arial"/>
        </w:rPr>
        <w:t>[D]</w:t>
      </w:r>
      <w:r w:rsidRPr="00D1693E">
        <w:rPr>
          <w:rFonts w:ascii="Book Antiqua" w:hAnsi="Book Antiqua" w:cs="Arial"/>
        </w:rPr>
        <w:t xml:space="preserve"> given his long history of offending</w:t>
      </w:r>
      <w:r>
        <w:rPr>
          <w:rFonts w:ascii="Book Antiqua" w:hAnsi="Book Antiqua" w:cs="Arial"/>
        </w:rPr>
        <w:t xml:space="preserve"> and relied upon the </w:t>
      </w:r>
      <w:r w:rsidRPr="00D1693E">
        <w:rPr>
          <w:rFonts w:ascii="Book Antiqua" w:hAnsi="Book Antiqua" w:cs="Arial"/>
        </w:rPr>
        <w:t>FTT</w:t>
      </w:r>
      <w:r>
        <w:rPr>
          <w:rFonts w:ascii="Book Antiqua" w:hAnsi="Book Antiqua" w:cs="Arial"/>
        </w:rPr>
        <w:t>’s</w:t>
      </w:r>
      <w:r w:rsidRPr="00D1693E">
        <w:rPr>
          <w:rFonts w:ascii="Book Antiqua" w:hAnsi="Book Antiqua" w:cs="Arial"/>
        </w:rPr>
        <w:t xml:space="preserve"> o</w:t>
      </w:r>
      <w:r w:rsidRPr="00EC5022">
        <w:rPr>
          <w:rFonts w:ascii="Book Antiqua" w:hAnsi="Book Antiqua" w:cs="Arial"/>
        </w:rPr>
        <w:t>bserv</w:t>
      </w:r>
      <w:r>
        <w:rPr>
          <w:rFonts w:ascii="Book Antiqua" w:hAnsi="Book Antiqua" w:cs="Arial"/>
        </w:rPr>
        <w:t>ation</w:t>
      </w:r>
      <w:r w:rsidRPr="00D1693E">
        <w:rPr>
          <w:rFonts w:ascii="Book Antiqua" w:hAnsi="Book Antiqua" w:cs="Arial"/>
        </w:rPr>
        <w:t xml:space="preserve"> at [40] this is “</w:t>
      </w:r>
      <w:r w:rsidRPr="00D1693E">
        <w:rPr>
          <w:rFonts w:ascii="Book Antiqua" w:hAnsi="Book Antiqua" w:cs="Arial"/>
          <w:i/>
        </w:rPr>
        <w:t>not a story of juvenile offending that peters out as the person gets older and more mature.  His first offence was in his early 20s and thereafter the offences continued and escalated in seriousness</w:t>
      </w:r>
      <w:r w:rsidRPr="00D1693E">
        <w:rPr>
          <w:rFonts w:ascii="Book Antiqua" w:hAnsi="Book Antiqua" w:cs="Arial"/>
        </w:rPr>
        <w:t>”.</w:t>
      </w:r>
    </w:p>
    <w:p w:rsidR="005E52D9" w:rsidRPr="00D1693E" w:rsidRDefault="005E52D9" w:rsidP="00D1693E">
      <w:pPr>
        <w:jc w:val="both"/>
        <w:rPr>
          <w:rFonts w:ascii="Book Antiqua" w:hAnsi="Book Antiqua" w:cs="Arial"/>
        </w:rPr>
      </w:pPr>
    </w:p>
    <w:p w:rsidR="00856201" w:rsidRDefault="002D0356" w:rsidP="00D1693E">
      <w:pPr>
        <w:pStyle w:val="ListParagraph"/>
        <w:numPr>
          <w:ilvl w:val="0"/>
          <w:numId w:val="1"/>
        </w:numPr>
        <w:jc w:val="both"/>
        <w:rPr>
          <w:rFonts w:ascii="Book Antiqua" w:hAnsi="Book Antiqua"/>
        </w:rPr>
      </w:pPr>
      <w:r>
        <w:rPr>
          <w:rFonts w:ascii="Book Antiqua" w:hAnsi="Book Antiqua" w:cs="Arial"/>
        </w:rPr>
        <w:t xml:space="preserve">Mr Ell invited me to find </w:t>
      </w:r>
      <w:r w:rsidR="00055254">
        <w:rPr>
          <w:rFonts w:ascii="Book Antiqua" w:hAnsi="Book Antiqua" w:cs="Arial"/>
        </w:rPr>
        <w:t>t</w:t>
      </w:r>
      <w:r w:rsidR="00601E94">
        <w:rPr>
          <w:rFonts w:ascii="Book Antiqua" w:hAnsi="Book Antiqua" w:cs="Arial"/>
        </w:rPr>
        <w:t xml:space="preserve">hat </w:t>
      </w:r>
      <w:r w:rsidR="00055254">
        <w:rPr>
          <w:rFonts w:ascii="Book Antiqua" w:hAnsi="Book Antiqua" w:cs="Arial"/>
        </w:rPr>
        <w:t xml:space="preserve">when the FTT’s preserved findings are considered alongside the updated </w:t>
      </w:r>
      <w:r w:rsidR="00601E94">
        <w:rPr>
          <w:rFonts w:ascii="Book Antiqua" w:hAnsi="Book Antiqua" w:cs="Arial"/>
        </w:rPr>
        <w:t>evidence</w:t>
      </w:r>
      <w:r w:rsidR="00055254">
        <w:rPr>
          <w:rFonts w:ascii="Book Antiqua" w:hAnsi="Book Antiqua" w:cs="Arial"/>
        </w:rPr>
        <w:t>,</w:t>
      </w:r>
      <w:r w:rsidR="004F2B14">
        <w:rPr>
          <w:rFonts w:ascii="Book Antiqua" w:hAnsi="Book Antiqua" w:cs="Arial"/>
        </w:rPr>
        <w:t xml:space="preserve"> Mr </w:t>
      </w:r>
      <w:r w:rsidR="001B4BAE">
        <w:rPr>
          <w:rFonts w:ascii="Book Antiqua" w:hAnsi="Book Antiqua" w:cs="Arial"/>
        </w:rPr>
        <w:t>[D]</w:t>
      </w:r>
      <w:r w:rsidR="004F2B14">
        <w:rPr>
          <w:rFonts w:ascii="Book Antiqua" w:hAnsi="Book Antiqua" w:cs="Arial"/>
        </w:rPr>
        <w:t xml:space="preserve"> would face</w:t>
      </w:r>
      <w:r w:rsidR="00601E94">
        <w:rPr>
          <w:rFonts w:ascii="Book Antiqua" w:hAnsi="Book Antiqua" w:cs="Arial"/>
        </w:rPr>
        <w:t xml:space="preserve"> very significant obstacles reintegrating in Vietnam</w:t>
      </w:r>
      <w:r w:rsidR="004F2B14">
        <w:rPr>
          <w:rFonts w:ascii="Book Antiqua" w:hAnsi="Book Antiqua" w:cs="Arial"/>
        </w:rPr>
        <w:t>.  Mr Ell submitted in the</w:t>
      </w:r>
      <w:r w:rsidR="00601E94">
        <w:rPr>
          <w:rFonts w:ascii="Book Antiqua" w:hAnsi="Book Antiqua" w:cs="Arial"/>
        </w:rPr>
        <w:t xml:space="preserve"> alt</w:t>
      </w:r>
      <w:r w:rsidR="004F2B14">
        <w:rPr>
          <w:rFonts w:ascii="Book Antiqua" w:hAnsi="Book Antiqua" w:cs="Arial"/>
        </w:rPr>
        <w:t>ernative that</w:t>
      </w:r>
      <w:r w:rsidR="00601E94">
        <w:rPr>
          <w:rFonts w:ascii="Book Antiqua" w:hAnsi="Book Antiqua" w:cs="Arial"/>
        </w:rPr>
        <w:t xml:space="preserve"> when</w:t>
      </w:r>
      <w:r w:rsidR="004F2B14">
        <w:rPr>
          <w:rFonts w:ascii="Book Antiqua" w:hAnsi="Book Antiqua" w:cs="Arial"/>
        </w:rPr>
        <w:t xml:space="preserve"> Mr </w:t>
      </w:r>
      <w:r w:rsidR="001B4BAE">
        <w:rPr>
          <w:rFonts w:ascii="Book Antiqua" w:hAnsi="Book Antiqua" w:cs="Arial"/>
        </w:rPr>
        <w:t>[D]</w:t>
      </w:r>
      <w:r w:rsidR="004F2B14">
        <w:rPr>
          <w:rFonts w:ascii="Book Antiqua" w:hAnsi="Book Antiqua" w:cs="Arial"/>
        </w:rPr>
        <w:t>’s</w:t>
      </w:r>
      <w:r w:rsidR="00601E94">
        <w:rPr>
          <w:rFonts w:ascii="Book Antiqua" w:hAnsi="Book Antiqua" w:cs="Arial"/>
        </w:rPr>
        <w:t xml:space="preserve"> circumstances are viewed cumulatively, </w:t>
      </w:r>
      <w:r w:rsidR="004F2B14">
        <w:rPr>
          <w:rFonts w:ascii="Book Antiqua" w:hAnsi="Book Antiqua" w:cs="Arial"/>
        </w:rPr>
        <w:t>including the circumstances of his departure from Vietnam, the length of time he has been in the UK and the strong private life he has developed here, his family life particularly with his mother and B</w:t>
      </w:r>
      <w:r w:rsidR="00055254">
        <w:rPr>
          <w:rFonts w:ascii="Book Antiqua" w:hAnsi="Book Antiqua" w:cs="Arial"/>
        </w:rPr>
        <w:t xml:space="preserve">, </w:t>
      </w:r>
      <w:r w:rsidR="00EC5022">
        <w:rPr>
          <w:rFonts w:ascii="Book Antiqua" w:hAnsi="Book Antiqua" w:cs="Arial"/>
        </w:rPr>
        <w:t xml:space="preserve">they </w:t>
      </w:r>
      <w:r w:rsidR="004F2B14">
        <w:rPr>
          <w:rFonts w:ascii="Book Antiqua" w:hAnsi="Book Antiqua" w:cs="Arial"/>
        </w:rPr>
        <w:t xml:space="preserve">can be described as </w:t>
      </w:r>
      <w:r w:rsidR="00601E94">
        <w:rPr>
          <w:rFonts w:ascii="Book Antiqua" w:hAnsi="Book Antiqua" w:cs="Arial"/>
        </w:rPr>
        <w:t xml:space="preserve">are very compelling </w:t>
      </w:r>
      <w:r w:rsidR="00EC5022">
        <w:rPr>
          <w:rFonts w:ascii="Book Antiqua" w:hAnsi="Book Antiqua" w:cs="Arial"/>
        </w:rPr>
        <w:t xml:space="preserve">and </w:t>
      </w:r>
      <w:r w:rsidR="00055254">
        <w:rPr>
          <w:rFonts w:ascii="Book Antiqua" w:hAnsi="Book Antiqua" w:cs="Arial"/>
        </w:rPr>
        <w:t xml:space="preserve">are not outweighed by the public interest, given Mr </w:t>
      </w:r>
      <w:r w:rsidR="001B4BAE">
        <w:rPr>
          <w:rFonts w:ascii="Book Antiqua" w:hAnsi="Book Antiqua" w:cs="Arial"/>
        </w:rPr>
        <w:t>[D]</w:t>
      </w:r>
      <w:r w:rsidR="00055254">
        <w:rPr>
          <w:rFonts w:ascii="Book Antiqua" w:hAnsi="Book Antiqua" w:cs="Arial"/>
        </w:rPr>
        <w:t>’s low risk of reoffending and the passage of time</w:t>
      </w:r>
      <w:r w:rsidR="00601E94">
        <w:rPr>
          <w:rFonts w:ascii="Book Antiqua" w:hAnsi="Book Antiqua" w:cs="Arial"/>
        </w:rPr>
        <w:t xml:space="preserve">.  </w:t>
      </w:r>
      <w:r w:rsidR="00260F64" w:rsidRPr="00D1693E">
        <w:rPr>
          <w:rFonts w:ascii="Book Antiqua" w:hAnsi="Book Antiqua"/>
        </w:rPr>
        <w:t xml:space="preserve">After hearing from both representatives, I </w:t>
      </w:r>
      <w:r w:rsidR="003F609F" w:rsidRPr="00D1693E">
        <w:rPr>
          <w:rFonts w:ascii="Book Antiqua" w:hAnsi="Book Antiqua"/>
        </w:rPr>
        <w:t>reserved my decision which I now provide</w:t>
      </w:r>
      <w:r w:rsidR="00E45FB5" w:rsidRPr="00D1693E">
        <w:rPr>
          <w:rFonts w:ascii="Book Antiqua" w:hAnsi="Book Antiqua"/>
        </w:rPr>
        <w:t xml:space="preserve"> with reasons</w:t>
      </w:r>
      <w:r w:rsidR="00260F64" w:rsidRPr="00D1693E">
        <w:rPr>
          <w:rFonts w:ascii="Book Antiqua" w:hAnsi="Book Antiqua"/>
        </w:rPr>
        <w:t>.</w:t>
      </w:r>
    </w:p>
    <w:p w:rsidR="00856201" w:rsidRDefault="00856201" w:rsidP="00856201">
      <w:pPr>
        <w:jc w:val="both"/>
        <w:rPr>
          <w:rFonts w:ascii="Book Antiqua" w:hAnsi="Book Antiqua" w:cs="Arial"/>
          <w:bCs/>
          <w:lang w:val="en-US"/>
        </w:rPr>
      </w:pPr>
    </w:p>
    <w:p w:rsidR="00856201" w:rsidRPr="003F609F" w:rsidRDefault="00856201" w:rsidP="00856201">
      <w:pPr>
        <w:jc w:val="both"/>
        <w:rPr>
          <w:rFonts w:ascii="Book Antiqua" w:hAnsi="Book Antiqua" w:cs="Arial"/>
          <w:b/>
          <w:bCs/>
          <w:lang w:val="en-US"/>
        </w:rPr>
      </w:pPr>
      <w:r w:rsidRPr="003F609F">
        <w:rPr>
          <w:rFonts w:ascii="Book Antiqua" w:hAnsi="Book Antiqua" w:cs="Arial"/>
          <w:b/>
          <w:bCs/>
          <w:lang w:val="en-US"/>
        </w:rPr>
        <w:t>Legal framework</w:t>
      </w:r>
    </w:p>
    <w:p w:rsidR="00856201" w:rsidRPr="00856201" w:rsidRDefault="00260F64" w:rsidP="00D1693E">
      <w:r w:rsidRPr="00D1693E">
        <w:rPr>
          <w:rFonts w:ascii="Book Antiqua" w:hAnsi="Book Antiqua"/>
        </w:rPr>
        <w:t xml:space="preserve"> </w:t>
      </w:r>
    </w:p>
    <w:p w:rsidR="00856201" w:rsidRDefault="00415485" w:rsidP="00D1693E">
      <w:pPr>
        <w:pStyle w:val="ListParagraph"/>
        <w:numPr>
          <w:ilvl w:val="0"/>
          <w:numId w:val="1"/>
        </w:numPr>
      </w:pPr>
      <w:r w:rsidRPr="00B00197">
        <w:rPr>
          <w:rFonts w:ascii="Book Antiqua" w:hAnsi="Book Antiqua"/>
        </w:rPr>
        <w:t xml:space="preserve">Part 5A of the </w:t>
      </w:r>
      <w:r w:rsidR="00E45FB5" w:rsidRPr="00B00197">
        <w:rPr>
          <w:rFonts w:ascii="Book Antiqua" w:hAnsi="Book Antiqua"/>
        </w:rPr>
        <w:t xml:space="preserve">Nationality, Immigration and Asylum </w:t>
      </w:r>
      <w:r w:rsidRPr="00B00197">
        <w:rPr>
          <w:rFonts w:ascii="Book Antiqua" w:hAnsi="Book Antiqua"/>
        </w:rPr>
        <w:t>Act</w:t>
      </w:r>
      <w:r w:rsidR="00E45FB5" w:rsidRPr="00B00197">
        <w:rPr>
          <w:rFonts w:ascii="Book Antiqua" w:hAnsi="Book Antiqua"/>
        </w:rPr>
        <w:t xml:space="preserve"> 2002</w:t>
      </w:r>
      <w:r w:rsidR="00EC5022">
        <w:rPr>
          <w:rFonts w:ascii="Book Antiqua" w:hAnsi="Book Antiqua"/>
        </w:rPr>
        <w:t xml:space="preserve"> (‘the 2002 Act’)</w:t>
      </w:r>
      <w:r w:rsidRPr="00B00197">
        <w:rPr>
          <w:rFonts w:ascii="Book Antiqua" w:hAnsi="Book Antiqua"/>
        </w:rPr>
        <w:t xml:space="preserve">, </w:t>
      </w:r>
      <w:r w:rsidR="00E45FB5" w:rsidRPr="00B00197">
        <w:rPr>
          <w:rFonts w:ascii="Book Antiqua" w:hAnsi="Book Antiqua"/>
        </w:rPr>
        <w:t xml:space="preserve">as inserted by section </w:t>
      </w:r>
      <w:r w:rsidRPr="00B00197">
        <w:rPr>
          <w:rFonts w:ascii="Book Antiqua" w:hAnsi="Book Antiqua"/>
        </w:rPr>
        <w:t>19 of the Immigration Act 2014</w:t>
      </w:r>
      <w:r w:rsidR="00E45FB5" w:rsidRPr="00B00197">
        <w:rPr>
          <w:rFonts w:ascii="Book Antiqua" w:hAnsi="Book Antiqua"/>
        </w:rPr>
        <w:t xml:space="preserve"> includes the following:</w:t>
      </w:r>
    </w:p>
    <w:p w:rsidR="00856201" w:rsidRDefault="00856201" w:rsidP="00D1693E">
      <w:pPr>
        <w:pStyle w:val="ListParagraph"/>
      </w:pPr>
    </w:p>
    <w:p w:rsidR="00856201" w:rsidRPr="00E45FB5" w:rsidRDefault="00856201" w:rsidP="00856201">
      <w:pPr>
        <w:pStyle w:val="ListParagraph"/>
        <w:ind w:left="2000" w:firstLine="160"/>
        <w:jc w:val="both"/>
        <w:rPr>
          <w:rFonts w:ascii="Book Antiqua" w:hAnsi="Book Antiqua"/>
        </w:rPr>
      </w:pPr>
      <w:r w:rsidRPr="00E45FB5">
        <w:rPr>
          <w:rFonts w:ascii="Book Antiqua" w:hAnsi="Book Antiqua"/>
          <w:b/>
          <w:bCs/>
          <w:sz w:val="22"/>
          <w:szCs w:val="22"/>
        </w:rPr>
        <w:t>“117C</w:t>
      </w:r>
      <w:r w:rsidRPr="00E45FB5">
        <w:rPr>
          <w:rFonts w:ascii="Book Antiqua" w:hAnsi="Book Antiqua"/>
        </w:rPr>
        <w:t xml:space="preserve"> </w:t>
      </w:r>
      <w:r w:rsidRPr="00E45FB5">
        <w:rPr>
          <w:rFonts w:ascii="Book Antiqua" w:hAnsi="Book Antiqua"/>
          <w:i/>
          <w:iCs/>
          <w:sz w:val="22"/>
          <w:szCs w:val="22"/>
        </w:rPr>
        <w:t>Article 8 additional considerations in cases involving foreign criminals.</w:t>
      </w:r>
    </w:p>
    <w:p w:rsidR="00856201" w:rsidRPr="00E45FB5" w:rsidRDefault="00856201" w:rsidP="00856201">
      <w:pPr>
        <w:pStyle w:val="ListParagraph"/>
        <w:ind w:left="1840" w:firstLine="320"/>
        <w:jc w:val="both"/>
        <w:rPr>
          <w:rFonts w:ascii="Book Antiqua" w:hAnsi="Book Antiqua"/>
        </w:rPr>
      </w:pPr>
      <w:r w:rsidRPr="00E45FB5">
        <w:rPr>
          <w:rFonts w:ascii="Book Antiqua" w:hAnsi="Book Antiqua"/>
          <w:sz w:val="22"/>
          <w:szCs w:val="22"/>
        </w:rPr>
        <w:t>(1) The deportation of foreign criminals is in the public interest.</w:t>
      </w:r>
    </w:p>
    <w:p w:rsidR="00856201" w:rsidRPr="00E45FB5" w:rsidRDefault="00856201" w:rsidP="00856201">
      <w:pPr>
        <w:pStyle w:val="ListParagraph"/>
        <w:ind w:left="2160"/>
        <w:jc w:val="both"/>
        <w:rPr>
          <w:rFonts w:ascii="Book Antiqua" w:hAnsi="Book Antiqua"/>
        </w:rPr>
      </w:pPr>
      <w:r w:rsidRPr="00E45FB5">
        <w:rPr>
          <w:rFonts w:ascii="Book Antiqua" w:hAnsi="Book Antiqua"/>
          <w:sz w:val="22"/>
          <w:szCs w:val="22"/>
        </w:rPr>
        <w:t>(2) The more serious the offence committed by a foreign criminal, the greater is the public interest in deportation of the criminal.</w:t>
      </w:r>
    </w:p>
    <w:p w:rsidR="00856201" w:rsidRPr="00E45FB5" w:rsidRDefault="00856201" w:rsidP="00856201">
      <w:pPr>
        <w:pStyle w:val="ListParagraph"/>
        <w:ind w:left="2160"/>
        <w:jc w:val="both"/>
        <w:rPr>
          <w:rFonts w:ascii="Book Antiqua" w:hAnsi="Book Antiqua"/>
        </w:rPr>
      </w:pPr>
      <w:r w:rsidRPr="00E45FB5">
        <w:rPr>
          <w:rFonts w:ascii="Book Antiqua" w:hAnsi="Book Antiqua"/>
          <w:sz w:val="22"/>
          <w:szCs w:val="22"/>
        </w:rPr>
        <w:t>(3) In the case of a foreign criminal ("C") who has not been sentenced to a period of imprisonment of four years or more, the public interest requires C's deportation unless Exception 1 or Exception 2 applies.</w:t>
      </w:r>
    </w:p>
    <w:p w:rsidR="00856201" w:rsidRPr="00E45FB5" w:rsidRDefault="00856201" w:rsidP="00856201">
      <w:pPr>
        <w:pStyle w:val="ListParagraph"/>
        <w:ind w:left="2000" w:firstLine="160"/>
        <w:jc w:val="both"/>
        <w:rPr>
          <w:rFonts w:ascii="Book Antiqua" w:hAnsi="Book Antiqua"/>
        </w:rPr>
      </w:pPr>
      <w:r w:rsidRPr="00E45FB5">
        <w:rPr>
          <w:rFonts w:ascii="Book Antiqua" w:hAnsi="Book Antiqua"/>
          <w:sz w:val="22"/>
          <w:szCs w:val="22"/>
        </w:rPr>
        <w:t>(4) Exception 1 applies where—</w:t>
      </w:r>
    </w:p>
    <w:p w:rsidR="00856201" w:rsidRPr="00E45FB5" w:rsidRDefault="00856201" w:rsidP="00856201">
      <w:pPr>
        <w:pStyle w:val="ListParagraph"/>
        <w:ind w:left="1840" w:firstLine="320"/>
        <w:jc w:val="both"/>
        <w:rPr>
          <w:rFonts w:ascii="Book Antiqua" w:hAnsi="Book Antiqua"/>
        </w:rPr>
      </w:pPr>
      <w:r w:rsidRPr="00E45FB5">
        <w:rPr>
          <w:rFonts w:ascii="Book Antiqua" w:hAnsi="Book Antiqua"/>
          <w:sz w:val="22"/>
          <w:szCs w:val="22"/>
        </w:rPr>
        <w:t>(a) C has been lawfully resident in the United Kingdom for most of C's life,</w:t>
      </w:r>
    </w:p>
    <w:p w:rsidR="00856201" w:rsidRPr="00E45FB5" w:rsidRDefault="00856201" w:rsidP="00856201">
      <w:pPr>
        <w:pStyle w:val="ListParagraph"/>
        <w:ind w:left="1680" w:firstLine="480"/>
        <w:jc w:val="both"/>
        <w:rPr>
          <w:rFonts w:ascii="Book Antiqua" w:hAnsi="Book Antiqua"/>
        </w:rPr>
      </w:pPr>
      <w:r w:rsidRPr="00E45FB5">
        <w:rPr>
          <w:rFonts w:ascii="Book Antiqua" w:hAnsi="Book Antiqua"/>
          <w:sz w:val="22"/>
          <w:szCs w:val="22"/>
        </w:rPr>
        <w:t>(b) C is socially and culturally integrated in the United Kingdom, and</w:t>
      </w:r>
    </w:p>
    <w:p w:rsidR="00080593" w:rsidRDefault="00856201" w:rsidP="00080593">
      <w:pPr>
        <w:pStyle w:val="ListParagraph"/>
        <w:ind w:left="2160"/>
        <w:rPr>
          <w:rFonts w:ascii="Book Antiqua" w:hAnsi="Book Antiqua"/>
          <w:sz w:val="22"/>
          <w:szCs w:val="22"/>
        </w:rPr>
      </w:pPr>
      <w:r w:rsidRPr="00E45FB5">
        <w:rPr>
          <w:rFonts w:ascii="Book Antiqua" w:hAnsi="Book Antiqua"/>
          <w:sz w:val="22"/>
          <w:szCs w:val="22"/>
        </w:rPr>
        <w:t>(c) there would be very significant obstacles to C's integration into the country to which C is proposed to be deported</w:t>
      </w:r>
      <w:r w:rsidR="00080593">
        <w:rPr>
          <w:rFonts w:ascii="Book Antiqua" w:hAnsi="Book Antiqua"/>
          <w:sz w:val="22"/>
          <w:szCs w:val="22"/>
        </w:rPr>
        <w:t>.</w:t>
      </w:r>
    </w:p>
    <w:p w:rsidR="00080593" w:rsidRDefault="00080593" w:rsidP="00D1693E">
      <w:pPr>
        <w:pStyle w:val="ListParagraph"/>
        <w:ind w:left="2160"/>
        <w:rPr>
          <w:rFonts w:ascii="Book Antiqua" w:hAnsi="Book Antiqua"/>
          <w:sz w:val="22"/>
          <w:szCs w:val="22"/>
        </w:rPr>
      </w:pPr>
      <w:r w:rsidRPr="00080593">
        <w:rPr>
          <w:rFonts w:ascii="Book Antiqua" w:hAnsi="Book Antiqua"/>
          <w:sz w:val="22"/>
          <w:szCs w:val="22"/>
        </w:rPr>
        <w:lastRenderedPageBreak/>
        <w:t>(5) Exception 2 applies where C has a genuine and subsisting relationship with a qualifying partner, or a genuine and subsisting parental relationship with a qualifying child, and the effect of C's deportation on the partner or child would be unduly harsh.</w:t>
      </w:r>
    </w:p>
    <w:p w:rsidR="00080593" w:rsidRPr="00D1693E" w:rsidRDefault="00080593" w:rsidP="00D1693E">
      <w:pPr>
        <w:pStyle w:val="ListParagraph"/>
        <w:ind w:left="2160"/>
        <w:rPr>
          <w:rFonts w:ascii="Book Antiqua" w:hAnsi="Book Antiqua"/>
          <w:sz w:val="22"/>
          <w:szCs w:val="22"/>
        </w:rPr>
      </w:pPr>
      <w:r w:rsidRPr="00D1693E">
        <w:rPr>
          <w:rFonts w:ascii="Book Antiqua" w:hAnsi="Book Antiqua"/>
          <w:sz w:val="22"/>
          <w:szCs w:val="22"/>
        </w:rPr>
        <w:t>(6) In the case of a foreign criminal who has been sentenced to a period of imprisonment of at least four years, the public interest requires deportation unless there are very compelling circumstances, over and above those described in Exceptions 1 and 2.</w:t>
      </w:r>
      <w:r>
        <w:rPr>
          <w:rFonts w:ascii="Book Antiqua" w:hAnsi="Book Antiqua"/>
          <w:sz w:val="22"/>
          <w:szCs w:val="22"/>
        </w:rPr>
        <w:t>”</w:t>
      </w:r>
    </w:p>
    <w:p w:rsidR="00856201" w:rsidRPr="00D1693E" w:rsidRDefault="00856201" w:rsidP="00D1693E">
      <w:pPr>
        <w:rPr>
          <w:rFonts w:ascii="Book Antiqua" w:hAnsi="Book Antiqua"/>
        </w:rPr>
      </w:pPr>
    </w:p>
    <w:p w:rsidR="00EC5022" w:rsidRPr="00D1693E" w:rsidRDefault="00EA65E3" w:rsidP="00D1693E">
      <w:pPr>
        <w:pStyle w:val="ListParagraph"/>
        <w:ind w:left="1440"/>
        <w:rPr>
          <w:rFonts w:ascii="Book Antiqua" w:hAnsi="Book Antiqua"/>
        </w:rPr>
      </w:pPr>
      <w:r w:rsidRPr="00D1693E">
        <w:rPr>
          <w:rFonts w:ascii="Book Antiqua" w:hAnsi="Book Antiqua"/>
        </w:rPr>
        <w:t xml:space="preserve">Since Mr </w:t>
      </w:r>
      <w:r w:rsidR="001B4BAE">
        <w:rPr>
          <w:rFonts w:ascii="Book Antiqua" w:hAnsi="Book Antiqua"/>
        </w:rPr>
        <w:t>[D]</w:t>
      </w:r>
      <w:r w:rsidRPr="00D1693E">
        <w:rPr>
          <w:rFonts w:ascii="Book Antiqua" w:hAnsi="Book Antiqua"/>
        </w:rPr>
        <w:t>'s sentence was for imprisonment of more than 12 months but less than 4 years, it is section</w:t>
      </w:r>
      <w:r w:rsidR="009303B5" w:rsidRPr="00D1693E">
        <w:rPr>
          <w:rFonts w:ascii="Book Antiqua" w:hAnsi="Book Antiqua"/>
        </w:rPr>
        <w:t>s</w:t>
      </w:r>
      <w:r w:rsidRPr="00D1693E">
        <w:rPr>
          <w:rFonts w:ascii="Book Antiqua" w:hAnsi="Book Antiqua"/>
        </w:rPr>
        <w:t xml:space="preserve"> 117</w:t>
      </w:r>
      <w:proofErr w:type="gramStart"/>
      <w:r w:rsidRPr="00D1693E">
        <w:rPr>
          <w:rFonts w:ascii="Book Antiqua" w:hAnsi="Book Antiqua"/>
        </w:rPr>
        <w:t>C(</w:t>
      </w:r>
      <w:proofErr w:type="gramEnd"/>
      <w:r w:rsidRPr="00D1693E">
        <w:rPr>
          <w:rFonts w:ascii="Book Antiqua" w:hAnsi="Book Antiqua"/>
        </w:rPr>
        <w:t>3)</w:t>
      </w:r>
      <w:r w:rsidR="009303B5" w:rsidRPr="00D1693E">
        <w:rPr>
          <w:rFonts w:ascii="Book Antiqua" w:hAnsi="Book Antiqua"/>
        </w:rPr>
        <w:t xml:space="preserve"> and (4) which are</w:t>
      </w:r>
      <w:r w:rsidRPr="00D1693E">
        <w:rPr>
          <w:rFonts w:ascii="Book Antiqua" w:hAnsi="Book Antiqua"/>
        </w:rPr>
        <w:t xml:space="preserve"> applicable.</w:t>
      </w:r>
      <w:r w:rsidR="00C30494" w:rsidRPr="00D1693E">
        <w:rPr>
          <w:rFonts w:ascii="Book Antiqua" w:hAnsi="Book Antiqua"/>
        </w:rPr>
        <w:t xml:space="preserve">  The correct approach to section 117C(4)</w:t>
      </w:r>
      <w:r w:rsidR="00B00197" w:rsidRPr="00D1693E">
        <w:rPr>
          <w:rFonts w:ascii="Book Antiqua" w:hAnsi="Book Antiqua"/>
        </w:rPr>
        <w:t>(c)</w:t>
      </w:r>
      <w:r w:rsidR="00C30494" w:rsidRPr="00D1693E">
        <w:rPr>
          <w:rFonts w:ascii="Book Antiqua" w:hAnsi="Book Antiqua"/>
        </w:rPr>
        <w:t xml:space="preserve"> is set out in </w:t>
      </w:r>
      <w:bookmarkStart w:id="1" w:name="para11"/>
      <w:r w:rsidR="00596522" w:rsidRPr="00D1693E">
        <w:rPr>
          <w:rFonts w:ascii="Book Antiqua" w:hAnsi="Book Antiqua"/>
          <w:u w:val="single"/>
        </w:rPr>
        <w:t>SSHD v Kamara</w:t>
      </w:r>
      <w:r w:rsidR="00596522" w:rsidRPr="00D1693E">
        <w:rPr>
          <w:rFonts w:ascii="Book Antiqua" w:hAnsi="Book Antiqua"/>
        </w:rPr>
        <w:t xml:space="preserve"> [2016] EWCA </w:t>
      </w:r>
      <w:proofErr w:type="spellStart"/>
      <w:r w:rsidR="00596522" w:rsidRPr="00D1693E">
        <w:rPr>
          <w:rFonts w:ascii="Book Antiqua" w:hAnsi="Book Antiqua"/>
        </w:rPr>
        <w:t>Civ</w:t>
      </w:r>
      <w:proofErr w:type="spellEnd"/>
      <w:r w:rsidR="00596522" w:rsidRPr="00D1693E">
        <w:rPr>
          <w:rFonts w:ascii="Book Antiqua" w:hAnsi="Book Antiqua"/>
        </w:rPr>
        <w:t xml:space="preserve"> 813</w:t>
      </w:r>
      <w:r w:rsidR="00856201" w:rsidRPr="00D1693E">
        <w:rPr>
          <w:rFonts w:ascii="Book Antiqua" w:hAnsi="Book Antiqua"/>
        </w:rPr>
        <w:t>,</w:t>
      </w:r>
      <w:r w:rsidR="00B00197" w:rsidRPr="00D1693E">
        <w:rPr>
          <w:rFonts w:ascii="Book Antiqua" w:hAnsi="Book Antiqua"/>
        </w:rPr>
        <w:t xml:space="preserve"> </w:t>
      </w:r>
      <w:r w:rsidR="007237D8" w:rsidRPr="007237D8">
        <w:rPr>
          <w:rFonts w:ascii="Book Antiqua" w:hAnsi="Book Antiqua"/>
        </w:rPr>
        <w:t>wherein</w:t>
      </w:r>
      <w:r w:rsidR="007237D8">
        <w:rPr>
          <w:rFonts w:ascii="Book Antiqua" w:hAnsi="Book Antiqua"/>
        </w:rPr>
        <w:t>,</w:t>
      </w:r>
      <w:r w:rsidR="007237D8" w:rsidRPr="007237D8">
        <w:rPr>
          <w:rFonts w:ascii="Book Antiqua" w:hAnsi="Book Antiqua"/>
        </w:rPr>
        <w:t xml:space="preserve"> Sales</w:t>
      </w:r>
      <w:r w:rsidR="00596522" w:rsidRPr="00D1693E">
        <w:rPr>
          <w:rFonts w:ascii="Book Antiqua" w:hAnsi="Book Antiqua"/>
        </w:rPr>
        <w:t xml:space="preserve"> LJ </w:t>
      </w:r>
      <w:r w:rsidR="00B00197" w:rsidRPr="00D1693E">
        <w:rPr>
          <w:rFonts w:ascii="Book Antiqua" w:hAnsi="Book Antiqua"/>
        </w:rPr>
        <w:t>said this</w:t>
      </w:r>
      <w:r w:rsidR="00596522" w:rsidRPr="00D1693E">
        <w:rPr>
          <w:rFonts w:ascii="Book Antiqua" w:hAnsi="Book Antiqua"/>
        </w:rPr>
        <w:t xml:space="preserve"> at [14]</w:t>
      </w:r>
      <w:r w:rsidR="00EC5022" w:rsidRPr="00D1693E">
        <w:rPr>
          <w:rFonts w:ascii="Book Antiqua" w:hAnsi="Book Antiqua"/>
        </w:rPr>
        <w:t>:</w:t>
      </w:r>
    </w:p>
    <w:p w:rsidR="00856201" w:rsidRPr="00D1693E" w:rsidRDefault="00856201" w:rsidP="00D1693E">
      <w:pPr>
        <w:rPr>
          <w:rFonts w:ascii="Book Antiqua" w:hAnsi="Book Antiqua"/>
        </w:rPr>
      </w:pPr>
    </w:p>
    <w:p w:rsidR="00EC5022" w:rsidRPr="00D1693E" w:rsidRDefault="00EC5022" w:rsidP="00D1693E">
      <w:pPr>
        <w:spacing w:before="100" w:beforeAutospacing="1" w:after="100" w:afterAutospacing="1"/>
        <w:ind w:left="2160"/>
        <w:jc w:val="both"/>
        <w:rPr>
          <w:rFonts w:ascii="Book Antiqua" w:hAnsi="Book Antiqua"/>
          <w:sz w:val="22"/>
          <w:szCs w:val="22"/>
        </w:rPr>
      </w:pPr>
      <w:r w:rsidRPr="00D1693E">
        <w:rPr>
          <w:rFonts w:ascii="Book Antiqua" w:hAnsi="Book Antiqua"/>
          <w:sz w:val="22"/>
          <w:szCs w:val="22"/>
        </w:rPr>
        <w:t>“In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usually be sufficient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p>
    <w:p w:rsidR="00B2017A" w:rsidRPr="00D1693E" w:rsidRDefault="00B2017A" w:rsidP="00D1693E">
      <w:pPr>
        <w:pStyle w:val="ListParagraph"/>
        <w:numPr>
          <w:ilvl w:val="0"/>
          <w:numId w:val="1"/>
        </w:numPr>
        <w:jc w:val="both"/>
        <w:rPr>
          <w:rFonts w:ascii="Book Antiqua" w:hAnsi="Book Antiqua"/>
        </w:rPr>
      </w:pPr>
      <w:bookmarkStart w:id="2" w:name="para8"/>
      <w:r w:rsidRPr="00D1693E">
        <w:rPr>
          <w:rFonts w:ascii="Book Antiqua" w:hAnsi="Book Antiqua"/>
        </w:rPr>
        <w:t xml:space="preserve">In </w:t>
      </w:r>
      <w:r w:rsidRPr="00D1693E">
        <w:rPr>
          <w:rFonts w:ascii="Book Antiqua" w:hAnsi="Book Antiqua"/>
          <w:u w:val="single"/>
        </w:rPr>
        <w:t>NA (Pakistan) v Home Secretary</w:t>
      </w:r>
      <w:r w:rsidRPr="00D1693E">
        <w:rPr>
          <w:rFonts w:ascii="Book Antiqua" w:hAnsi="Book Antiqua"/>
        </w:rPr>
        <w:t xml:space="preserve"> </w:t>
      </w:r>
      <w:bookmarkEnd w:id="2"/>
      <w:r w:rsidRPr="00D1693E">
        <w:rPr>
          <w:rFonts w:ascii="Book Antiqua" w:hAnsi="Book Antiqua"/>
        </w:rPr>
        <w:fldChar w:fldCharType="begin"/>
      </w:r>
      <w:r w:rsidRPr="00D1693E">
        <w:rPr>
          <w:rFonts w:ascii="Book Antiqua" w:hAnsi="Book Antiqua"/>
        </w:rPr>
        <w:instrText xml:space="preserve"> HYPERLINK "http://www.bailii.org/ew/cases/EWCA/Civ/2016/662.html" \o "Link to BAILII version" </w:instrText>
      </w:r>
      <w:r w:rsidRPr="00D1693E">
        <w:rPr>
          <w:rFonts w:ascii="Book Antiqua" w:hAnsi="Book Antiqua"/>
        </w:rPr>
        <w:fldChar w:fldCharType="separate"/>
      </w:r>
      <w:r w:rsidRPr="00D1693E">
        <w:t xml:space="preserve">[2016] EWCA </w:t>
      </w:r>
      <w:proofErr w:type="spellStart"/>
      <w:r w:rsidRPr="00D1693E">
        <w:t>Civ</w:t>
      </w:r>
      <w:proofErr w:type="spellEnd"/>
      <w:r w:rsidRPr="00D1693E">
        <w:t xml:space="preserve"> 662</w:t>
      </w:r>
      <w:r w:rsidRPr="00D1693E">
        <w:rPr>
          <w:rFonts w:ascii="Book Antiqua" w:hAnsi="Book Antiqua"/>
        </w:rPr>
        <w:fldChar w:fldCharType="end"/>
      </w:r>
      <w:r w:rsidRPr="00D1693E">
        <w:rPr>
          <w:rFonts w:ascii="Book Antiqua" w:hAnsi="Book Antiqua"/>
        </w:rPr>
        <w:t xml:space="preserve">, </w:t>
      </w:r>
      <w:hyperlink r:id="rId8" w:tooltip="Link to BAILII version" w:history="1">
        <w:r w:rsidRPr="00D1693E">
          <w:t>[2017] 1 WLR 207</w:t>
        </w:r>
      </w:hyperlink>
      <w:r w:rsidRPr="00D1693E">
        <w:rPr>
          <w:rFonts w:ascii="Book Antiqua" w:hAnsi="Book Antiqua"/>
        </w:rPr>
        <w:t>, Jackson LJ, giving the judgment of the Court of Appeal, noted at [24] that it is a "</w:t>
      </w:r>
      <w:r w:rsidRPr="00D1693E">
        <w:rPr>
          <w:rFonts w:ascii="Book Antiqua" w:hAnsi="Book Antiqua"/>
          <w:i/>
        </w:rPr>
        <w:t>curious feature of section 117C(3) [of the 2002 Act] … that it does not make any provision for medium offenders who fall outside Exceptions 1 and 2</w:t>
      </w:r>
      <w:r w:rsidRPr="00D1693E">
        <w:rPr>
          <w:rFonts w:ascii="Book Antiqua" w:hAnsi="Book Antiqua"/>
        </w:rPr>
        <w:t>". The Court concluded at [28] that, on a proper construction of section 117</w:t>
      </w:r>
      <w:proofErr w:type="gramStart"/>
      <w:r w:rsidRPr="00D1693E">
        <w:rPr>
          <w:rFonts w:ascii="Book Antiqua" w:hAnsi="Book Antiqua"/>
        </w:rPr>
        <w:t>C(</w:t>
      </w:r>
      <w:proofErr w:type="gramEnd"/>
      <w:r w:rsidRPr="00D1693E">
        <w:rPr>
          <w:rFonts w:ascii="Book Antiqua" w:hAnsi="Book Antiqua"/>
        </w:rPr>
        <w:t xml:space="preserve">3), it provides that for ‘medium offenders’ (i.e. those with sentences of between one and four years' imprisonment): </w:t>
      </w:r>
    </w:p>
    <w:p w:rsidR="00EC5022" w:rsidRPr="00D1693E" w:rsidRDefault="00B2017A" w:rsidP="00D1693E">
      <w:pPr>
        <w:spacing w:beforeAutospacing="1" w:afterAutospacing="1"/>
        <w:ind w:left="2160"/>
        <w:jc w:val="both"/>
        <w:rPr>
          <w:rFonts w:ascii="Book Antiqua" w:hAnsi="Book Antiqua"/>
          <w:sz w:val="22"/>
          <w:szCs w:val="22"/>
        </w:rPr>
      </w:pPr>
      <w:r w:rsidRPr="00D1693E">
        <w:rPr>
          <w:rFonts w:ascii="Book Antiqua" w:hAnsi="Book Antiqua"/>
          <w:sz w:val="22"/>
          <w:szCs w:val="22"/>
        </w:rPr>
        <w:t xml:space="preserve">"the public interest requires C's deportation unless Exception 1 or Exception 2 applies </w:t>
      </w:r>
      <w:r w:rsidRPr="00D1693E">
        <w:rPr>
          <w:rFonts w:ascii="Book Antiqua" w:hAnsi="Book Antiqua"/>
          <w:i/>
          <w:iCs/>
          <w:sz w:val="22"/>
          <w:szCs w:val="22"/>
        </w:rPr>
        <w:t>or unless</w:t>
      </w:r>
      <w:r w:rsidR="00856201">
        <w:rPr>
          <w:rFonts w:ascii="Book Antiqua" w:hAnsi="Book Antiqua"/>
          <w:i/>
          <w:iCs/>
          <w:sz w:val="22"/>
          <w:szCs w:val="22"/>
        </w:rPr>
        <w:t xml:space="preserve"> </w:t>
      </w:r>
      <w:r w:rsidRPr="00D1693E">
        <w:rPr>
          <w:rFonts w:ascii="Book Antiqua" w:hAnsi="Book Antiqua"/>
          <w:i/>
          <w:iCs/>
          <w:sz w:val="22"/>
          <w:szCs w:val="22"/>
        </w:rPr>
        <w:t>there are very compelling circumstances, over and above those described in Exceptions 1 and 2</w:t>
      </w:r>
      <w:r w:rsidRPr="00D1693E">
        <w:rPr>
          <w:rFonts w:ascii="Book Antiqua" w:hAnsi="Book Antiqua"/>
          <w:sz w:val="22"/>
          <w:szCs w:val="22"/>
        </w:rPr>
        <w:t>". (Emphasis added.)</w:t>
      </w:r>
    </w:p>
    <w:p w:rsidR="00B2017A" w:rsidRPr="00D1693E" w:rsidRDefault="00B2017A" w:rsidP="00D1693E">
      <w:pPr>
        <w:pStyle w:val="ListParagraph"/>
        <w:numPr>
          <w:ilvl w:val="0"/>
          <w:numId w:val="1"/>
        </w:numPr>
        <w:jc w:val="both"/>
        <w:rPr>
          <w:rFonts w:ascii="Book Antiqua" w:hAnsi="Book Antiqua"/>
        </w:rPr>
      </w:pPr>
      <w:bookmarkStart w:id="3" w:name="para9"/>
      <w:r w:rsidRPr="00D1693E">
        <w:rPr>
          <w:rFonts w:ascii="Book Antiqua" w:hAnsi="Book Antiqua"/>
        </w:rPr>
        <w:t xml:space="preserve">So construed, section 117C of the 2002 Act chimes with the relevant Immigration Rules </w:t>
      </w:r>
      <w:r w:rsidR="00660AEC" w:rsidRPr="00D1693E">
        <w:rPr>
          <w:rFonts w:ascii="Book Antiqua" w:hAnsi="Book Antiqua"/>
        </w:rPr>
        <w:t>at</w:t>
      </w:r>
      <w:r w:rsidRPr="00D1693E">
        <w:rPr>
          <w:rFonts w:ascii="Book Antiqua" w:hAnsi="Book Antiqua"/>
        </w:rPr>
        <w:t xml:space="preserve"> paragraph</w:t>
      </w:r>
      <w:r w:rsidR="00660AEC" w:rsidRPr="00D1693E">
        <w:rPr>
          <w:rFonts w:ascii="Book Antiqua" w:hAnsi="Book Antiqua"/>
        </w:rPr>
        <w:t>s</w:t>
      </w:r>
      <w:r w:rsidRPr="00D1693E">
        <w:rPr>
          <w:rFonts w:ascii="Book Antiqua" w:hAnsi="Book Antiqua"/>
        </w:rPr>
        <w:t xml:space="preserve"> 398</w:t>
      </w:r>
      <w:r w:rsidR="00660AEC" w:rsidRPr="00D1693E">
        <w:rPr>
          <w:rFonts w:ascii="Book Antiqua" w:hAnsi="Book Antiqua"/>
        </w:rPr>
        <w:t xml:space="preserve"> and 399</w:t>
      </w:r>
      <w:bookmarkEnd w:id="3"/>
      <w:r w:rsidR="00660AEC" w:rsidRPr="00D1693E">
        <w:rPr>
          <w:rFonts w:ascii="Book Antiqua" w:hAnsi="Book Antiqua"/>
        </w:rPr>
        <w:t>.</w:t>
      </w:r>
    </w:p>
    <w:p w:rsidR="00660AEC" w:rsidRPr="00856201" w:rsidRDefault="00660AEC" w:rsidP="00856201">
      <w:pPr>
        <w:pStyle w:val="ListParagraph"/>
        <w:ind w:left="1280"/>
        <w:jc w:val="both"/>
        <w:rPr>
          <w:rFonts w:ascii="Book Antiqua" w:hAnsi="Book Antiqua"/>
        </w:rPr>
      </w:pPr>
    </w:p>
    <w:p w:rsidR="00B2017A" w:rsidRPr="00660AEC" w:rsidRDefault="00B2017A" w:rsidP="00D1693E">
      <w:pPr>
        <w:pStyle w:val="ListParagraph"/>
        <w:numPr>
          <w:ilvl w:val="0"/>
          <w:numId w:val="1"/>
        </w:numPr>
        <w:jc w:val="both"/>
        <w:rPr>
          <w:rFonts w:ascii="Book Antiqua" w:hAnsi="Book Antiqua"/>
        </w:rPr>
      </w:pPr>
      <w:r w:rsidRPr="00660AEC">
        <w:rPr>
          <w:rFonts w:ascii="Book Antiqua" w:hAnsi="Book Antiqua"/>
        </w:rPr>
        <w:t>The Court of Ap</w:t>
      </w:r>
      <w:r w:rsidR="00660AEC" w:rsidRPr="00660AEC">
        <w:rPr>
          <w:rFonts w:ascii="Book Antiqua" w:hAnsi="Book Antiqua"/>
        </w:rPr>
        <w:t>peal considered the meaning of ‘</w:t>
      </w:r>
      <w:r w:rsidRPr="00660AEC">
        <w:rPr>
          <w:rFonts w:ascii="Book Antiqua" w:hAnsi="Book Antiqua"/>
        </w:rPr>
        <w:t>very compelling circumstances, over and above those described in Exceptions 1 an</w:t>
      </w:r>
      <w:r w:rsidR="00660AEC" w:rsidRPr="00660AEC">
        <w:rPr>
          <w:rFonts w:ascii="Book Antiqua" w:hAnsi="Book Antiqua"/>
        </w:rPr>
        <w:t>d 2’</w:t>
      </w:r>
      <w:r w:rsidRPr="00660AEC">
        <w:rPr>
          <w:rFonts w:ascii="Book Antiqua" w:hAnsi="Book Antiqua"/>
        </w:rPr>
        <w:t xml:space="preserve"> in </w:t>
      </w:r>
      <w:r w:rsidRPr="00660AEC">
        <w:rPr>
          <w:rFonts w:ascii="Book Antiqua" w:hAnsi="Book Antiqua"/>
          <w:iCs/>
          <w:u w:val="single"/>
        </w:rPr>
        <w:t>NA (Pakistan)</w:t>
      </w:r>
      <w:r w:rsidRPr="00660AEC">
        <w:rPr>
          <w:rFonts w:ascii="Book Antiqua" w:hAnsi="Book Antiqua"/>
        </w:rPr>
        <w:t>. The C</w:t>
      </w:r>
      <w:r w:rsidR="00660AEC" w:rsidRPr="00660AEC">
        <w:rPr>
          <w:rFonts w:ascii="Book Antiqua" w:hAnsi="Book Antiqua"/>
        </w:rPr>
        <w:t>ourt concluded at [29]</w:t>
      </w:r>
      <w:r w:rsidRPr="00660AEC">
        <w:rPr>
          <w:rFonts w:ascii="Book Antiqua" w:hAnsi="Book Antiqua"/>
        </w:rPr>
        <w:t xml:space="preserve"> that a foreign criminal facing deportation is not "</w:t>
      </w:r>
      <w:r w:rsidRPr="00660AEC">
        <w:rPr>
          <w:rFonts w:ascii="Book Antiqua" w:hAnsi="Book Antiqua"/>
          <w:i/>
        </w:rPr>
        <w:t xml:space="preserve">altogether disentitled from seeking to rely on matters falling within </w:t>
      </w:r>
      <w:r w:rsidRPr="00660AEC">
        <w:rPr>
          <w:rFonts w:ascii="Book Antiqua" w:hAnsi="Book Antiqua"/>
          <w:i/>
        </w:rPr>
        <w:lastRenderedPageBreak/>
        <w:t>the scope of the circumstances described in Exceptions 1 and 2 when seeking to contend that 'there are very compelling circumstances, over and above those described in Exceptions 1 and 2</w:t>
      </w:r>
      <w:r w:rsidRPr="00660AEC">
        <w:rPr>
          <w:rFonts w:ascii="Book Antiqua" w:hAnsi="Book Antiqua"/>
        </w:rPr>
        <w:t xml:space="preserve">". The position is rather that: </w:t>
      </w:r>
    </w:p>
    <w:p w:rsidR="00660AEC" w:rsidRDefault="00660AEC" w:rsidP="00660AEC">
      <w:pPr>
        <w:pStyle w:val="ListParagraph"/>
        <w:spacing w:beforeAutospacing="1" w:afterAutospacing="1"/>
        <w:ind w:left="1280"/>
        <w:jc w:val="both"/>
        <w:rPr>
          <w:rFonts w:ascii="Book Antiqua" w:hAnsi="Book Antiqua"/>
          <w:sz w:val="22"/>
          <w:szCs w:val="22"/>
        </w:rPr>
      </w:pPr>
    </w:p>
    <w:p w:rsidR="00B2017A" w:rsidRDefault="00B2017A" w:rsidP="00660A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"a foreign criminal is entitled to rely upon such matters, but he would need to be able to point to features of his case of a kind mentioned in Exceptions 1 and 2 (and in paragraphs 399 or 399A of the 2014 rules), or features falling outside the circumstances described in those exceptions and those paragraphs, which made his claim based on article 8 especially strong".</w:t>
      </w:r>
    </w:p>
    <w:p w:rsidR="00660AEC" w:rsidRPr="00660AEC" w:rsidRDefault="00660AEC" w:rsidP="00660AEC">
      <w:pPr>
        <w:pStyle w:val="ListParagraph"/>
        <w:spacing w:beforeAutospacing="1" w:afterAutospacing="1"/>
        <w:ind w:left="2160"/>
        <w:jc w:val="both"/>
        <w:rPr>
          <w:rFonts w:ascii="Book Antiqua" w:hAnsi="Book Antiqua"/>
        </w:rPr>
      </w:pPr>
    </w:p>
    <w:p w:rsidR="00B2017A" w:rsidRPr="00660AEC" w:rsidRDefault="00B2017A" w:rsidP="00D1693E">
      <w:pPr>
        <w:pStyle w:val="ListParagraph"/>
        <w:numPr>
          <w:ilvl w:val="0"/>
          <w:numId w:val="1"/>
        </w:numPr>
        <w:jc w:val="both"/>
        <w:rPr>
          <w:rFonts w:ascii="Book Antiqua" w:hAnsi="Book Antiqua"/>
        </w:rPr>
      </w:pPr>
      <w:r w:rsidRPr="00660AEC">
        <w:rPr>
          <w:rFonts w:ascii="Book Antiqua" w:hAnsi="Book Antiqua"/>
        </w:rPr>
        <w:t>In the case o</w:t>
      </w:r>
      <w:r w:rsidR="00660AEC" w:rsidRPr="00660AEC">
        <w:rPr>
          <w:rFonts w:ascii="Book Antiqua" w:hAnsi="Book Antiqua"/>
        </w:rPr>
        <w:t>f a medium offender</w:t>
      </w:r>
      <w:r w:rsidR="00306F85">
        <w:rPr>
          <w:rFonts w:ascii="Book Antiqua" w:hAnsi="Book Antiqua"/>
        </w:rPr>
        <w:t xml:space="preserve"> like Mr </w:t>
      </w:r>
      <w:r w:rsidR="001B4BAE">
        <w:rPr>
          <w:rFonts w:ascii="Book Antiqua" w:hAnsi="Book Antiqua"/>
        </w:rPr>
        <w:t>[D]</w:t>
      </w:r>
      <w:r w:rsidR="00660AEC" w:rsidRPr="00660AEC">
        <w:rPr>
          <w:rFonts w:ascii="Book Antiqua" w:hAnsi="Book Antiqua"/>
        </w:rPr>
        <w:t xml:space="preserve">, therefore </w:t>
      </w:r>
      <w:r w:rsidRPr="00660AEC">
        <w:rPr>
          <w:rFonts w:ascii="Book Antiqua" w:hAnsi="Book Antiqua"/>
        </w:rPr>
        <w:t xml:space="preserve">as explained </w:t>
      </w:r>
      <w:r w:rsidR="00660AEC" w:rsidRPr="00660AEC">
        <w:rPr>
          <w:rFonts w:ascii="Book Antiqua" w:hAnsi="Book Antiqua"/>
        </w:rPr>
        <w:t>at [32]</w:t>
      </w:r>
      <w:r w:rsidRPr="00660AEC">
        <w:rPr>
          <w:rFonts w:ascii="Book Antiqua" w:hAnsi="Book Antiqua"/>
        </w:rPr>
        <w:t>:</w:t>
      </w:r>
    </w:p>
    <w:p w:rsidR="00660AEC" w:rsidRPr="00660AEC" w:rsidRDefault="00660AEC" w:rsidP="00660AEC">
      <w:pPr>
        <w:pStyle w:val="ListParagraph"/>
        <w:ind w:left="1280"/>
        <w:jc w:val="both"/>
        <w:rPr>
          <w:rFonts w:ascii="Book Antiqua" w:hAnsi="Book Antiqua"/>
        </w:rPr>
      </w:pPr>
    </w:p>
    <w:p w:rsidR="00B2017A" w:rsidRDefault="00B2017A" w:rsidP="00660A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"if all he could advance in support of his article 8 claim was a 'near </w:t>
      </w:r>
      <w:proofErr w:type="spellStart"/>
      <w:r w:rsidRPr="00B2017A">
        <w:rPr>
          <w:rFonts w:ascii="Book Antiqua" w:hAnsi="Book Antiqua"/>
          <w:sz w:val="22"/>
          <w:szCs w:val="22"/>
        </w:rPr>
        <w:t>miss'</w:t>
      </w:r>
      <w:proofErr w:type="spellEnd"/>
      <w:r w:rsidRPr="00B2017A">
        <w:rPr>
          <w:rFonts w:ascii="Book Antiqua" w:hAnsi="Book Antiqua"/>
          <w:sz w:val="22"/>
          <w:szCs w:val="22"/>
        </w:rPr>
        <w:t xml:space="preserve"> case in which he fell short of bringing himself within either Exception 1 or Exception 2, it would not be possible to say that he had shown that there were 'very compelling circumstances, over and above those described in Exceptions 1 and 2'. He would need to have a far stronger case than that by reference to the interests protected by article 8 to bring himself within that </w:t>
      </w:r>
      <w:proofErr w:type="gramStart"/>
      <w:r w:rsidRPr="00B2017A">
        <w:rPr>
          <w:rFonts w:ascii="Book Antiqua" w:hAnsi="Book Antiqua"/>
          <w:sz w:val="22"/>
          <w:szCs w:val="22"/>
        </w:rPr>
        <w:t>fall back</w:t>
      </w:r>
      <w:proofErr w:type="gramEnd"/>
      <w:r w:rsidRPr="00B2017A">
        <w:rPr>
          <w:rFonts w:ascii="Book Antiqua" w:hAnsi="Book Antiqua"/>
          <w:sz w:val="22"/>
          <w:szCs w:val="22"/>
        </w:rPr>
        <w:t xml:space="preserve"> protection. But again, in principle there may be cases in which such an offender can say that features of his case of a kind described in Exceptions 1 and 2 have such great force for article 8 purposes that they do constitute such very compelling circumstances, whether taken by themselves or in conjunction with other factors relevant to article 8 but not falling within the factors described in Exceptions 1 and 2. The decision-maker, be it the Secretary of State or a tribunal, must look at all the matters relied upon collectively, in order to determine whether they are sufficiently compelling to outweigh the high public interest in deportation."</w:t>
      </w:r>
    </w:p>
    <w:p w:rsidR="00643F41" w:rsidRPr="00643F41" w:rsidRDefault="00643F41" w:rsidP="00660AEC">
      <w:pPr>
        <w:pStyle w:val="ListParagraph"/>
        <w:spacing w:beforeAutospacing="1" w:afterAutospacing="1"/>
        <w:ind w:left="2160"/>
        <w:jc w:val="both"/>
        <w:rPr>
          <w:rFonts w:ascii="Book Antiqua" w:hAnsi="Book Antiqua"/>
        </w:rPr>
      </w:pPr>
    </w:p>
    <w:p w:rsidR="00643F41" w:rsidRDefault="00B2017A" w:rsidP="00D1693E">
      <w:pPr>
        <w:pStyle w:val="ListParagraph"/>
        <w:numPr>
          <w:ilvl w:val="0"/>
          <w:numId w:val="1"/>
        </w:numPr>
        <w:jc w:val="both"/>
        <w:rPr>
          <w:rFonts w:ascii="Book Antiqua" w:hAnsi="Book Antiqua"/>
        </w:rPr>
      </w:pPr>
      <w:r w:rsidRPr="00643F41">
        <w:rPr>
          <w:rFonts w:ascii="Book Antiqua" w:hAnsi="Book Antiqua"/>
        </w:rPr>
        <w:t xml:space="preserve">The law relating to the deportation of foreign criminals was considered by the Supreme Court in </w:t>
      </w:r>
      <w:proofErr w:type="spellStart"/>
      <w:r w:rsidR="00BB39EC" w:rsidRPr="00643F41">
        <w:rPr>
          <w:rFonts w:ascii="Book Antiqua" w:hAnsi="Book Antiqua"/>
          <w:u w:val="single"/>
        </w:rPr>
        <w:t>Hasham</w:t>
      </w:r>
      <w:proofErr w:type="spellEnd"/>
      <w:r w:rsidR="00BB39EC" w:rsidRPr="00643F41">
        <w:rPr>
          <w:rFonts w:ascii="Book Antiqua" w:hAnsi="Book Antiqua"/>
          <w:u w:val="single"/>
        </w:rPr>
        <w:t xml:space="preserve"> </w:t>
      </w:r>
      <w:r w:rsidRPr="00643F41">
        <w:rPr>
          <w:rFonts w:ascii="Book Antiqua" w:hAnsi="Book Antiqua"/>
          <w:iCs/>
          <w:u w:val="single"/>
        </w:rPr>
        <w:t>Ali v Home Secretary</w:t>
      </w:r>
      <w:r w:rsidRPr="00643F41">
        <w:rPr>
          <w:rFonts w:ascii="Book Antiqua" w:hAnsi="Book Antiqua"/>
          <w:i/>
          <w:iCs/>
        </w:rPr>
        <w:t xml:space="preserve"> </w:t>
      </w:r>
      <w:hyperlink r:id="rId9" w:tooltip="Link to BAILII version" w:history="1">
        <w:r w:rsidRPr="00643F41">
          <w:rPr>
            <w:rStyle w:val="Hyperlink"/>
            <w:rFonts w:ascii="Book Antiqua" w:hAnsi="Book Antiqua"/>
            <w:color w:val="auto"/>
            <w:u w:val="none"/>
          </w:rPr>
          <w:t>[2016] UKSC 60</w:t>
        </w:r>
      </w:hyperlink>
      <w:r w:rsidRPr="00643F41">
        <w:rPr>
          <w:rFonts w:ascii="Book Antiqua" w:hAnsi="Book Antiqua"/>
        </w:rPr>
        <w:t xml:space="preserve">, </w:t>
      </w:r>
      <w:hyperlink r:id="rId10" w:tooltip="Link to BAILII version" w:history="1">
        <w:r w:rsidRPr="00643F41">
          <w:rPr>
            <w:rStyle w:val="Hyperlink"/>
            <w:rFonts w:ascii="Book Antiqua" w:hAnsi="Book Antiqua"/>
            <w:color w:val="auto"/>
            <w:u w:val="none"/>
          </w:rPr>
          <w:t>[2016] 1 WLR 4799</w:t>
        </w:r>
      </w:hyperlink>
      <w:r w:rsidRPr="00643F41">
        <w:rPr>
          <w:rFonts w:ascii="Book Antiqua" w:hAnsi="Book Antiqua"/>
        </w:rPr>
        <w:t xml:space="preserve">. At the dates with which it was concerned, sections 117A to 117D of the 2002 Act were not yet in force, </w:t>
      </w:r>
      <w:r w:rsidR="00BB39EC" w:rsidRPr="00643F41">
        <w:rPr>
          <w:rFonts w:ascii="Book Antiqua" w:hAnsi="Book Antiqua"/>
        </w:rPr>
        <w:t>and the Immigration Rules in</w:t>
      </w:r>
      <w:r w:rsidR="00701EC6" w:rsidRPr="00643F41">
        <w:rPr>
          <w:rFonts w:ascii="Book Antiqua" w:hAnsi="Book Antiqua"/>
        </w:rPr>
        <w:t xml:space="preserve"> </w:t>
      </w:r>
      <w:r w:rsidR="00BB39EC" w:rsidRPr="00643F41">
        <w:rPr>
          <w:rFonts w:ascii="Book Antiqua" w:hAnsi="Book Antiqua"/>
        </w:rPr>
        <w:t xml:space="preserve">force at the time was the focus of thee consideration of the relevant principles.  However, as observed </w:t>
      </w:r>
      <w:r w:rsidR="00643F41" w:rsidRPr="00643F41">
        <w:rPr>
          <w:rFonts w:ascii="Book Antiqua" w:hAnsi="Book Antiqua"/>
        </w:rPr>
        <w:t xml:space="preserve">by </w:t>
      </w:r>
      <w:proofErr w:type="spellStart"/>
      <w:r w:rsidR="00643F41" w:rsidRPr="00643F41">
        <w:rPr>
          <w:rFonts w:ascii="Book Antiqua" w:hAnsi="Book Antiqua"/>
        </w:rPr>
        <w:t>Hickinbottom</w:t>
      </w:r>
      <w:proofErr w:type="spellEnd"/>
      <w:r w:rsidR="00643F41" w:rsidRPr="00643F41">
        <w:rPr>
          <w:rFonts w:ascii="Book Antiqua" w:hAnsi="Book Antiqua"/>
        </w:rPr>
        <w:t xml:space="preserve"> LJ </w:t>
      </w:r>
      <w:r w:rsidR="00BB39EC" w:rsidRPr="00643F41">
        <w:rPr>
          <w:rFonts w:ascii="Book Antiqua" w:hAnsi="Book Antiqua"/>
        </w:rPr>
        <w:t xml:space="preserve">in </w:t>
      </w:r>
      <w:r w:rsidR="00BB39EC" w:rsidRPr="00643F41">
        <w:rPr>
          <w:rFonts w:ascii="Book Antiqua" w:hAnsi="Book Antiqua"/>
          <w:u w:val="single"/>
        </w:rPr>
        <w:t>KE (Nigeria)</w:t>
      </w:r>
      <w:r w:rsidR="00643F41" w:rsidRPr="00643F41">
        <w:rPr>
          <w:rFonts w:ascii="Book Antiqua" w:hAnsi="Book Antiqua"/>
          <w:u w:val="single"/>
        </w:rPr>
        <w:t xml:space="preserve"> v SSHD</w:t>
      </w:r>
      <w:r w:rsidR="00643F41" w:rsidRPr="00643F41">
        <w:rPr>
          <w:rFonts w:ascii="Book Antiqua" w:hAnsi="Book Antiqua"/>
        </w:rPr>
        <w:t xml:space="preserve"> [2017] EWCA </w:t>
      </w:r>
      <w:proofErr w:type="spellStart"/>
      <w:r w:rsidR="00643F41" w:rsidRPr="00643F41">
        <w:rPr>
          <w:rFonts w:ascii="Book Antiqua" w:hAnsi="Book Antiqua"/>
        </w:rPr>
        <w:t>Civ</w:t>
      </w:r>
      <w:proofErr w:type="spellEnd"/>
      <w:r w:rsidR="00643F41" w:rsidRPr="00643F41">
        <w:rPr>
          <w:rFonts w:ascii="Book Antiqua" w:hAnsi="Book Antiqua"/>
        </w:rPr>
        <w:t xml:space="preserve"> 1382, [2018] WLR 2610 </w:t>
      </w:r>
      <w:r w:rsidR="003A11FA">
        <w:rPr>
          <w:rFonts w:ascii="Book Antiqua" w:hAnsi="Book Antiqua"/>
        </w:rPr>
        <w:t xml:space="preserve">(19 September 2017) </w:t>
      </w:r>
      <w:r w:rsidR="00643F41" w:rsidRPr="00643F41">
        <w:rPr>
          <w:rFonts w:ascii="Book Antiqua" w:hAnsi="Book Antiqua"/>
        </w:rPr>
        <w:t>at</w:t>
      </w:r>
      <w:bookmarkStart w:id="4" w:name="para30"/>
      <w:r w:rsidR="00643F41" w:rsidRPr="00643F41">
        <w:rPr>
          <w:rFonts w:ascii="Book Antiqua" w:hAnsi="Book Antiqua"/>
        </w:rPr>
        <w:t xml:space="preserve"> [35]</w:t>
      </w:r>
      <w:bookmarkStart w:id="5" w:name="para35"/>
      <w:r w:rsidR="00643F41" w:rsidRPr="00643F41">
        <w:rPr>
          <w:rFonts w:ascii="Book Antiqua" w:hAnsi="Book Antiqua"/>
        </w:rPr>
        <w:t xml:space="preserve"> since </w:t>
      </w:r>
      <w:proofErr w:type="spellStart"/>
      <w:r w:rsidR="00643F41" w:rsidRPr="00643F41">
        <w:rPr>
          <w:rFonts w:ascii="Book Antiqua" w:hAnsi="Book Antiqua"/>
          <w:u w:val="single"/>
        </w:rPr>
        <w:t>Hasham</w:t>
      </w:r>
      <w:proofErr w:type="spellEnd"/>
      <w:r w:rsidR="00643F41" w:rsidRPr="00643F41">
        <w:rPr>
          <w:rFonts w:ascii="Book Antiqua" w:hAnsi="Book Antiqua"/>
          <w:u w:val="single"/>
        </w:rPr>
        <w:t xml:space="preserve"> Ali</w:t>
      </w:r>
      <w:r w:rsidR="00643F41" w:rsidRPr="00643F41">
        <w:rPr>
          <w:rFonts w:ascii="Book Antiqua" w:hAnsi="Book Antiqua"/>
        </w:rPr>
        <w:t xml:space="preserve">, the relevant Government policy has been encapsulated in statute rather than merely Immigration Rules, but the principles and approach expounded by Lord Reed still apply; although, in considering the appropriate weight to be given </w:t>
      </w:r>
      <w:r w:rsidR="003E009A">
        <w:rPr>
          <w:rFonts w:ascii="Book Antiqua" w:hAnsi="Book Antiqua"/>
        </w:rPr>
        <w:t xml:space="preserve">to </w:t>
      </w:r>
      <w:r w:rsidR="00643F41" w:rsidRPr="00643F41">
        <w:rPr>
          <w:rFonts w:ascii="Book Antiqua" w:hAnsi="Book Antiqua"/>
        </w:rPr>
        <w:t>the assessment of the strength of the general public interest in the deportation of foreign offenders, any decision-maker, court or tribunal conducting the article 8(2) exercise has to bear in mind that that is now incorporated into statute, and so, even more starkly, reflects the will of Parliament.</w:t>
      </w:r>
      <w:r w:rsidR="003A11FA">
        <w:rPr>
          <w:rFonts w:ascii="Book Antiqua" w:hAnsi="Book Antiqua"/>
        </w:rPr>
        <w:t xml:space="preserve">  This can be contrasted with the approach in </w:t>
      </w:r>
      <w:r w:rsidR="003A11FA" w:rsidRPr="00647019">
        <w:rPr>
          <w:rFonts w:ascii="Book Antiqua" w:hAnsi="Book Antiqua"/>
          <w:u w:val="single"/>
        </w:rPr>
        <w:t>NE-A (Nigeria) v SSHD</w:t>
      </w:r>
      <w:r w:rsidR="003A11FA">
        <w:rPr>
          <w:rFonts w:ascii="Book Antiqua" w:hAnsi="Book Antiqua"/>
        </w:rPr>
        <w:t xml:space="preserve"> [2017] EWCA </w:t>
      </w:r>
      <w:proofErr w:type="spellStart"/>
      <w:r w:rsidR="003A11FA">
        <w:rPr>
          <w:rFonts w:ascii="Book Antiqua" w:hAnsi="Book Antiqua"/>
        </w:rPr>
        <w:t>Civ</w:t>
      </w:r>
      <w:proofErr w:type="spellEnd"/>
      <w:r w:rsidR="003A11FA">
        <w:rPr>
          <w:rFonts w:ascii="Book Antiqua" w:hAnsi="Book Antiqua"/>
        </w:rPr>
        <w:t xml:space="preserve"> 239 (11 April 2017) at [14-15], albeit this case entirely focussed upon long term and not </w:t>
      </w:r>
      <w:proofErr w:type="gramStart"/>
      <w:r w:rsidR="003A11FA">
        <w:rPr>
          <w:rFonts w:ascii="Book Antiqua" w:hAnsi="Book Antiqua"/>
        </w:rPr>
        <w:t>medium term</w:t>
      </w:r>
      <w:proofErr w:type="gramEnd"/>
      <w:r w:rsidR="003A11FA">
        <w:rPr>
          <w:rFonts w:ascii="Book Antiqua" w:hAnsi="Book Antiqua"/>
        </w:rPr>
        <w:t xml:space="preserve"> offenders</w:t>
      </w:r>
      <w:r w:rsidR="00671D5A">
        <w:rPr>
          <w:rFonts w:ascii="Book Antiqua" w:hAnsi="Book Antiqua"/>
        </w:rPr>
        <w:t xml:space="preserve">, and is not referred to in </w:t>
      </w:r>
      <w:r w:rsidR="00671D5A" w:rsidRPr="00D1693E">
        <w:rPr>
          <w:rFonts w:ascii="Book Antiqua" w:hAnsi="Book Antiqua"/>
          <w:u w:val="single"/>
        </w:rPr>
        <w:t>KE (Nigeria)</w:t>
      </w:r>
      <w:r w:rsidR="003A11FA">
        <w:rPr>
          <w:rFonts w:ascii="Book Antiqua" w:hAnsi="Book Antiqua"/>
        </w:rPr>
        <w:t>.</w:t>
      </w:r>
      <w:r w:rsidR="00643F41" w:rsidRPr="00643F41">
        <w:rPr>
          <w:rFonts w:ascii="Book Antiqua" w:hAnsi="Book Antiqua"/>
        </w:rPr>
        <w:t xml:space="preserve"> </w:t>
      </w:r>
      <w:bookmarkEnd w:id="5"/>
    </w:p>
    <w:p w:rsidR="00643F41" w:rsidRPr="00306F85" w:rsidRDefault="00643F41" w:rsidP="00643F41">
      <w:pPr>
        <w:pStyle w:val="ListParagraph"/>
        <w:ind w:left="1280"/>
        <w:jc w:val="both"/>
        <w:rPr>
          <w:rFonts w:ascii="Book Antiqua" w:hAnsi="Book Antiqua"/>
        </w:rPr>
      </w:pPr>
    </w:p>
    <w:p w:rsidR="00643F41" w:rsidRPr="00D1693E" w:rsidRDefault="00701EC6" w:rsidP="00D1693E">
      <w:pPr>
        <w:pStyle w:val="ListParagraph"/>
        <w:numPr>
          <w:ilvl w:val="0"/>
          <w:numId w:val="1"/>
        </w:numPr>
        <w:jc w:val="both"/>
        <w:rPr>
          <w:rFonts w:ascii="Book Antiqua" w:hAnsi="Book Antiqua"/>
        </w:rPr>
      </w:pPr>
      <w:r w:rsidRPr="00D1693E">
        <w:rPr>
          <w:rFonts w:ascii="Book Antiqua" w:hAnsi="Book Antiqua"/>
        </w:rPr>
        <w:t>The statutory provisions thus provide a "</w:t>
      </w:r>
      <w:r w:rsidRPr="00D1693E">
        <w:rPr>
          <w:rFonts w:ascii="Book Antiqua" w:hAnsi="Book Antiqua"/>
          <w:i/>
        </w:rPr>
        <w:t>particularly strong statement of public policy</w:t>
      </w:r>
      <w:r w:rsidRPr="00D1693E">
        <w:rPr>
          <w:rFonts w:ascii="Book Antiqua" w:hAnsi="Book Antiqua"/>
        </w:rPr>
        <w:t>" (</w:t>
      </w:r>
      <w:r w:rsidRPr="00D1693E">
        <w:rPr>
          <w:rFonts w:ascii="Book Antiqua" w:hAnsi="Book Antiqua"/>
          <w:u w:val="single"/>
        </w:rPr>
        <w:t>NA (Pakistan)</w:t>
      </w:r>
      <w:r w:rsidRPr="00D1693E">
        <w:rPr>
          <w:rFonts w:ascii="Book Antiqua" w:hAnsi="Book Antiqua"/>
        </w:rPr>
        <w:t xml:space="preserve"> at [22]), such that "</w:t>
      </w:r>
      <w:r w:rsidRPr="00D1693E">
        <w:rPr>
          <w:rFonts w:ascii="Book Antiqua" w:hAnsi="Book Antiqua"/>
          <w:i/>
        </w:rPr>
        <w:t>great weight</w:t>
      </w:r>
      <w:r w:rsidRPr="00D1693E">
        <w:rPr>
          <w:rFonts w:ascii="Book Antiqua" w:hAnsi="Book Antiqua"/>
        </w:rPr>
        <w:t xml:space="preserve">" should generally be given </w:t>
      </w:r>
      <w:r w:rsidRPr="00D1693E">
        <w:rPr>
          <w:rFonts w:ascii="Book Antiqua" w:hAnsi="Book Antiqua"/>
        </w:rPr>
        <w:lastRenderedPageBreak/>
        <w:t>to it and cases in which that public interest will be outweighed, other than those specified in the statutory provisions and Rules themselves, "</w:t>
      </w:r>
      <w:r w:rsidRPr="00D1693E">
        <w:rPr>
          <w:rFonts w:ascii="Book Antiqua" w:hAnsi="Book Antiqua"/>
          <w:i/>
        </w:rPr>
        <w:t>are likely to be a very small minority (particular in non-settled cases)</w:t>
      </w:r>
      <w:r w:rsidRPr="00D1693E">
        <w:rPr>
          <w:rFonts w:ascii="Book Antiqua" w:hAnsi="Book Antiqua"/>
        </w:rPr>
        <w:t>" (</w:t>
      </w:r>
      <w:r w:rsidRPr="00D1693E">
        <w:rPr>
          <w:rFonts w:ascii="Book Antiqua" w:hAnsi="Book Antiqua"/>
          <w:u w:val="single"/>
        </w:rPr>
        <w:t>Ali</w:t>
      </w:r>
      <w:r w:rsidRPr="00D1693E">
        <w:rPr>
          <w:rFonts w:ascii="Book Antiqua" w:hAnsi="Book Antiqua"/>
        </w:rPr>
        <w:t xml:space="preserve"> at [38]), i.e. will be rare (</w:t>
      </w:r>
      <w:r w:rsidRPr="00D1693E">
        <w:rPr>
          <w:rFonts w:ascii="Book Antiqua" w:hAnsi="Book Antiqua"/>
          <w:u w:val="single"/>
        </w:rPr>
        <w:t>NA (Pakistan)</w:t>
      </w:r>
      <w:r w:rsidRPr="00D1693E">
        <w:rPr>
          <w:rFonts w:ascii="Book Antiqua" w:hAnsi="Book Antiqua"/>
        </w:rPr>
        <w:t xml:space="preserve"> at [33]). </w:t>
      </w:r>
      <w:bookmarkStart w:id="6" w:name="para31"/>
      <w:bookmarkEnd w:id="4"/>
    </w:p>
    <w:p w:rsidR="00643F41" w:rsidRPr="00D1693E" w:rsidRDefault="00643F41" w:rsidP="00643F41">
      <w:pPr>
        <w:pStyle w:val="ListParagraph"/>
        <w:rPr>
          <w:rFonts w:ascii="Book Antiqua" w:hAnsi="Book Antiqua"/>
        </w:rPr>
      </w:pPr>
    </w:p>
    <w:p w:rsidR="004F2B14" w:rsidRPr="00D1693E" w:rsidRDefault="00643F41" w:rsidP="00D1693E">
      <w:pPr>
        <w:pStyle w:val="ListParagraph"/>
        <w:numPr>
          <w:ilvl w:val="0"/>
          <w:numId w:val="1"/>
        </w:numPr>
        <w:jc w:val="both"/>
        <w:rPr>
          <w:rFonts w:ascii="Book Antiqua" w:hAnsi="Book Antiqua"/>
        </w:rPr>
      </w:pPr>
      <w:r w:rsidRPr="00D1693E">
        <w:rPr>
          <w:rFonts w:ascii="Book Antiqua" w:hAnsi="Book Antiqua"/>
        </w:rPr>
        <w:t>Notwithstanding this</w:t>
      </w:r>
      <w:r w:rsidR="00701EC6" w:rsidRPr="00D1693E">
        <w:rPr>
          <w:rFonts w:ascii="Book Antiqua" w:hAnsi="Book Antiqua"/>
        </w:rPr>
        <w:t xml:space="preserve"> heavily structured analysis</w:t>
      </w:r>
      <w:r w:rsidRPr="00D1693E">
        <w:rPr>
          <w:rFonts w:ascii="Book Antiqua" w:hAnsi="Book Antiqua"/>
        </w:rPr>
        <w:t>, it remains the case</w:t>
      </w:r>
      <w:r w:rsidR="00701EC6" w:rsidRPr="00D1693E">
        <w:rPr>
          <w:rFonts w:ascii="Book Antiqua" w:hAnsi="Book Antiqua"/>
        </w:rPr>
        <w:t xml:space="preserve"> that re</w:t>
      </w:r>
      <w:r w:rsidRPr="00D1693E">
        <w:rPr>
          <w:rFonts w:ascii="Book Antiqua" w:hAnsi="Book Antiqua"/>
        </w:rPr>
        <w:t xml:space="preserve">lative human rights, </w:t>
      </w:r>
      <w:r w:rsidR="00701EC6" w:rsidRPr="00D1693E">
        <w:rPr>
          <w:rFonts w:ascii="Book Antiqua" w:hAnsi="Book Antiqua"/>
        </w:rPr>
        <w:t>such as the right to respect for family a</w:t>
      </w:r>
      <w:r w:rsidR="004F2B14" w:rsidRPr="00D1693E">
        <w:rPr>
          <w:rFonts w:ascii="Book Antiqua" w:hAnsi="Book Antiqua"/>
        </w:rPr>
        <w:t>nd private life under A</w:t>
      </w:r>
      <w:r w:rsidRPr="00D1693E">
        <w:rPr>
          <w:rFonts w:ascii="Book Antiqua" w:hAnsi="Book Antiqua"/>
        </w:rPr>
        <w:t>rticle 8</w:t>
      </w:r>
      <w:r w:rsidR="00701EC6" w:rsidRPr="00D1693E">
        <w:rPr>
          <w:rFonts w:ascii="Book Antiqua" w:hAnsi="Book Antiqua"/>
        </w:rPr>
        <w:t xml:space="preserve"> can only ultimately be considered on the facts of the particular case. </w:t>
      </w:r>
      <w:bookmarkEnd w:id="6"/>
      <w:r w:rsidR="004F2B14" w:rsidRPr="00D1693E">
        <w:rPr>
          <w:rFonts w:ascii="Book Antiqua" w:hAnsi="Book Antiqua"/>
        </w:rPr>
        <w:t xml:space="preserve"> </w:t>
      </w:r>
      <w:r w:rsidR="00701EC6" w:rsidRPr="00D1693E">
        <w:rPr>
          <w:rFonts w:ascii="Book Antiqua" w:hAnsi="Book Antiqua"/>
        </w:rPr>
        <w:t xml:space="preserve">Ultimately, </w:t>
      </w:r>
      <w:r w:rsidR="00306F85">
        <w:rPr>
          <w:rFonts w:ascii="Book Antiqua" w:hAnsi="Book Antiqua"/>
        </w:rPr>
        <w:t>the question is whether</w:t>
      </w:r>
      <w:r w:rsidR="00701EC6" w:rsidRPr="00D1693E">
        <w:rPr>
          <w:rFonts w:ascii="Book Antiqua" w:hAnsi="Book Antiqua"/>
        </w:rPr>
        <w:t xml:space="preserve"> deportation is proportionate in the particular case before it, balancing the strengt</w:t>
      </w:r>
      <w:r w:rsidR="004F2B14" w:rsidRPr="00D1693E">
        <w:rPr>
          <w:rFonts w:ascii="Book Antiqua" w:hAnsi="Book Antiqua"/>
        </w:rPr>
        <w:t xml:space="preserve">h of the public interest in </w:t>
      </w:r>
      <w:r w:rsidR="00701EC6" w:rsidRPr="00D1693E">
        <w:rPr>
          <w:rFonts w:ascii="Book Antiqua" w:hAnsi="Book Antiqua"/>
        </w:rPr>
        <w:t xml:space="preserve">deportation against the impact on private and family life. In doing so, appropriate weight </w:t>
      </w:r>
      <w:r w:rsidR="004F2B14" w:rsidRPr="00D1693E">
        <w:rPr>
          <w:rFonts w:ascii="Book Antiqua" w:hAnsi="Book Antiqua"/>
        </w:rPr>
        <w:t xml:space="preserve">must be given </w:t>
      </w:r>
      <w:r w:rsidR="00701EC6" w:rsidRPr="00D1693E">
        <w:rPr>
          <w:rFonts w:ascii="Book Antiqua" w:hAnsi="Book Antiqua"/>
        </w:rPr>
        <w:t>to Parliament's and the Secretary of State's assessments of the strength of the general public interest in the deportation of foreign offenders</w:t>
      </w:r>
      <w:r w:rsidR="004F2B14" w:rsidRPr="00D1693E">
        <w:rPr>
          <w:rFonts w:ascii="Book Antiqua" w:hAnsi="Book Antiqua"/>
        </w:rPr>
        <w:t xml:space="preserve"> but</w:t>
      </w:r>
      <w:r w:rsidR="00701EC6" w:rsidRPr="00D1693E">
        <w:rPr>
          <w:rFonts w:ascii="Book Antiqua" w:hAnsi="Book Antiqua"/>
        </w:rPr>
        <w:t xml:space="preserve"> consider</w:t>
      </w:r>
      <w:r w:rsidR="004F2B14" w:rsidRPr="00D1693E">
        <w:rPr>
          <w:rFonts w:ascii="Book Antiqua" w:hAnsi="Book Antiqua"/>
        </w:rPr>
        <w:t>ation must also be given to</w:t>
      </w:r>
      <w:r w:rsidR="00701EC6" w:rsidRPr="00D1693E">
        <w:rPr>
          <w:rFonts w:ascii="Book Antiqua" w:hAnsi="Book Antiqua"/>
        </w:rPr>
        <w:t xml:space="preserve"> all factors relevant to the specific case in question. </w:t>
      </w:r>
    </w:p>
    <w:p w:rsidR="004F2B14" w:rsidRPr="00D1693E" w:rsidRDefault="004F2B14" w:rsidP="004F2B14">
      <w:pPr>
        <w:pStyle w:val="ListParagraph"/>
        <w:rPr>
          <w:rFonts w:ascii="Book Antiqua" w:hAnsi="Book Antiqua"/>
        </w:rPr>
      </w:pPr>
    </w:p>
    <w:p w:rsidR="00B2017A" w:rsidRPr="00D1693E" w:rsidRDefault="00B2017A" w:rsidP="00D1693E">
      <w:pPr>
        <w:pStyle w:val="ListParagraph"/>
        <w:numPr>
          <w:ilvl w:val="0"/>
          <w:numId w:val="1"/>
        </w:numPr>
        <w:jc w:val="both"/>
        <w:rPr>
          <w:rFonts w:ascii="Book Antiqua" w:hAnsi="Book Antiqua"/>
        </w:rPr>
      </w:pPr>
      <w:r w:rsidRPr="00D1693E">
        <w:rPr>
          <w:rFonts w:ascii="Book Antiqua" w:hAnsi="Book Antiqua"/>
        </w:rPr>
        <w:t>The Strasbourg jurisprudence indicates relevant factors to consider</w:t>
      </w:r>
      <w:r w:rsidR="004F2B14" w:rsidRPr="00D1693E">
        <w:rPr>
          <w:rFonts w:ascii="Book Antiqua" w:hAnsi="Book Antiqua"/>
        </w:rPr>
        <w:t xml:space="preserve">.  Lord Reed summarised </w:t>
      </w:r>
      <w:bookmarkStart w:id="7" w:name="para16"/>
      <w:r w:rsidRPr="00D1693E">
        <w:rPr>
          <w:rFonts w:ascii="Book Antiqua" w:hAnsi="Book Antiqua"/>
        </w:rPr>
        <w:t>the Strasbourg jurisprudence</w:t>
      </w:r>
      <w:r w:rsidR="004F2B14" w:rsidRPr="00D1693E">
        <w:rPr>
          <w:rFonts w:ascii="Book Antiqua" w:hAnsi="Book Antiqua"/>
        </w:rPr>
        <w:t xml:space="preserve"> earlier in his judgment </w:t>
      </w:r>
      <w:r w:rsidR="003E009A">
        <w:rPr>
          <w:rFonts w:ascii="Book Antiqua" w:hAnsi="Book Antiqua"/>
        </w:rPr>
        <w:t xml:space="preserve">in </w:t>
      </w:r>
      <w:proofErr w:type="spellStart"/>
      <w:r w:rsidR="003E009A" w:rsidRPr="00D1693E">
        <w:rPr>
          <w:rFonts w:ascii="Book Antiqua" w:hAnsi="Book Antiqua"/>
          <w:u w:val="single"/>
        </w:rPr>
        <w:t>Hasham</w:t>
      </w:r>
      <w:proofErr w:type="spellEnd"/>
      <w:r w:rsidR="003E009A" w:rsidRPr="00D1693E">
        <w:rPr>
          <w:rFonts w:ascii="Book Antiqua" w:hAnsi="Book Antiqua"/>
          <w:u w:val="single"/>
        </w:rPr>
        <w:t xml:space="preserve"> Ali</w:t>
      </w:r>
      <w:r w:rsidR="003E009A">
        <w:rPr>
          <w:rFonts w:ascii="Book Antiqua" w:hAnsi="Book Antiqua"/>
        </w:rPr>
        <w:t xml:space="preserve"> </w:t>
      </w:r>
      <w:r w:rsidR="004F2B14" w:rsidRPr="00D1693E">
        <w:rPr>
          <w:rFonts w:ascii="Book Antiqua" w:hAnsi="Book Antiqua"/>
        </w:rPr>
        <w:t>at [26] as follows</w:t>
      </w:r>
      <w:r w:rsidRPr="00D1693E">
        <w:rPr>
          <w:rFonts w:ascii="Book Antiqua" w:hAnsi="Book Antiqua"/>
        </w:rPr>
        <w:t xml:space="preserve">: </w:t>
      </w:r>
      <w:bookmarkEnd w:id="7"/>
    </w:p>
    <w:p w:rsidR="004F2B14" w:rsidRDefault="004F2B14" w:rsidP="004F2B14">
      <w:pPr>
        <w:pStyle w:val="ListParagraph"/>
        <w:spacing w:beforeAutospacing="1" w:afterAutospacing="1"/>
        <w:ind w:left="1280"/>
        <w:jc w:val="both"/>
        <w:rPr>
          <w:rFonts w:ascii="Book Antiqua" w:hAnsi="Book Antiqua"/>
          <w:sz w:val="22"/>
          <w:szCs w:val="22"/>
        </w:rPr>
      </w:pPr>
    </w:p>
    <w:p w:rsidR="00B2017A" w:rsidRDefault="00B2017A" w:rsidP="004F2B14">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"In a </w:t>
      </w:r>
      <w:proofErr w:type="spellStart"/>
      <w:proofErr w:type="gramStart"/>
      <w:r w:rsidRPr="00B2017A">
        <w:rPr>
          <w:rFonts w:ascii="Book Antiqua" w:hAnsi="Book Antiqua"/>
          <w:sz w:val="22"/>
          <w:szCs w:val="22"/>
        </w:rPr>
        <w:t>well known</w:t>
      </w:r>
      <w:proofErr w:type="spellEnd"/>
      <w:proofErr w:type="gramEnd"/>
      <w:r w:rsidRPr="00B2017A">
        <w:rPr>
          <w:rFonts w:ascii="Book Antiqua" w:hAnsi="Book Antiqua"/>
          <w:sz w:val="22"/>
          <w:szCs w:val="22"/>
        </w:rPr>
        <w:t xml:space="preserve"> series of judgments the [European Court of Human Rights] has set out the guiding principles which it applies when assessing the likelihood that the deportation of a settled migrant would interfere with family life and, if so, its proportionality to the legitimate aim pursued. In </w:t>
      </w:r>
      <w:proofErr w:type="spellStart"/>
      <w:r w:rsidRPr="00B2017A">
        <w:rPr>
          <w:rFonts w:ascii="Book Antiqua" w:hAnsi="Book Antiqua"/>
          <w:i/>
          <w:iCs/>
          <w:sz w:val="22"/>
          <w:szCs w:val="22"/>
        </w:rPr>
        <w:t>Boultif</w:t>
      </w:r>
      <w:proofErr w:type="spellEnd"/>
      <w:r w:rsidRPr="00B2017A">
        <w:rPr>
          <w:rFonts w:ascii="Book Antiqua" w:hAnsi="Book Antiqua"/>
          <w:i/>
          <w:iCs/>
          <w:sz w:val="22"/>
          <w:szCs w:val="22"/>
        </w:rPr>
        <w:t xml:space="preserve"> v Switzerland </w:t>
      </w:r>
      <w:hyperlink r:id="rId11" w:tooltip="Link to BAILII version" w:history="1">
        <w:r w:rsidRPr="00B2017A">
          <w:rPr>
            <w:rStyle w:val="Hyperlink"/>
            <w:rFonts w:ascii="Book Antiqua" w:hAnsi="Book Antiqua"/>
            <w:sz w:val="22"/>
            <w:szCs w:val="22"/>
          </w:rPr>
          <w:t>(2001) 33 EHRR 50</w:t>
        </w:r>
      </w:hyperlink>
      <w:r w:rsidRPr="00B2017A">
        <w:rPr>
          <w:rFonts w:ascii="Book Antiqua" w:hAnsi="Book Antiqua"/>
          <w:sz w:val="22"/>
          <w:szCs w:val="22"/>
        </w:rPr>
        <w:t xml:space="preserve">, para 48, the court said that it would consider the nature and seriousness of the offence committed by the applicant; the length of the applicant's stay in the country from which he or she is to be expelled; the time elapsed since the offence was committed and the applicant's conduct during that period; the nationalities of the various persons concerned; the applicant's family situation, such as the length of the marriage, and other factors expressing the effectiveness of a couple's family life; whether the spouse knew about the offence at the time when he or she entered into a family relationship; whether there are children of the marriage, and if so, their age; and the seriousness of the difficulties which the spouse is likely to encounter in the country to which the applicant is to be expelled. Two further factors were mentioned in </w:t>
      </w:r>
      <w:proofErr w:type="spellStart"/>
      <w:r w:rsidRPr="00B2017A">
        <w:rPr>
          <w:rFonts w:ascii="Book Antiqua" w:hAnsi="Book Antiqua"/>
          <w:i/>
          <w:iCs/>
          <w:sz w:val="22"/>
          <w:szCs w:val="22"/>
        </w:rPr>
        <w:t>Üner</w:t>
      </w:r>
      <w:proofErr w:type="spellEnd"/>
      <w:r w:rsidRPr="00B2017A">
        <w:rPr>
          <w:rFonts w:ascii="Book Antiqua" w:hAnsi="Book Antiqua"/>
          <w:i/>
          <w:iCs/>
          <w:sz w:val="22"/>
          <w:szCs w:val="22"/>
        </w:rPr>
        <w:t xml:space="preserve"> v The Netherlands</w:t>
      </w:r>
      <w:r w:rsidRPr="00B2017A">
        <w:rPr>
          <w:rFonts w:ascii="Book Antiqua" w:hAnsi="Book Antiqua"/>
          <w:sz w:val="22"/>
          <w:szCs w:val="22"/>
        </w:rPr>
        <w:t xml:space="preserve"> (2006) 45 EHRR 14, para 58: the best interests and well-being of the children, in particular the seriousness of the difficulties which any children of the applicant are likely to encounter in the country to which the applicant is to be expelled; and the solidity of the social, cultural and family ties with the host country and with the country of destination. In </w:t>
      </w:r>
      <w:proofErr w:type="spellStart"/>
      <w:r w:rsidRPr="00B2017A">
        <w:rPr>
          <w:rFonts w:ascii="Book Antiqua" w:hAnsi="Book Antiqua"/>
          <w:i/>
          <w:iCs/>
          <w:sz w:val="22"/>
          <w:szCs w:val="22"/>
        </w:rPr>
        <w:t>Maslov</w:t>
      </w:r>
      <w:proofErr w:type="spellEnd"/>
      <w:r w:rsidRPr="00B2017A">
        <w:rPr>
          <w:rFonts w:ascii="Book Antiqua" w:hAnsi="Book Antiqua"/>
          <w:i/>
          <w:iCs/>
          <w:sz w:val="22"/>
          <w:szCs w:val="22"/>
        </w:rPr>
        <w:t xml:space="preserve"> v Austria </w:t>
      </w:r>
      <w:hyperlink r:id="rId12" w:tooltip="Link to BAILII version" w:history="1">
        <w:r w:rsidRPr="00B2017A">
          <w:rPr>
            <w:rStyle w:val="Hyperlink"/>
            <w:rFonts w:ascii="Book Antiqua" w:hAnsi="Book Antiqua"/>
            <w:sz w:val="22"/>
            <w:szCs w:val="22"/>
          </w:rPr>
          <w:t>[2009] INLR 47</w:t>
        </w:r>
      </w:hyperlink>
      <w:r w:rsidRPr="00B2017A">
        <w:rPr>
          <w:rFonts w:ascii="Book Antiqua" w:hAnsi="Book Antiqua"/>
          <w:sz w:val="22"/>
          <w:szCs w:val="22"/>
        </w:rPr>
        <w:t xml:space="preserve">, paras 72–75, the court added that the age of the person concerned can play a role when applying some of these criteria. For instance, when assessing the nature and seriousness of the offences, it has to be taken into account whether the person committed them as a juvenile or as an adult. Equally, when assessing the length of the person's stay in the country from which he or she is to be expelled and the solidity of the social, cultural and family ties with the host country, it makes a difference whether the person came to the country during his or her childhood or youth, or was even born there, or whether he or she </w:t>
      </w:r>
      <w:r w:rsidRPr="00B2017A">
        <w:rPr>
          <w:rFonts w:ascii="Book Antiqua" w:hAnsi="Book Antiqua"/>
          <w:sz w:val="22"/>
          <w:szCs w:val="22"/>
        </w:rPr>
        <w:lastRenderedPageBreak/>
        <w:t>only came as an adult. Some of the factors listed in these cases relate to the strength of the public interest in deportation: that is to say, the extent to which the deportation of the person concerned will promote the legitimate aim pursued. Others relate to the strength of the countervailing interests in private and family life. They are not exhaustive."</w:t>
      </w:r>
    </w:p>
    <w:p w:rsidR="00660AEC" w:rsidRPr="00D1693E" w:rsidRDefault="00660AEC" w:rsidP="00660AEC">
      <w:pPr>
        <w:pStyle w:val="ListParagraph"/>
        <w:spacing w:beforeAutospacing="1" w:afterAutospacing="1"/>
        <w:ind w:left="1280"/>
        <w:jc w:val="both"/>
        <w:rPr>
          <w:rFonts w:ascii="Book Antiqua" w:hAnsi="Book Antiqua"/>
        </w:rPr>
      </w:pPr>
    </w:p>
    <w:p w:rsidR="00B2017A" w:rsidRPr="00D1693E" w:rsidRDefault="00B2017A" w:rsidP="00D1693E">
      <w:pPr>
        <w:pStyle w:val="ListParagraph"/>
        <w:numPr>
          <w:ilvl w:val="0"/>
          <w:numId w:val="1"/>
        </w:numPr>
        <w:jc w:val="both"/>
        <w:rPr>
          <w:rFonts w:ascii="Book Antiqua" w:hAnsi="Book Antiqua"/>
        </w:rPr>
      </w:pPr>
      <w:bookmarkStart w:id="8" w:name="para17"/>
      <w:r w:rsidRPr="00D1693E">
        <w:rPr>
          <w:rFonts w:ascii="Book Antiqua" w:hAnsi="Book Antiqua"/>
        </w:rPr>
        <w:t xml:space="preserve">The Court of Appeal addressed the significance of rehabilitation in </w:t>
      </w:r>
      <w:r w:rsidRPr="00D1693E">
        <w:rPr>
          <w:rFonts w:ascii="Book Antiqua" w:hAnsi="Book Antiqua"/>
          <w:iCs/>
          <w:u w:val="single"/>
        </w:rPr>
        <w:t>Taylor v Home Secretary</w:t>
      </w:r>
      <w:r w:rsidRPr="00D1693E">
        <w:rPr>
          <w:rFonts w:ascii="Book Antiqua" w:hAnsi="Book Antiqua"/>
          <w:i/>
          <w:iCs/>
        </w:rPr>
        <w:t xml:space="preserve"> </w:t>
      </w:r>
      <w:bookmarkEnd w:id="8"/>
      <w:r w:rsidRPr="00D1693E">
        <w:rPr>
          <w:rFonts w:ascii="Book Antiqua" w:hAnsi="Book Antiqua"/>
        </w:rPr>
        <w:fldChar w:fldCharType="begin"/>
      </w:r>
      <w:r w:rsidRPr="00D1693E">
        <w:rPr>
          <w:rFonts w:ascii="Book Antiqua" w:hAnsi="Book Antiqua"/>
        </w:rPr>
        <w:instrText xml:space="preserve"> HYPERLINK "http://www.bailii.org/ew/cases/EWCA/Civ/2015/845.html" \o "Link to BAILII version" </w:instrText>
      </w:r>
      <w:r w:rsidRPr="00D1693E">
        <w:rPr>
          <w:rFonts w:ascii="Book Antiqua" w:hAnsi="Book Antiqua"/>
        </w:rPr>
        <w:fldChar w:fldCharType="separate"/>
      </w:r>
      <w:r w:rsidRPr="00D1693E">
        <w:rPr>
          <w:rStyle w:val="Hyperlink"/>
          <w:rFonts w:ascii="Book Antiqua" w:hAnsi="Book Antiqua"/>
          <w:color w:val="auto"/>
          <w:u w:val="none"/>
        </w:rPr>
        <w:t xml:space="preserve">[2015] EWCA </w:t>
      </w:r>
      <w:proofErr w:type="spellStart"/>
      <w:r w:rsidRPr="00D1693E">
        <w:rPr>
          <w:rStyle w:val="Hyperlink"/>
          <w:rFonts w:ascii="Book Antiqua" w:hAnsi="Book Antiqua"/>
          <w:color w:val="auto"/>
          <w:u w:val="none"/>
        </w:rPr>
        <w:t>Civ</w:t>
      </w:r>
      <w:proofErr w:type="spellEnd"/>
      <w:r w:rsidRPr="00D1693E">
        <w:rPr>
          <w:rStyle w:val="Hyperlink"/>
          <w:rFonts w:ascii="Book Antiqua" w:hAnsi="Book Antiqua"/>
          <w:color w:val="auto"/>
          <w:u w:val="none"/>
        </w:rPr>
        <w:t xml:space="preserve"> 845</w:t>
      </w:r>
      <w:r w:rsidRPr="00D1693E">
        <w:rPr>
          <w:rFonts w:ascii="Book Antiqua" w:hAnsi="Book Antiqua"/>
        </w:rPr>
        <w:fldChar w:fldCharType="end"/>
      </w:r>
      <w:r w:rsidRPr="00D1693E">
        <w:rPr>
          <w:rFonts w:ascii="Book Antiqua" w:hAnsi="Book Antiqua"/>
        </w:rPr>
        <w:t xml:space="preserve">. Moore-Bick LJ said </w:t>
      </w:r>
      <w:r w:rsidR="00660AEC" w:rsidRPr="00D1693E">
        <w:rPr>
          <w:rFonts w:ascii="Book Antiqua" w:hAnsi="Book Antiqua"/>
        </w:rPr>
        <w:t>at [21]</w:t>
      </w:r>
      <w:r w:rsidRPr="00D1693E">
        <w:rPr>
          <w:rFonts w:ascii="Book Antiqua" w:hAnsi="Book Antiqua"/>
        </w:rPr>
        <w:t xml:space="preserve">: </w:t>
      </w:r>
    </w:p>
    <w:p w:rsidR="00660AEC" w:rsidRDefault="00660AEC" w:rsidP="00660AEC">
      <w:pPr>
        <w:pStyle w:val="ListParagraph"/>
        <w:spacing w:beforeAutospacing="1" w:afterAutospacing="1"/>
        <w:ind w:left="1280"/>
        <w:jc w:val="both"/>
        <w:rPr>
          <w:rFonts w:ascii="Book Antiqua" w:hAnsi="Book Antiqua"/>
          <w:sz w:val="22"/>
          <w:szCs w:val="22"/>
        </w:rPr>
      </w:pPr>
    </w:p>
    <w:p w:rsidR="00B2017A" w:rsidRDefault="00B2017A" w:rsidP="00660A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"I would certainly not wish to diminish the importance of rehabilitation in itself, but the cases in which it can make a significant contribution to establishing the compelling reasons sufficient to outweigh the public interest in deportation are likely to be rare. The fact that rehabilitation has begun but is as yet incomplete has been held in general not to be a relevant factor: see </w:t>
      </w:r>
      <w:r w:rsidRPr="00B2017A">
        <w:rPr>
          <w:rFonts w:ascii="Book Antiqua" w:hAnsi="Book Antiqua"/>
          <w:i/>
          <w:iCs/>
          <w:sz w:val="22"/>
          <w:szCs w:val="22"/>
        </w:rPr>
        <w:t>SE (Zimbabwe) v Secretary of State for the Home Department</w:t>
      </w:r>
      <w:r w:rsidRPr="00B2017A">
        <w:rPr>
          <w:rFonts w:ascii="Book Antiqua" w:hAnsi="Book Antiqua"/>
          <w:sz w:val="22"/>
          <w:szCs w:val="22"/>
        </w:rPr>
        <w:t xml:space="preserve"> </w:t>
      </w:r>
      <w:hyperlink r:id="rId13" w:tooltip="Link to BAILII version" w:history="1">
        <w:r w:rsidRPr="00B2017A">
          <w:rPr>
            <w:rStyle w:val="Hyperlink"/>
            <w:rFonts w:ascii="Book Antiqua" w:hAnsi="Book Antiqua"/>
            <w:sz w:val="22"/>
            <w:szCs w:val="22"/>
          </w:rPr>
          <w:t xml:space="preserve">[2014] EWCA </w:t>
        </w:r>
        <w:proofErr w:type="spellStart"/>
        <w:r w:rsidRPr="00B2017A">
          <w:rPr>
            <w:rStyle w:val="Hyperlink"/>
            <w:rFonts w:ascii="Book Antiqua" w:hAnsi="Book Antiqua"/>
            <w:sz w:val="22"/>
            <w:szCs w:val="22"/>
          </w:rPr>
          <w:t>Civ</w:t>
        </w:r>
        <w:proofErr w:type="spellEnd"/>
        <w:r w:rsidRPr="00B2017A">
          <w:rPr>
            <w:rStyle w:val="Hyperlink"/>
            <w:rFonts w:ascii="Book Antiqua" w:hAnsi="Book Antiqua"/>
            <w:sz w:val="22"/>
            <w:szCs w:val="22"/>
          </w:rPr>
          <w:t xml:space="preserve"> 256</w:t>
        </w:r>
      </w:hyperlink>
      <w:r w:rsidRPr="00B2017A">
        <w:rPr>
          <w:rFonts w:ascii="Book Antiqua" w:hAnsi="Book Antiqua"/>
          <w:sz w:val="22"/>
          <w:szCs w:val="22"/>
        </w:rPr>
        <w:t xml:space="preserve"> and </w:t>
      </w:r>
      <w:r w:rsidRPr="00B2017A">
        <w:rPr>
          <w:rFonts w:ascii="Book Antiqua" w:hAnsi="Book Antiqua"/>
          <w:i/>
          <w:iCs/>
          <w:sz w:val="22"/>
          <w:szCs w:val="22"/>
        </w:rPr>
        <w:t xml:space="preserve">PF (Nigeria) v Secretary of State for the Home Department </w:t>
      </w:r>
      <w:hyperlink r:id="rId14" w:tooltip="Link to BAILII version" w:history="1">
        <w:r w:rsidRPr="00B2017A">
          <w:rPr>
            <w:rStyle w:val="Hyperlink"/>
            <w:rFonts w:ascii="Book Antiqua" w:hAnsi="Book Antiqua"/>
            <w:sz w:val="22"/>
            <w:szCs w:val="22"/>
          </w:rPr>
          <w:t xml:space="preserve">[2015] EWCA </w:t>
        </w:r>
        <w:proofErr w:type="spellStart"/>
        <w:r w:rsidRPr="00B2017A">
          <w:rPr>
            <w:rStyle w:val="Hyperlink"/>
            <w:rFonts w:ascii="Book Antiqua" w:hAnsi="Book Antiqua"/>
            <w:sz w:val="22"/>
            <w:szCs w:val="22"/>
          </w:rPr>
          <w:t>Civ</w:t>
        </w:r>
        <w:proofErr w:type="spellEnd"/>
        <w:r w:rsidRPr="00B2017A">
          <w:rPr>
            <w:rStyle w:val="Hyperlink"/>
            <w:rFonts w:ascii="Book Antiqua" w:hAnsi="Book Antiqua"/>
            <w:sz w:val="22"/>
            <w:szCs w:val="22"/>
          </w:rPr>
          <w:t xml:space="preserve"> 596</w:t>
        </w:r>
      </w:hyperlink>
      <w:r w:rsidRPr="00B2017A">
        <w:rPr>
          <w:rFonts w:ascii="Book Antiqua" w:hAnsi="Book Antiqua"/>
          <w:sz w:val="22"/>
          <w:szCs w:val="22"/>
        </w:rPr>
        <w:t xml:space="preserve">. Moreover, as was recognised in </w:t>
      </w:r>
      <w:r w:rsidRPr="00B2017A">
        <w:rPr>
          <w:rFonts w:ascii="Book Antiqua" w:hAnsi="Book Antiqua"/>
          <w:i/>
          <w:iCs/>
          <w:sz w:val="22"/>
          <w:szCs w:val="22"/>
        </w:rPr>
        <w:t>SU (Bangladesh) v Secretary of State for the Home Department</w:t>
      </w:r>
      <w:r w:rsidRPr="00B2017A">
        <w:rPr>
          <w:rFonts w:ascii="Book Antiqua" w:hAnsi="Book Antiqua"/>
          <w:sz w:val="22"/>
          <w:szCs w:val="22"/>
        </w:rPr>
        <w:t xml:space="preserve"> </w:t>
      </w:r>
      <w:hyperlink r:id="rId15" w:tooltip="Link to BAILII version" w:history="1">
        <w:r w:rsidRPr="00B2017A">
          <w:rPr>
            <w:rStyle w:val="Hyperlink"/>
            <w:rFonts w:ascii="Book Antiqua" w:hAnsi="Book Antiqua"/>
            <w:sz w:val="22"/>
            <w:szCs w:val="22"/>
          </w:rPr>
          <w:t xml:space="preserve">[2013] EWCA </w:t>
        </w:r>
        <w:proofErr w:type="spellStart"/>
        <w:r w:rsidRPr="00B2017A">
          <w:rPr>
            <w:rStyle w:val="Hyperlink"/>
            <w:rFonts w:ascii="Book Antiqua" w:hAnsi="Book Antiqua"/>
            <w:sz w:val="22"/>
            <w:szCs w:val="22"/>
          </w:rPr>
          <w:t>Civ</w:t>
        </w:r>
        <w:proofErr w:type="spellEnd"/>
        <w:r w:rsidRPr="00B2017A">
          <w:rPr>
            <w:rStyle w:val="Hyperlink"/>
            <w:rFonts w:ascii="Book Antiqua" w:hAnsi="Book Antiqua"/>
            <w:sz w:val="22"/>
            <w:szCs w:val="22"/>
          </w:rPr>
          <w:t xml:space="preserve"> 427</w:t>
        </w:r>
      </w:hyperlink>
      <w:r w:rsidRPr="00B2017A">
        <w:rPr>
          <w:rFonts w:ascii="Book Antiqua" w:hAnsi="Book Antiqua"/>
          <w:sz w:val="22"/>
          <w:szCs w:val="22"/>
        </w:rPr>
        <w:t>, rehabilitation is relevant primarily to the reduction in the risk of re-offending. It is less relevant to the other factors which contribute to the public interest in deportation."</w:t>
      </w:r>
    </w:p>
    <w:p w:rsidR="00660AEC" w:rsidRPr="00D1693E" w:rsidRDefault="00660AEC" w:rsidP="00660AEC">
      <w:pPr>
        <w:pStyle w:val="ListParagraph"/>
        <w:spacing w:beforeAutospacing="1" w:afterAutospacing="1"/>
        <w:ind w:left="2160"/>
        <w:jc w:val="both"/>
        <w:rPr>
          <w:rFonts w:ascii="Book Antiqua" w:hAnsi="Book Antiqua"/>
        </w:rPr>
      </w:pPr>
    </w:p>
    <w:p w:rsidR="00B2017A" w:rsidRPr="00D1693E" w:rsidRDefault="00B2017A" w:rsidP="00D1693E">
      <w:pPr>
        <w:pStyle w:val="ListParagraph"/>
        <w:numPr>
          <w:ilvl w:val="0"/>
          <w:numId w:val="1"/>
        </w:numPr>
        <w:jc w:val="both"/>
        <w:rPr>
          <w:rFonts w:ascii="Book Antiqua" w:hAnsi="Book Antiqua"/>
        </w:rPr>
      </w:pPr>
      <w:r w:rsidRPr="00D1693E">
        <w:rPr>
          <w:rFonts w:ascii="Book Antiqua" w:hAnsi="Book Antiqua"/>
        </w:rPr>
        <w:t xml:space="preserve">With regard to that last sentence, in </w:t>
      </w:r>
      <w:r w:rsidRPr="00D1693E">
        <w:rPr>
          <w:rFonts w:ascii="Book Antiqua" w:hAnsi="Book Antiqua"/>
          <w:i/>
          <w:iCs/>
        </w:rPr>
        <w:t xml:space="preserve">OH (Serbia) v Home Secretary </w:t>
      </w:r>
      <w:hyperlink r:id="rId16" w:tooltip="Link to BAILII version" w:history="1">
        <w:r w:rsidRPr="00D1693E">
          <w:rPr>
            <w:rStyle w:val="Hyperlink"/>
            <w:rFonts w:ascii="Book Antiqua" w:hAnsi="Book Antiqua"/>
          </w:rPr>
          <w:t xml:space="preserve">[2008] EWCA </w:t>
        </w:r>
        <w:proofErr w:type="spellStart"/>
        <w:r w:rsidRPr="00D1693E">
          <w:rPr>
            <w:rStyle w:val="Hyperlink"/>
            <w:rFonts w:ascii="Book Antiqua" w:hAnsi="Book Antiqua"/>
          </w:rPr>
          <w:t>Civ</w:t>
        </w:r>
        <w:proofErr w:type="spellEnd"/>
        <w:r w:rsidRPr="00D1693E">
          <w:rPr>
            <w:rStyle w:val="Hyperlink"/>
            <w:rFonts w:ascii="Book Antiqua" w:hAnsi="Book Antiqua"/>
          </w:rPr>
          <w:t xml:space="preserve"> 694</w:t>
        </w:r>
      </w:hyperlink>
      <w:r w:rsidRPr="00D1693E">
        <w:rPr>
          <w:rFonts w:ascii="Book Antiqua" w:hAnsi="Book Antiqua"/>
        </w:rPr>
        <w:t xml:space="preserve">, </w:t>
      </w:r>
      <w:hyperlink r:id="rId17" w:tooltip="Link to BAILII version" w:history="1">
        <w:r w:rsidRPr="00D1693E">
          <w:rPr>
            <w:rStyle w:val="Hyperlink"/>
            <w:rFonts w:ascii="Book Antiqua" w:hAnsi="Book Antiqua"/>
          </w:rPr>
          <w:t>[2009] INLR 109</w:t>
        </w:r>
      </w:hyperlink>
      <w:r w:rsidRPr="00D1693E">
        <w:rPr>
          <w:rFonts w:ascii="Book Antiqua" w:hAnsi="Book Antiqua"/>
        </w:rPr>
        <w:t xml:space="preserve">, Wilson LJ (as he then was) derived (in paragraph 15) the following propositions from earlier case-law: </w:t>
      </w:r>
    </w:p>
    <w:p w:rsidR="00BB39EC" w:rsidRDefault="00BB39EC" w:rsidP="00BB39EC">
      <w:pPr>
        <w:pStyle w:val="ListParagraph"/>
        <w:spacing w:beforeAutospacing="1" w:afterAutospacing="1"/>
        <w:ind w:left="1280"/>
        <w:jc w:val="both"/>
        <w:rPr>
          <w:rFonts w:ascii="Book Antiqua" w:hAnsi="Book Antiqua"/>
          <w:sz w:val="22"/>
          <w:szCs w:val="22"/>
        </w:rPr>
      </w:pPr>
    </w:p>
    <w:p w:rsidR="00B2017A" w:rsidRPr="00B2017A" w:rsidRDefault="00B2017A" w:rsidP="00BB39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"(a) The risk of reoffending is one facet of the public interest but, in the case of very serious crimes, not the most important facet. </w:t>
      </w:r>
    </w:p>
    <w:p w:rsidR="00B2017A" w:rsidRPr="00B2017A" w:rsidRDefault="00B2017A" w:rsidP="00BB39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(b) Another important facet is the need to deter foreign nationals from committing serious crimes by leading them to understand that, whatever the other circumstances, one consequence of them may well be deportation. </w:t>
      </w:r>
    </w:p>
    <w:p w:rsidR="00B2017A" w:rsidRPr="00B2017A" w:rsidRDefault="00B2017A" w:rsidP="00BB39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 xml:space="preserve">(c) A further important facet is the role of a deportation order as an expression of society's revulsion at serious crimes and in building public confidence in the treatment of foreign citizens who have committed serious crimes. </w:t>
      </w:r>
    </w:p>
    <w:p w:rsidR="00B2017A" w:rsidRDefault="00B2017A" w:rsidP="00BB39EC">
      <w:pPr>
        <w:pStyle w:val="ListParagraph"/>
        <w:spacing w:beforeAutospacing="1" w:afterAutospacing="1"/>
        <w:ind w:left="2160"/>
        <w:jc w:val="both"/>
        <w:rPr>
          <w:rFonts w:ascii="Book Antiqua" w:hAnsi="Book Antiqua"/>
          <w:sz w:val="22"/>
          <w:szCs w:val="22"/>
        </w:rPr>
      </w:pPr>
      <w:r w:rsidRPr="00B2017A">
        <w:rPr>
          <w:rFonts w:ascii="Book Antiqua" w:hAnsi="Book Antiqua"/>
          <w:sz w:val="22"/>
          <w:szCs w:val="22"/>
        </w:rPr>
        <w:t>(d) Primary responsibility for the public interest, whose view of it is likely to be wider and better informed than that of a tribunal, resides in the respondent and accordingly a tribunal hearing an appeal against a decision to deport should not only consider for itself all the facets of the public interest but should weigh, as a linked but independent feature, the approach to them adopted by the respondent in the context of the facts of the case. Speaking for myself, I would not however describe the tribunal's duty in this regard as being higher than 'to weigh' this feature."</w:t>
      </w:r>
    </w:p>
    <w:p w:rsidR="00660AEC" w:rsidRPr="00BB39EC" w:rsidRDefault="00660AEC" w:rsidP="00660AEC">
      <w:pPr>
        <w:pStyle w:val="ListParagraph"/>
        <w:spacing w:beforeAutospacing="1" w:afterAutospacing="1"/>
        <w:ind w:left="1280"/>
        <w:jc w:val="both"/>
        <w:rPr>
          <w:rFonts w:ascii="Book Antiqua" w:hAnsi="Book Antiqua"/>
        </w:rPr>
      </w:pPr>
    </w:p>
    <w:p w:rsidR="00B2017A" w:rsidRPr="00BB39EC" w:rsidRDefault="00B2017A" w:rsidP="00D1693E">
      <w:pPr>
        <w:pStyle w:val="ListParagraph"/>
        <w:numPr>
          <w:ilvl w:val="0"/>
          <w:numId w:val="1"/>
        </w:numPr>
        <w:jc w:val="both"/>
        <w:rPr>
          <w:rFonts w:ascii="Book Antiqua" w:hAnsi="Book Antiqua"/>
        </w:rPr>
      </w:pPr>
      <w:r w:rsidRPr="00BB39EC">
        <w:rPr>
          <w:rFonts w:ascii="Book Antiqua" w:hAnsi="Book Antiqua"/>
        </w:rPr>
        <w:t xml:space="preserve">In </w:t>
      </w:r>
      <w:proofErr w:type="spellStart"/>
      <w:r w:rsidR="00BB39EC" w:rsidRPr="00BB39EC">
        <w:rPr>
          <w:rFonts w:ascii="Book Antiqua" w:hAnsi="Book Antiqua"/>
          <w:u w:val="single"/>
        </w:rPr>
        <w:t>Hash</w:t>
      </w:r>
      <w:r w:rsidR="00306F85">
        <w:rPr>
          <w:rFonts w:ascii="Book Antiqua" w:hAnsi="Book Antiqua"/>
          <w:u w:val="single"/>
        </w:rPr>
        <w:t>a</w:t>
      </w:r>
      <w:r w:rsidR="00BB39EC" w:rsidRPr="00BB39EC">
        <w:rPr>
          <w:rFonts w:ascii="Book Antiqua" w:hAnsi="Book Antiqua"/>
          <w:u w:val="single"/>
        </w:rPr>
        <w:t>m</w:t>
      </w:r>
      <w:proofErr w:type="spellEnd"/>
      <w:r w:rsidR="00BB39EC" w:rsidRPr="00BB39EC">
        <w:rPr>
          <w:rFonts w:ascii="Book Antiqua" w:hAnsi="Book Antiqua"/>
          <w:u w:val="single"/>
        </w:rPr>
        <w:t xml:space="preserve"> </w:t>
      </w:r>
      <w:r w:rsidRPr="00BB39EC">
        <w:rPr>
          <w:rFonts w:ascii="Book Antiqua" w:hAnsi="Book Antiqua"/>
          <w:iCs/>
          <w:u w:val="single"/>
        </w:rPr>
        <w:t>Ali</w:t>
      </w:r>
      <w:r w:rsidRPr="00BB39EC">
        <w:rPr>
          <w:rFonts w:ascii="Book Antiqua" w:hAnsi="Book Antiqua"/>
          <w:i/>
          <w:iCs/>
        </w:rPr>
        <w:t xml:space="preserve"> </w:t>
      </w:r>
      <w:r w:rsidRPr="00BB39EC">
        <w:rPr>
          <w:rFonts w:ascii="Book Antiqua" w:hAnsi="Book Antiqua"/>
        </w:rPr>
        <w:t>Lord W</w:t>
      </w:r>
      <w:r w:rsidR="00BB39EC" w:rsidRPr="00BB39EC">
        <w:rPr>
          <w:rFonts w:ascii="Book Antiqua" w:hAnsi="Book Antiqua"/>
        </w:rPr>
        <w:t>ilson JSC said at [70]</w:t>
      </w:r>
      <w:r w:rsidRPr="00BB39EC">
        <w:rPr>
          <w:rFonts w:ascii="Book Antiqua" w:hAnsi="Book Antiqua"/>
        </w:rPr>
        <w:t xml:space="preserve"> that he now regretted his reference in sub-paragraph (c) to society's "</w:t>
      </w:r>
      <w:r w:rsidRPr="00BB39EC">
        <w:rPr>
          <w:rFonts w:ascii="Book Antiqua" w:hAnsi="Book Antiqua"/>
          <w:i/>
        </w:rPr>
        <w:t>revulsion</w:t>
      </w:r>
      <w:r w:rsidRPr="00BB39EC">
        <w:rPr>
          <w:rFonts w:ascii="Book Antiqua" w:hAnsi="Book Antiqua"/>
        </w:rPr>
        <w:t>" (that being, he considered, "</w:t>
      </w:r>
      <w:r w:rsidRPr="00BB39EC">
        <w:rPr>
          <w:rFonts w:ascii="Book Antiqua" w:hAnsi="Book Antiqua"/>
          <w:i/>
        </w:rPr>
        <w:t>too emotive a concept to figure in this analysis</w:t>
      </w:r>
      <w:r w:rsidRPr="00BB39EC">
        <w:rPr>
          <w:rFonts w:ascii="Book Antiqua" w:hAnsi="Book Antiqua"/>
        </w:rPr>
        <w:t>"), but he adhered to the view that he was "</w:t>
      </w:r>
      <w:r w:rsidRPr="00BB39EC">
        <w:rPr>
          <w:rFonts w:ascii="Book Antiqua" w:hAnsi="Book Antiqua"/>
          <w:i/>
        </w:rPr>
        <w:t>entitled to refer to the importance of public confidence in our determination of these issues</w:t>
      </w:r>
      <w:r w:rsidRPr="00BB39EC">
        <w:rPr>
          <w:rFonts w:ascii="Book Antiqua" w:hAnsi="Book Antiqua"/>
        </w:rPr>
        <w:t xml:space="preserve">". </w:t>
      </w:r>
    </w:p>
    <w:p w:rsidR="001B4BAE" w:rsidRDefault="001B4BAE" w:rsidP="008C6CB2">
      <w:pPr>
        <w:spacing w:before="100" w:beforeAutospacing="1" w:after="100" w:afterAutospacing="1"/>
        <w:jc w:val="both"/>
        <w:rPr>
          <w:rFonts w:ascii="Book Antiqua" w:hAnsi="Book Antiqua" w:cs="Arial"/>
          <w:b/>
          <w:bCs/>
          <w:lang w:val="en-US"/>
        </w:rPr>
      </w:pPr>
    </w:p>
    <w:p w:rsidR="00B00197" w:rsidRPr="00BB39EC" w:rsidRDefault="00B00197" w:rsidP="008C6CB2">
      <w:pPr>
        <w:spacing w:before="100" w:beforeAutospacing="1" w:after="100" w:afterAutospacing="1"/>
        <w:jc w:val="both"/>
        <w:rPr>
          <w:rFonts w:ascii="Book Antiqua" w:hAnsi="Book Antiqua" w:cs="Arial"/>
          <w:b/>
          <w:bCs/>
          <w:lang w:val="en-US"/>
        </w:rPr>
      </w:pPr>
      <w:r w:rsidRPr="00BB39EC">
        <w:rPr>
          <w:rFonts w:ascii="Book Antiqua" w:hAnsi="Book Antiqua" w:cs="Arial"/>
          <w:b/>
          <w:bCs/>
          <w:lang w:val="en-US"/>
        </w:rPr>
        <w:lastRenderedPageBreak/>
        <w:t>Findings</w:t>
      </w:r>
    </w:p>
    <w:p w:rsidR="00B00197" w:rsidRDefault="00B00197" w:rsidP="008C6CB2">
      <w:pPr>
        <w:spacing w:before="100" w:beforeAutospacing="1" w:after="100" w:afterAutospacing="1"/>
        <w:jc w:val="both"/>
        <w:rPr>
          <w:rFonts w:ascii="Book Antiqua" w:hAnsi="Book Antiqua" w:cs="Arial"/>
          <w:b/>
          <w:bCs/>
          <w:i/>
          <w:lang w:val="en-US"/>
        </w:rPr>
      </w:pPr>
      <w:r w:rsidRPr="00B00197">
        <w:rPr>
          <w:rFonts w:ascii="Book Antiqua" w:hAnsi="Book Antiqua" w:cs="Arial"/>
          <w:b/>
          <w:bCs/>
          <w:i/>
          <w:lang w:val="en-US"/>
        </w:rPr>
        <w:t>Assessment of further evidence</w:t>
      </w:r>
    </w:p>
    <w:p w:rsidR="00B00197" w:rsidRDefault="005E1F7E" w:rsidP="00D1693E">
      <w:pPr>
        <w:pStyle w:val="ListParagraph"/>
        <w:numPr>
          <w:ilvl w:val="0"/>
          <w:numId w:val="1"/>
        </w:numPr>
        <w:spacing w:before="100" w:beforeAutospacing="1" w:after="100" w:afterAutospacing="1"/>
        <w:jc w:val="both"/>
        <w:rPr>
          <w:rFonts w:ascii="Book Antiqua" w:hAnsi="Book Antiqua"/>
        </w:rPr>
      </w:pPr>
      <w:r>
        <w:rPr>
          <w:rFonts w:ascii="Book Antiqua" w:hAnsi="Book Antiqua"/>
        </w:rPr>
        <w:t>It is important to acknowledge</w:t>
      </w:r>
      <w:r w:rsidR="00B00197">
        <w:rPr>
          <w:rFonts w:ascii="Book Antiqua" w:hAnsi="Book Antiqua"/>
        </w:rPr>
        <w:t>, as Mr Ell invited me to do, the preserved factual findings from the FTT decision</w:t>
      </w:r>
      <w:r w:rsidR="00601E94">
        <w:rPr>
          <w:rFonts w:ascii="Book Antiqua" w:hAnsi="Book Antiqua"/>
        </w:rPr>
        <w:t>.  These include</w:t>
      </w:r>
      <w:r w:rsidR="00B00197" w:rsidRPr="00B00197">
        <w:rPr>
          <w:rFonts w:ascii="Book Antiqua" w:hAnsi="Book Antiqua"/>
        </w:rPr>
        <w:t xml:space="preserve">: Mr </w:t>
      </w:r>
      <w:r w:rsidR="001B4BAE">
        <w:rPr>
          <w:rFonts w:ascii="Book Antiqua" w:hAnsi="Book Antiqua"/>
        </w:rPr>
        <w:t>[D]</w:t>
      </w:r>
      <w:r w:rsidR="00B00197" w:rsidRPr="00B00197">
        <w:rPr>
          <w:rFonts w:ascii="Book Antiqua" w:hAnsi="Book Antiqua"/>
        </w:rPr>
        <w:t>’s history as a child refugee [30-35]; he is part of a closely knit and loving family in the U</w:t>
      </w:r>
      <w:r w:rsidR="00B00197">
        <w:rPr>
          <w:rFonts w:ascii="Book Antiqua" w:hAnsi="Book Antiqua"/>
        </w:rPr>
        <w:t>K</w:t>
      </w:r>
      <w:r w:rsidR="00B00197" w:rsidRPr="00B00197">
        <w:rPr>
          <w:rFonts w:ascii="Book Antiqua" w:hAnsi="Book Antiqua"/>
        </w:rPr>
        <w:t xml:space="preserve"> [43-44]; he has developed a very significant private life in the United Kingdom over an extended period of time [46]</w:t>
      </w:r>
      <w:r w:rsidR="00B00197">
        <w:rPr>
          <w:rFonts w:ascii="Book Antiqua" w:hAnsi="Book Antiqua"/>
        </w:rPr>
        <w:t xml:space="preserve">; </w:t>
      </w:r>
      <w:r w:rsidR="00B00197" w:rsidRPr="00B00197">
        <w:rPr>
          <w:rFonts w:ascii="Book Antiqua" w:hAnsi="Book Antiqua"/>
        </w:rPr>
        <w:t xml:space="preserve">his deportation would constitute a very significant interference with his private life [48]; he will have significant difficulties in adapting to life in Vietnam given the time he has been away for and his limited employment skills [46].  </w:t>
      </w:r>
    </w:p>
    <w:p w:rsidR="005E1F7E" w:rsidRPr="00B00197" w:rsidRDefault="005E1F7E" w:rsidP="005E1F7E">
      <w:pPr>
        <w:pStyle w:val="ListParagraph"/>
        <w:spacing w:before="100" w:beforeAutospacing="1" w:after="100" w:afterAutospacing="1"/>
        <w:ind w:left="1280"/>
        <w:jc w:val="both"/>
        <w:rPr>
          <w:rFonts w:ascii="Book Antiqua" w:hAnsi="Book Antiqua"/>
        </w:rPr>
      </w:pPr>
    </w:p>
    <w:p w:rsidR="00601E94" w:rsidRDefault="005E1F7E" w:rsidP="00D1693E">
      <w:pPr>
        <w:pStyle w:val="ListParagraph"/>
        <w:numPr>
          <w:ilvl w:val="0"/>
          <w:numId w:val="1"/>
        </w:numPr>
        <w:spacing w:before="100" w:beforeAutospacing="1" w:after="100" w:afterAutospacing="1"/>
        <w:jc w:val="both"/>
        <w:rPr>
          <w:rFonts w:ascii="Book Antiqua" w:hAnsi="Book Antiqua" w:cs="Arial"/>
          <w:bCs/>
          <w:lang w:val="en-US"/>
        </w:rPr>
      </w:pPr>
      <w:r>
        <w:rPr>
          <w:rFonts w:ascii="Book Antiqua" w:hAnsi="Book Antiqua" w:cs="Arial"/>
          <w:bCs/>
          <w:lang w:val="en-US"/>
        </w:rPr>
        <w:t xml:space="preserve">These findings were reached after a hearing on 22 December 2016.  I heard evidence from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in July 2018</w:t>
      </w:r>
      <w:r w:rsidR="00306F85">
        <w:rPr>
          <w:rFonts w:ascii="Book Antiqua" w:hAnsi="Book Antiqua" w:cs="Arial"/>
          <w:bCs/>
          <w:lang w:val="en-US"/>
        </w:rPr>
        <w:t xml:space="preserve"> together with updated evidence in a 128-page bundle</w:t>
      </w:r>
      <w:r>
        <w:rPr>
          <w:rFonts w:ascii="Book Antiqua" w:hAnsi="Book Antiqua" w:cs="Arial"/>
          <w:bCs/>
          <w:lang w:val="en-US"/>
        </w:rPr>
        <w:t xml:space="preserve">.  The representatives agreed that the evidence provided was </w:t>
      </w:r>
      <w:r w:rsidR="00306F85">
        <w:rPr>
          <w:rFonts w:ascii="Book Antiqua" w:hAnsi="Book Antiqua" w:cs="Arial"/>
          <w:bCs/>
          <w:lang w:val="en-US"/>
        </w:rPr>
        <w:t xml:space="preserve">mostly </w:t>
      </w:r>
      <w:r w:rsidR="00601E94">
        <w:rPr>
          <w:rFonts w:ascii="Book Antiqua" w:hAnsi="Book Antiqua" w:cs="Arial"/>
          <w:bCs/>
          <w:lang w:val="en-US"/>
        </w:rPr>
        <w:t>uncontroversial</w:t>
      </w:r>
      <w:r w:rsidR="00306F85">
        <w:rPr>
          <w:rFonts w:ascii="Book Antiqua" w:hAnsi="Book Antiqua" w:cs="Arial"/>
          <w:bCs/>
          <w:lang w:val="en-US"/>
        </w:rPr>
        <w:t>.  Having considered all the evidence in the round, I make the following factual findings</w:t>
      </w:r>
      <w:r>
        <w:rPr>
          <w:rFonts w:ascii="Book Antiqua" w:hAnsi="Book Antiqua" w:cs="Arial"/>
          <w:bCs/>
          <w:lang w:val="en-US"/>
        </w:rPr>
        <w:t xml:space="preserve">: </w:t>
      </w:r>
    </w:p>
    <w:p w:rsidR="00601E94" w:rsidRPr="00601E94" w:rsidRDefault="00601E94" w:rsidP="00601E94">
      <w:pPr>
        <w:pStyle w:val="ListParagraph"/>
        <w:rPr>
          <w:rFonts w:ascii="Book Antiqua" w:hAnsi="Book Antiqua" w:cs="Arial"/>
          <w:bCs/>
          <w:lang w:val="en-US"/>
        </w:rPr>
      </w:pPr>
    </w:p>
    <w:p w:rsidR="007A3794" w:rsidRDefault="00601E94" w:rsidP="0072295F">
      <w:pPr>
        <w:pStyle w:val="ListParagraph"/>
        <w:numPr>
          <w:ilvl w:val="0"/>
          <w:numId w:val="2"/>
        </w:numPr>
        <w:spacing w:before="100" w:beforeAutospacing="1" w:after="100" w:afterAutospacing="1"/>
        <w:jc w:val="both"/>
        <w:rPr>
          <w:rFonts w:ascii="Book Antiqua" w:hAnsi="Book Antiqua" w:cs="Arial"/>
          <w:bCs/>
          <w:lang w:val="en-US"/>
        </w:rPr>
      </w:pPr>
      <w:proofErr w:type="spellStart"/>
      <w:r w:rsidRPr="00601E94">
        <w:rPr>
          <w:rFonts w:ascii="Book Antiqua" w:hAnsi="Book Antiqua" w:cs="Arial"/>
          <w:bCs/>
          <w:lang w:val="en-US"/>
        </w:rPr>
        <w:t>Mr</w:t>
      </w:r>
      <w:proofErr w:type="spellEnd"/>
      <w:r w:rsidRPr="00601E94">
        <w:rPr>
          <w:rFonts w:ascii="Book Antiqua" w:hAnsi="Book Antiqua" w:cs="Arial"/>
          <w:bCs/>
          <w:lang w:val="en-US"/>
        </w:rPr>
        <w:t xml:space="preserve"> </w:t>
      </w:r>
      <w:r w:rsidR="001B4BAE">
        <w:rPr>
          <w:rFonts w:ascii="Book Antiqua" w:hAnsi="Book Antiqua" w:cs="Arial"/>
          <w:bCs/>
          <w:lang w:val="en-US"/>
        </w:rPr>
        <w:t>[D]</w:t>
      </w:r>
      <w:r w:rsidRPr="00601E94">
        <w:rPr>
          <w:rFonts w:ascii="Book Antiqua" w:hAnsi="Book Antiqua" w:cs="Arial"/>
          <w:bCs/>
          <w:lang w:val="en-US"/>
        </w:rPr>
        <w:t xml:space="preserve"> remains</w:t>
      </w:r>
      <w:r w:rsidR="005E1F7E" w:rsidRPr="00601E94">
        <w:rPr>
          <w:rFonts w:ascii="Book Antiqua" w:hAnsi="Book Antiqua" w:cs="Arial"/>
          <w:bCs/>
          <w:lang w:val="en-US"/>
        </w:rPr>
        <w:t xml:space="preserve"> part of a c</w:t>
      </w:r>
      <w:r w:rsidRPr="00601E94">
        <w:rPr>
          <w:rFonts w:ascii="Book Antiqua" w:hAnsi="Book Antiqua" w:cs="Arial"/>
          <w:bCs/>
          <w:lang w:val="en-US"/>
        </w:rPr>
        <w:t>lose-</w:t>
      </w:r>
      <w:r w:rsidR="005E1F7E" w:rsidRPr="00601E94">
        <w:rPr>
          <w:rFonts w:ascii="Book Antiqua" w:hAnsi="Book Antiqua" w:cs="Arial"/>
          <w:bCs/>
          <w:lang w:val="en-US"/>
        </w:rPr>
        <w:t>knit family</w:t>
      </w:r>
      <w:r w:rsidRPr="00601E94">
        <w:rPr>
          <w:rFonts w:ascii="Book Antiqua" w:hAnsi="Book Antiqua" w:cs="Arial"/>
          <w:bCs/>
          <w:lang w:val="en-US"/>
        </w:rPr>
        <w:t xml:space="preserve">.  However, most of his family including his mother and </w:t>
      </w:r>
      <w:r w:rsidR="00306F85">
        <w:rPr>
          <w:rFonts w:ascii="Book Antiqua" w:hAnsi="Book Antiqua" w:cs="Arial"/>
          <w:bCs/>
          <w:lang w:val="en-US"/>
        </w:rPr>
        <w:t xml:space="preserve">B, his disabled </w:t>
      </w:r>
      <w:r w:rsidRPr="00601E94">
        <w:rPr>
          <w:rFonts w:ascii="Book Antiqua" w:hAnsi="Book Antiqua" w:cs="Arial"/>
          <w:bCs/>
          <w:lang w:val="en-US"/>
        </w:rPr>
        <w:t>brother</w:t>
      </w:r>
      <w:r w:rsidR="001B4BAE">
        <w:rPr>
          <w:rFonts w:ascii="Book Antiqua" w:hAnsi="Book Antiqua" w:cs="Arial"/>
          <w:bCs/>
          <w:lang w:val="en-US"/>
        </w:rPr>
        <w:t>,</w:t>
      </w:r>
      <w:r w:rsidRPr="00601E94">
        <w:rPr>
          <w:rFonts w:ascii="Book Antiqua" w:hAnsi="Book Antiqua" w:cs="Arial"/>
          <w:bCs/>
          <w:lang w:val="en-US"/>
        </w:rPr>
        <w:t xml:space="preserve"> residing in a residential home, live in Birmingham.  He has lived in Manchester in recent years and moved to Warrington to open his own business in April 2018.  He used to visit </w:t>
      </w:r>
      <w:r w:rsidR="00306F85">
        <w:rPr>
          <w:rFonts w:ascii="Book Antiqua" w:hAnsi="Book Antiqua" w:cs="Arial"/>
          <w:bCs/>
          <w:lang w:val="en-US"/>
        </w:rPr>
        <w:t>his family in Birmingham</w:t>
      </w:r>
      <w:r w:rsidRPr="00601E94">
        <w:rPr>
          <w:rFonts w:ascii="Book Antiqua" w:hAnsi="Book Antiqua" w:cs="Arial"/>
          <w:bCs/>
          <w:lang w:val="en-US"/>
        </w:rPr>
        <w:t xml:space="preserve"> every Monday but needs to shut his business </w:t>
      </w:r>
      <w:proofErr w:type="gramStart"/>
      <w:r w:rsidRPr="00601E94">
        <w:rPr>
          <w:rFonts w:ascii="Book Antiqua" w:hAnsi="Book Antiqua" w:cs="Arial"/>
          <w:bCs/>
          <w:lang w:val="en-US"/>
        </w:rPr>
        <w:t>in order to</w:t>
      </w:r>
      <w:proofErr w:type="gramEnd"/>
      <w:r w:rsidRPr="00601E94">
        <w:rPr>
          <w:rFonts w:ascii="Book Antiqua" w:hAnsi="Book Antiqua" w:cs="Arial"/>
          <w:bCs/>
          <w:lang w:val="en-US"/>
        </w:rPr>
        <w:t xml:space="preserve"> visit</w:t>
      </w:r>
      <w:r w:rsidR="00306F85">
        <w:rPr>
          <w:rFonts w:ascii="Book Antiqua" w:hAnsi="Book Antiqua" w:cs="Arial"/>
          <w:bCs/>
          <w:lang w:val="en-US"/>
        </w:rPr>
        <w:t>, and for this understandable reason visits them on a fortnightly basis</w:t>
      </w:r>
      <w:r w:rsidRPr="00601E94">
        <w:rPr>
          <w:rFonts w:ascii="Book Antiqua" w:hAnsi="Book Antiqua" w:cs="Arial"/>
          <w:bCs/>
          <w:lang w:val="en-US"/>
        </w:rPr>
        <w:t>.</w:t>
      </w:r>
      <w:r w:rsidR="00306F85">
        <w:rPr>
          <w:rFonts w:ascii="Book Antiqua" w:hAnsi="Book Antiqua" w:cs="Arial"/>
          <w:bCs/>
          <w:lang w:val="en-US"/>
        </w:rPr>
        <w:t xml:space="preserve">  There is no obvious element of dependency beyond normal family ties between </w:t>
      </w:r>
      <w:proofErr w:type="spellStart"/>
      <w:r w:rsidR="00306F85">
        <w:rPr>
          <w:rFonts w:ascii="Book Antiqua" w:hAnsi="Book Antiqua" w:cs="Arial"/>
          <w:bCs/>
          <w:lang w:val="en-US"/>
        </w:rPr>
        <w:t>Mr</w:t>
      </w:r>
      <w:proofErr w:type="spellEnd"/>
      <w:r w:rsidR="00306F85">
        <w:rPr>
          <w:rFonts w:ascii="Book Antiqua" w:hAnsi="Book Antiqua" w:cs="Arial"/>
          <w:bCs/>
          <w:lang w:val="en-US"/>
        </w:rPr>
        <w:t xml:space="preserve"> </w:t>
      </w:r>
      <w:r w:rsidR="001B4BAE">
        <w:rPr>
          <w:rFonts w:ascii="Book Antiqua" w:hAnsi="Book Antiqua" w:cs="Arial"/>
          <w:bCs/>
          <w:lang w:val="en-US"/>
        </w:rPr>
        <w:t>[D]</w:t>
      </w:r>
      <w:r w:rsidR="00306F85">
        <w:rPr>
          <w:rFonts w:ascii="Book Antiqua" w:hAnsi="Book Antiqua" w:cs="Arial"/>
          <w:bCs/>
          <w:lang w:val="en-US"/>
        </w:rPr>
        <w:t xml:space="preserve"> and his relatives given the geographical distance.  </w:t>
      </w:r>
    </w:p>
    <w:p w:rsidR="007A3794" w:rsidRDefault="007A3794" w:rsidP="00D1693E">
      <w:pPr>
        <w:pStyle w:val="ListParagraph"/>
        <w:spacing w:before="100" w:beforeAutospacing="1" w:after="100" w:afterAutospacing="1"/>
        <w:ind w:left="2880"/>
        <w:jc w:val="both"/>
        <w:rPr>
          <w:rFonts w:ascii="Book Antiqua" w:hAnsi="Book Antiqua" w:cs="Arial"/>
          <w:bCs/>
          <w:lang w:val="en-US"/>
        </w:rPr>
      </w:pPr>
    </w:p>
    <w:p w:rsidR="007A3794" w:rsidRDefault="007A3794" w:rsidP="0072295F">
      <w:pPr>
        <w:pStyle w:val="ListParagraph"/>
        <w:numPr>
          <w:ilvl w:val="0"/>
          <w:numId w:val="2"/>
        </w:numPr>
        <w:spacing w:before="100" w:beforeAutospacing="1" w:after="100" w:afterAutospacing="1"/>
        <w:jc w:val="both"/>
        <w:rPr>
          <w:rFonts w:ascii="Book Antiqua" w:hAnsi="Book Antiqua" w:cs="Arial"/>
          <w:bCs/>
          <w:lang w:val="en-US"/>
        </w:rPr>
      </w:pP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contributes to his mother’s bills and gives her £50 per week but that does not mean that she is financially dependent upon him.  She must have her own source of income.  In any event, after a fall two months ago,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told me during his oral evidence that she has been looked after by social services.</w:t>
      </w:r>
    </w:p>
    <w:p w:rsidR="007A3794" w:rsidRPr="00D1693E" w:rsidRDefault="007A3794" w:rsidP="00D1693E">
      <w:pPr>
        <w:pStyle w:val="ListParagraph"/>
        <w:rPr>
          <w:rFonts w:ascii="Book Antiqua" w:hAnsi="Book Antiqua" w:cs="Arial"/>
          <w:bCs/>
          <w:lang w:val="en-US"/>
        </w:rPr>
      </w:pPr>
    </w:p>
    <w:p w:rsidR="007A3794" w:rsidRDefault="007A3794" w:rsidP="0072295F">
      <w:pPr>
        <w:pStyle w:val="ListParagraph"/>
        <w:numPr>
          <w:ilvl w:val="0"/>
          <w:numId w:val="2"/>
        </w:numPr>
        <w:spacing w:before="100" w:beforeAutospacing="1" w:after="100" w:afterAutospacing="1"/>
        <w:jc w:val="both"/>
        <w:rPr>
          <w:rFonts w:ascii="Book Antiqua" w:hAnsi="Book Antiqua" w:cs="Arial"/>
          <w:bCs/>
          <w:lang w:val="en-US"/>
        </w:rPr>
      </w:pPr>
      <w:r>
        <w:rPr>
          <w:rFonts w:ascii="Book Antiqua" w:hAnsi="Book Antiqua" w:cs="Arial"/>
          <w:bCs/>
          <w:lang w:val="en-US"/>
        </w:rPr>
        <w:t>A letter regarding B from the Brain Injury Rehabilitation Trust dated 28 November 2016 is not addressed to th</w:t>
      </w:r>
      <w:r w:rsidR="003E009A">
        <w:rPr>
          <w:rFonts w:ascii="Book Antiqua" w:hAnsi="Book Antiqua" w:cs="Arial"/>
          <w:bCs/>
          <w:lang w:val="en-US"/>
        </w:rPr>
        <w:t>e respondent</w:t>
      </w:r>
      <w:r>
        <w:rPr>
          <w:rFonts w:ascii="Book Antiqua" w:hAnsi="Book Antiqua" w:cs="Arial"/>
          <w:bCs/>
          <w:lang w:val="en-US"/>
        </w:rPr>
        <w:t>,</w:t>
      </w:r>
      <w:r w:rsidR="003E009A">
        <w:rPr>
          <w:rFonts w:ascii="Book Antiqua" w:hAnsi="Book Antiqua" w:cs="Arial"/>
          <w:bCs/>
          <w:lang w:val="en-US"/>
        </w:rPr>
        <w:t xml:space="preserve"> </w:t>
      </w:r>
      <w:proofErr w:type="spellStart"/>
      <w:r w:rsidR="003E009A">
        <w:rPr>
          <w:rFonts w:ascii="Book Antiqua" w:hAnsi="Book Antiqua" w:cs="Arial"/>
          <w:bCs/>
          <w:lang w:val="en-US"/>
        </w:rPr>
        <w:t>Mr</w:t>
      </w:r>
      <w:proofErr w:type="spellEnd"/>
      <w:r w:rsidR="003E009A">
        <w:rPr>
          <w:rFonts w:ascii="Book Antiqua" w:hAnsi="Book Antiqua" w:cs="Arial"/>
          <w:bCs/>
          <w:lang w:val="en-US"/>
        </w:rPr>
        <w:t xml:space="preserve"> Truong </w:t>
      </w:r>
      <w:r w:rsidR="001B4BAE">
        <w:rPr>
          <w:rFonts w:ascii="Book Antiqua" w:hAnsi="Book Antiqua" w:cs="Arial"/>
          <w:bCs/>
          <w:lang w:val="en-US"/>
        </w:rPr>
        <w:t>[D]</w:t>
      </w:r>
      <w:r w:rsidR="003E009A">
        <w:rPr>
          <w:rFonts w:ascii="Book Antiqua" w:hAnsi="Book Antiqua" w:cs="Arial"/>
          <w:bCs/>
          <w:lang w:val="en-US"/>
        </w:rPr>
        <w:t>,</w:t>
      </w:r>
      <w:r>
        <w:rPr>
          <w:rFonts w:ascii="Book Antiqua" w:hAnsi="Book Antiqua" w:cs="Arial"/>
          <w:bCs/>
          <w:lang w:val="en-US"/>
        </w:rPr>
        <w:t xml:space="preserve"> but his elder brother.  This suggests that it is not this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who takes a lead role in overviewing B’s care.</w:t>
      </w:r>
    </w:p>
    <w:p w:rsidR="007A3794" w:rsidRPr="00D1693E" w:rsidRDefault="007A3794" w:rsidP="00D1693E">
      <w:pPr>
        <w:pStyle w:val="ListParagraph"/>
        <w:rPr>
          <w:rFonts w:ascii="Book Antiqua" w:hAnsi="Book Antiqua" w:cs="Arial"/>
          <w:bCs/>
          <w:lang w:val="en-US"/>
        </w:rPr>
      </w:pPr>
    </w:p>
    <w:p w:rsidR="00062B80" w:rsidRDefault="007A3794" w:rsidP="0072295F">
      <w:pPr>
        <w:pStyle w:val="ListParagraph"/>
        <w:numPr>
          <w:ilvl w:val="0"/>
          <w:numId w:val="2"/>
        </w:numPr>
        <w:spacing w:before="100" w:beforeAutospacing="1" w:after="100" w:afterAutospacing="1"/>
        <w:jc w:val="both"/>
        <w:rPr>
          <w:rFonts w:ascii="Book Antiqua" w:hAnsi="Book Antiqua" w:cs="Arial"/>
          <w:bCs/>
          <w:lang w:val="en-US"/>
        </w:rPr>
      </w:pP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his mother and B are each</w:t>
      </w:r>
      <w:r w:rsidR="00306F85">
        <w:rPr>
          <w:rFonts w:ascii="Book Antiqua" w:hAnsi="Book Antiqua" w:cs="Arial"/>
          <w:bCs/>
          <w:lang w:val="en-US"/>
        </w:rPr>
        <w:t xml:space="preserve"> living independent lives</w:t>
      </w:r>
      <w:r w:rsidR="00731B3D">
        <w:rPr>
          <w:rFonts w:ascii="Book Antiqua" w:hAnsi="Book Antiqua" w:cs="Arial"/>
          <w:bCs/>
          <w:lang w:val="en-US"/>
        </w:rPr>
        <w:t xml:space="preserve"> and there is no ‘family life’ within the meaning of Article 8(1)</w:t>
      </w:r>
      <w:r w:rsidR="00306F85">
        <w:rPr>
          <w:rFonts w:ascii="Book Antiqua" w:hAnsi="Book Antiqua" w:cs="Arial"/>
          <w:bCs/>
          <w:lang w:val="en-US"/>
        </w:rPr>
        <w:t xml:space="preserve">.  </w:t>
      </w:r>
      <w:r w:rsidR="00731B3D">
        <w:rPr>
          <w:rFonts w:ascii="Book Antiqua" w:hAnsi="Book Antiqua" w:cs="Arial"/>
          <w:bCs/>
          <w:lang w:val="en-US"/>
        </w:rPr>
        <w:t>Even if there is, a</w:t>
      </w:r>
      <w:r w:rsidR="00306F85">
        <w:rPr>
          <w:rFonts w:ascii="Book Antiqua" w:hAnsi="Book Antiqua" w:cs="Arial"/>
          <w:bCs/>
          <w:lang w:val="en-US"/>
        </w:rPr>
        <w:t xml:space="preserve">ny </w:t>
      </w:r>
      <w:proofErr w:type="gramStart"/>
      <w:r w:rsidR="00306F85">
        <w:rPr>
          <w:rFonts w:ascii="Book Antiqua" w:hAnsi="Book Antiqua" w:cs="Arial"/>
          <w:bCs/>
          <w:lang w:val="en-US"/>
        </w:rPr>
        <w:t>particular dependence</w:t>
      </w:r>
      <w:proofErr w:type="gramEnd"/>
      <w:r w:rsidR="00731B3D">
        <w:rPr>
          <w:rFonts w:ascii="Book Antiqua" w:hAnsi="Book Antiqua" w:cs="Arial"/>
          <w:bCs/>
          <w:lang w:val="en-US"/>
        </w:rPr>
        <w:t xml:space="preserve"> the mother and B have upon </w:t>
      </w:r>
      <w:proofErr w:type="spellStart"/>
      <w:r w:rsidR="00731B3D">
        <w:rPr>
          <w:rFonts w:ascii="Book Antiqua" w:hAnsi="Book Antiqua" w:cs="Arial"/>
          <w:bCs/>
          <w:lang w:val="en-US"/>
        </w:rPr>
        <w:t>Mr</w:t>
      </w:r>
      <w:proofErr w:type="spellEnd"/>
      <w:r w:rsidR="00731B3D">
        <w:rPr>
          <w:rFonts w:ascii="Book Antiqua" w:hAnsi="Book Antiqua" w:cs="Arial"/>
          <w:bCs/>
          <w:lang w:val="en-US"/>
        </w:rPr>
        <w:t xml:space="preserve"> </w:t>
      </w:r>
      <w:r w:rsidR="001B4BAE">
        <w:rPr>
          <w:rFonts w:ascii="Book Antiqua" w:hAnsi="Book Antiqua" w:cs="Arial"/>
          <w:bCs/>
          <w:lang w:val="en-US"/>
        </w:rPr>
        <w:t>[D]</w:t>
      </w:r>
      <w:r w:rsidR="00731B3D">
        <w:rPr>
          <w:rFonts w:ascii="Book Antiqua" w:hAnsi="Book Antiqua" w:cs="Arial"/>
          <w:bCs/>
          <w:lang w:val="en-US"/>
        </w:rPr>
        <w:t xml:space="preserve"> can be easily replaced by the other siblings in the family, some of whom live nearer in Birmingham.  Althoug</w:t>
      </w:r>
      <w:r>
        <w:rPr>
          <w:rFonts w:ascii="Book Antiqua" w:hAnsi="Book Antiqua" w:cs="Arial"/>
          <w:bCs/>
          <w:lang w:val="en-US"/>
        </w:rPr>
        <w:t xml:space="preserve">h the </w:t>
      </w:r>
      <w:r>
        <w:rPr>
          <w:rFonts w:ascii="Book Antiqua" w:hAnsi="Book Antiqua" w:cs="Arial"/>
          <w:bCs/>
          <w:lang w:val="en-US"/>
        </w:rPr>
        <w:lastRenderedPageBreak/>
        <w:t>other siblings</w:t>
      </w:r>
      <w:r w:rsidR="00731B3D">
        <w:rPr>
          <w:rFonts w:ascii="Book Antiqua" w:hAnsi="Book Antiqua" w:cs="Arial"/>
          <w:bCs/>
          <w:lang w:val="en-US"/>
        </w:rPr>
        <w:t xml:space="preserve"> have </w:t>
      </w:r>
      <w:r>
        <w:rPr>
          <w:rFonts w:ascii="Book Antiqua" w:hAnsi="Book Antiqua" w:cs="Arial"/>
          <w:bCs/>
          <w:lang w:val="en-US"/>
        </w:rPr>
        <w:t xml:space="preserve">their own </w:t>
      </w:r>
      <w:r w:rsidR="00731B3D">
        <w:rPr>
          <w:rFonts w:ascii="Book Antiqua" w:hAnsi="Book Antiqua" w:cs="Arial"/>
          <w:bCs/>
          <w:lang w:val="en-US"/>
        </w:rPr>
        <w:t>independent family units</w:t>
      </w:r>
      <w:r>
        <w:rPr>
          <w:rFonts w:ascii="Book Antiqua" w:hAnsi="Book Antiqua" w:cs="Arial"/>
          <w:bCs/>
          <w:lang w:val="en-US"/>
        </w:rPr>
        <w:t>, thi</w:t>
      </w:r>
      <w:r w:rsidR="00731B3D">
        <w:rPr>
          <w:rFonts w:ascii="Book Antiqua" w:hAnsi="Book Antiqua" w:cs="Arial"/>
          <w:bCs/>
          <w:lang w:val="en-US"/>
        </w:rPr>
        <w:t xml:space="preserve">s does not prevent them from playing an important role in the lives of their mother and B.   As </w:t>
      </w:r>
      <w:proofErr w:type="spellStart"/>
      <w:r w:rsidR="00731B3D">
        <w:rPr>
          <w:rFonts w:ascii="Book Antiqua" w:hAnsi="Book Antiqua" w:cs="Arial"/>
          <w:bCs/>
          <w:lang w:val="en-US"/>
        </w:rPr>
        <w:t>Mr</w:t>
      </w:r>
      <w:proofErr w:type="spellEnd"/>
      <w:r w:rsidR="00731B3D">
        <w:rPr>
          <w:rFonts w:ascii="Book Antiqua" w:hAnsi="Book Antiqua" w:cs="Arial"/>
          <w:bCs/>
          <w:lang w:val="en-US"/>
        </w:rPr>
        <w:t xml:space="preserve"> Bates observed, the family all seem to meet up on a fortnightly basis when </w:t>
      </w:r>
      <w:proofErr w:type="spellStart"/>
      <w:r w:rsidR="00731B3D">
        <w:rPr>
          <w:rFonts w:ascii="Book Antiqua" w:hAnsi="Book Antiqua" w:cs="Arial"/>
          <w:bCs/>
          <w:lang w:val="en-US"/>
        </w:rPr>
        <w:t>Mr</w:t>
      </w:r>
      <w:proofErr w:type="spellEnd"/>
      <w:r w:rsidR="00731B3D">
        <w:rPr>
          <w:rFonts w:ascii="Book Antiqua" w:hAnsi="Book Antiqua" w:cs="Arial"/>
          <w:bCs/>
          <w:lang w:val="en-US"/>
        </w:rPr>
        <w:t xml:space="preserve"> </w:t>
      </w:r>
      <w:r w:rsidR="001B4BAE">
        <w:rPr>
          <w:rFonts w:ascii="Book Antiqua" w:hAnsi="Book Antiqua" w:cs="Arial"/>
          <w:bCs/>
          <w:lang w:val="en-US"/>
        </w:rPr>
        <w:t>[D]</w:t>
      </w:r>
      <w:r w:rsidR="00731B3D">
        <w:rPr>
          <w:rFonts w:ascii="Book Antiqua" w:hAnsi="Book Antiqua" w:cs="Arial"/>
          <w:bCs/>
          <w:lang w:val="en-US"/>
        </w:rPr>
        <w:t xml:space="preserve"> visits Birmingham and he no longer plays a particularly important practical role in caring for his mother and B.</w:t>
      </w:r>
      <w:r>
        <w:rPr>
          <w:rFonts w:ascii="Book Antiqua" w:hAnsi="Book Antiqua" w:cs="Arial"/>
          <w:bCs/>
          <w:lang w:val="en-US"/>
        </w:rPr>
        <w:t xml:space="preserve">  </w:t>
      </w:r>
    </w:p>
    <w:p w:rsidR="00731B3D" w:rsidRDefault="00731B3D" w:rsidP="00D1693E">
      <w:pPr>
        <w:pStyle w:val="ListParagraph"/>
        <w:spacing w:before="100" w:beforeAutospacing="1" w:after="100" w:afterAutospacing="1"/>
        <w:ind w:left="2880"/>
        <w:jc w:val="both"/>
        <w:rPr>
          <w:rFonts w:ascii="Book Antiqua" w:hAnsi="Book Antiqua" w:cs="Arial"/>
          <w:bCs/>
          <w:lang w:val="en-US"/>
        </w:rPr>
      </w:pPr>
    </w:p>
    <w:p w:rsidR="00062B80" w:rsidRDefault="00062B80" w:rsidP="0072295F">
      <w:pPr>
        <w:pStyle w:val="ListParagraph"/>
        <w:numPr>
          <w:ilvl w:val="0"/>
          <w:numId w:val="2"/>
        </w:numPr>
        <w:spacing w:before="100" w:beforeAutospacing="1" w:after="100" w:afterAutospacing="1"/>
        <w:jc w:val="both"/>
        <w:rPr>
          <w:rFonts w:ascii="Book Antiqua" w:hAnsi="Book Antiqua" w:cs="Arial"/>
          <w:bCs/>
          <w:lang w:val="en-US"/>
        </w:rPr>
      </w:pPr>
      <w:proofErr w:type="spellStart"/>
      <w:r w:rsidRPr="00062B80">
        <w:rPr>
          <w:rFonts w:ascii="Book Antiqua" w:hAnsi="Book Antiqua" w:cs="Arial"/>
          <w:bCs/>
          <w:lang w:val="en-US"/>
        </w:rPr>
        <w:t>Mr</w:t>
      </w:r>
      <w:proofErr w:type="spellEnd"/>
      <w:r w:rsidRPr="00062B80">
        <w:rPr>
          <w:rFonts w:ascii="Book Antiqua" w:hAnsi="Book Antiqua" w:cs="Arial"/>
          <w:bCs/>
          <w:lang w:val="en-US"/>
        </w:rPr>
        <w:t xml:space="preserve"> </w:t>
      </w:r>
      <w:r w:rsidR="001B4BAE">
        <w:rPr>
          <w:rFonts w:ascii="Book Antiqua" w:hAnsi="Book Antiqua" w:cs="Arial"/>
          <w:bCs/>
          <w:lang w:val="en-US"/>
        </w:rPr>
        <w:t>[D]</w:t>
      </w:r>
      <w:r w:rsidRPr="00062B80">
        <w:rPr>
          <w:rFonts w:ascii="Book Antiqua" w:hAnsi="Book Antiqua" w:cs="Arial"/>
          <w:bCs/>
          <w:lang w:val="en-US"/>
        </w:rPr>
        <w:t xml:space="preserve"> has opened his own Vietname</w:t>
      </w:r>
      <w:r w:rsidR="007A3794">
        <w:rPr>
          <w:rFonts w:ascii="Book Antiqua" w:hAnsi="Book Antiqua" w:cs="Arial"/>
          <w:bCs/>
          <w:lang w:val="en-US"/>
        </w:rPr>
        <w:t>se</w:t>
      </w:r>
      <w:r w:rsidRPr="00062B80">
        <w:rPr>
          <w:rFonts w:ascii="Book Antiqua" w:hAnsi="Book Antiqua" w:cs="Arial"/>
          <w:bCs/>
          <w:lang w:val="en-US"/>
        </w:rPr>
        <w:t xml:space="preserve"> take</w:t>
      </w:r>
      <w:r w:rsidR="007A3794">
        <w:rPr>
          <w:rFonts w:ascii="Book Antiqua" w:hAnsi="Book Antiqua" w:cs="Arial"/>
          <w:bCs/>
          <w:lang w:val="en-US"/>
        </w:rPr>
        <w:t>-</w:t>
      </w:r>
      <w:r w:rsidRPr="00062B80">
        <w:rPr>
          <w:rFonts w:ascii="Book Antiqua" w:hAnsi="Book Antiqua" w:cs="Arial"/>
          <w:bCs/>
          <w:lang w:val="en-US"/>
        </w:rPr>
        <w:t xml:space="preserve">away business in April 2018 after many years spent working as a chef.  </w:t>
      </w:r>
      <w:proofErr w:type="spellStart"/>
      <w:r w:rsidRPr="00062B80">
        <w:rPr>
          <w:rFonts w:ascii="Book Antiqua" w:hAnsi="Book Antiqua" w:cs="Arial"/>
          <w:bCs/>
          <w:lang w:val="en-US"/>
        </w:rPr>
        <w:t>Mr</w:t>
      </w:r>
      <w:proofErr w:type="spellEnd"/>
      <w:r w:rsidRPr="00062B80">
        <w:rPr>
          <w:rFonts w:ascii="Book Antiqua" w:hAnsi="Book Antiqua" w:cs="Arial"/>
          <w:bCs/>
          <w:lang w:val="en-US"/>
        </w:rPr>
        <w:t xml:space="preserve"> </w:t>
      </w:r>
      <w:r w:rsidR="001B4BAE">
        <w:rPr>
          <w:rFonts w:ascii="Book Antiqua" w:hAnsi="Book Antiqua" w:cs="Arial"/>
          <w:bCs/>
          <w:lang w:val="en-US"/>
        </w:rPr>
        <w:t>[D]</w:t>
      </w:r>
      <w:r w:rsidRPr="00062B80">
        <w:rPr>
          <w:rFonts w:ascii="Book Antiqua" w:hAnsi="Book Antiqua" w:cs="Arial"/>
          <w:bCs/>
          <w:lang w:val="en-US"/>
        </w:rPr>
        <w:t xml:space="preserve"> has clearly worked very hard to make the business profitable and I accept his evidence that the business is doing relatively well</w:t>
      </w:r>
      <w:r w:rsidR="007A3794">
        <w:rPr>
          <w:rFonts w:ascii="Book Antiqua" w:hAnsi="Book Antiqua" w:cs="Arial"/>
          <w:bCs/>
          <w:lang w:val="en-US"/>
        </w:rPr>
        <w:t>, but that he does not have any substantial capital to take from the business</w:t>
      </w:r>
      <w:r w:rsidRPr="00062B80">
        <w:rPr>
          <w:rFonts w:ascii="Book Antiqua" w:hAnsi="Book Antiqua" w:cs="Arial"/>
          <w:bCs/>
          <w:lang w:val="en-US"/>
        </w:rPr>
        <w:t>.</w:t>
      </w:r>
    </w:p>
    <w:p w:rsidR="00062B80" w:rsidRPr="007A3794" w:rsidRDefault="00062B80" w:rsidP="00062B80">
      <w:pPr>
        <w:pStyle w:val="ListParagraph"/>
        <w:spacing w:before="100" w:beforeAutospacing="1" w:after="100" w:afterAutospacing="1"/>
        <w:ind w:left="2880"/>
        <w:jc w:val="both"/>
        <w:rPr>
          <w:rFonts w:ascii="Book Antiqua" w:hAnsi="Book Antiqua" w:cs="Arial"/>
          <w:bCs/>
          <w:lang w:val="en-US"/>
        </w:rPr>
      </w:pPr>
    </w:p>
    <w:p w:rsidR="005E1F7E" w:rsidRPr="00D1693E" w:rsidRDefault="00062B80" w:rsidP="007A3794">
      <w:pPr>
        <w:pStyle w:val="ListParagraph"/>
        <w:numPr>
          <w:ilvl w:val="0"/>
          <w:numId w:val="2"/>
        </w:numPr>
        <w:spacing w:before="100" w:beforeAutospacing="1" w:after="100" w:afterAutospacing="1"/>
        <w:jc w:val="both"/>
        <w:rPr>
          <w:rFonts w:ascii="Book Antiqua" w:hAnsi="Book Antiqua"/>
          <w:lang w:val="en-US"/>
        </w:rPr>
      </w:pPr>
      <w:proofErr w:type="spellStart"/>
      <w:r w:rsidRPr="00D1693E">
        <w:rPr>
          <w:rFonts w:ascii="Book Antiqua" w:hAnsi="Book Antiqua"/>
          <w:lang w:val="en-US"/>
        </w:rPr>
        <w:t>Mr</w:t>
      </w:r>
      <w:proofErr w:type="spellEnd"/>
      <w:r w:rsidRPr="00D1693E">
        <w:rPr>
          <w:rFonts w:ascii="Book Antiqua" w:hAnsi="Book Antiqua"/>
          <w:lang w:val="en-US"/>
        </w:rPr>
        <w:t xml:space="preserve"> </w:t>
      </w:r>
      <w:r w:rsidR="001B4BAE">
        <w:rPr>
          <w:rFonts w:ascii="Book Antiqua" w:hAnsi="Book Antiqua"/>
          <w:lang w:val="en-US"/>
        </w:rPr>
        <w:t>[D]</w:t>
      </w:r>
      <w:r w:rsidRPr="00D1693E">
        <w:rPr>
          <w:rFonts w:ascii="Book Antiqua" w:hAnsi="Book Antiqua"/>
          <w:lang w:val="en-US"/>
        </w:rPr>
        <w:t xml:space="preserve"> accepted in cross-examination that he speaks to his mother in Vietnamese and therefore has a good working knowledge of the language.</w:t>
      </w:r>
    </w:p>
    <w:p w:rsidR="007718B5" w:rsidRPr="007718B5" w:rsidRDefault="007718B5" w:rsidP="007718B5">
      <w:pPr>
        <w:pStyle w:val="ListParagraph"/>
        <w:rPr>
          <w:rFonts w:ascii="Book Antiqua" w:hAnsi="Book Antiqua" w:cs="Arial"/>
          <w:bCs/>
          <w:lang w:val="en-US"/>
        </w:rPr>
      </w:pPr>
    </w:p>
    <w:p w:rsidR="007718B5" w:rsidRDefault="007718B5" w:rsidP="0072295F">
      <w:pPr>
        <w:pStyle w:val="ListParagraph"/>
        <w:numPr>
          <w:ilvl w:val="0"/>
          <w:numId w:val="2"/>
        </w:numPr>
        <w:spacing w:before="100" w:beforeAutospacing="1" w:after="100" w:afterAutospacing="1"/>
        <w:jc w:val="both"/>
        <w:rPr>
          <w:rFonts w:ascii="Book Antiqua" w:hAnsi="Book Antiqua" w:cs="Arial"/>
          <w:bCs/>
          <w:lang w:val="en-US"/>
        </w:rPr>
      </w:pPr>
      <w:r>
        <w:rPr>
          <w:rFonts w:ascii="Book Antiqua" w:hAnsi="Book Antiqua" w:cs="Arial"/>
          <w:bCs/>
          <w:lang w:val="en-US"/>
        </w:rPr>
        <w:t xml:space="preserve">I do not accept that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’s family will be completely unable to provide him with any financial support </w:t>
      </w:r>
      <w:proofErr w:type="gramStart"/>
      <w:r>
        <w:rPr>
          <w:rFonts w:ascii="Book Antiqua" w:hAnsi="Book Antiqua" w:cs="Arial"/>
          <w:bCs/>
          <w:lang w:val="en-US"/>
        </w:rPr>
        <w:t>in order to</w:t>
      </w:r>
      <w:proofErr w:type="gramEnd"/>
      <w:r>
        <w:rPr>
          <w:rFonts w:ascii="Book Antiqua" w:hAnsi="Book Antiqua" w:cs="Arial"/>
          <w:bCs/>
          <w:lang w:val="en-US"/>
        </w:rPr>
        <w:t xml:space="preserve"> assist him initially in Vietnam.  They may have their own responsibilities but it is difficult to see why they are unable to each contribute a small amount for a limited </w:t>
      </w:r>
      <w:proofErr w:type="gramStart"/>
      <w:r>
        <w:rPr>
          <w:rFonts w:ascii="Book Antiqua" w:hAnsi="Book Antiqua" w:cs="Arial"/>
          <w:bCs/>
          <w:lang w:val="en-US"/>
        </w:rPr>
        <w:t>period of time</w:t>
      </w:r>
      <w:proofErr w:type="gramEnd"/>
      <w:r w:rsidR="006D084E">
        <w:rPr>
          <w:rFonts w:ascii="Book Antiqua" w:hAnsi="Book Antiqua" w:cs="Arial"/>
          <w:bCs/>
          <w:lang w:val="en-US"/>
        </w:rPr>
        <w:t>, given the close-knit nature of the family</w:t>
      </w:r>
      <w:r>
        <w:rPr>
          <w:rFonts w:ascii="Book Antiqua" w:hAnsi="Book Antiqua" w:cs="Arial"/>
          <w:bCs/>
          <w:lang w:val="en-US"/>
        </w:rPr>
        <w:t>.</w:t>
      </w:r>
    </w:p>
    <w:p w:rsidR="0099426F" w:rsidRPr="00D1693E" w:rsidRDefault="0099426F" w:rsidP="00D1693E">
      <w:pPr>
        <w:pStyle w:val="ListParagraph"/>
        <w:rPr>
          <w:rFonts w:ascii="Book Antiqua" w:hAnsi="Book Antiqua" w:cs="Arial"/>
          <w:bCs/>
          <w:lang w:val="en-US"/>
        </w:rPr>
      </w:pPr>
    </w:p>
    <w:p w:rsidR="0099426F" w:rsidRPr="00062B80" w:rsidRDefault="0099426F" w:rsidP="0072295F">
      <w:pPr>
        <w:pStyle w:val="ListParagraph"/>
        <w:numPr>
          <w:ilvl w:val="0"/>
          <w:numId w:val="2"/>
        </w:numPr>
        <w:spacing w:before="100" w:beforeAutospacing="1" w:after="100" w:afterAutospacing="1"/>
        <w:jc w:val="both"/>
        <w:rPr>
          <w:rFonts w:ascii="Book Antiqua" w:hAnsi="Book Antiqua" w:cs="Arial"/>
          <w:bCs/>
          <w:lang w:val="en-US"/>
        </w:rPr>
      </w:pPr>
      <w:r>
        <w:rPr>
          <w:rFonts w:ascii="Book Antiqua" w:hAnsi="Book Antiqua" w:cs="Arial"/>
          <w:bCs/>
          <w:lang w:val="en-US"/>
        </w:rPr>
        <w:t xml:space="preserve">I accept the assessment in a letter dated 3 October 2014 from the National Probation Service, that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fully complied with the probation service such that his risk of reconviction at that time was assessed at 17% within two years.  </w:t>
      </w:r>
      <w:proofErr w:type="spellStart"/>
      <w:r>
        <w:rPr>
          <w:rFonts w:ascii="Book Antiqua" w:hAnsi="Book Antiqua" w:cs="Arial"/>
          <w:bCs/>
          <w:lang w:val="en-US"/>
        </w:rPr>
        <w:t>Mr</w:t>
      </w:r>
      <w:proofErr w:type="spellEnd"/>
      <w:r>
        <w:rPr>
          <w:rFonts w:ascii="Book Antiqua" w:hAnsi="Book Antiqua" w:cs="Arial"/>
          <w:bCs/>
          <w:lang w:val="en-US"/>
        </w:rPr>
        <w:t xml:space="preserve"> </w:t>
      </w:r>
      <w:r w:rsidR="001B4BAE">
        <w:rPr>
          <w:rFonts w:ascii="Book Antiqua" w:hAnsi="Book Antiqua" w:cs="Arial"/>
          <w:bCs/>
          <w:lang w:val="en-US"/>
        </w:rPr>
        <w:t>[D]</w:t>
      </w:r>
      <w:r>
        <w:rPr>
          <w:rFonts w:ascii="Book Antiqua" w:hAnsi="Book Antiqua" w:cs="Arial"/>
          <w:bCs/>
          <w:lang w:val="en-US"/>
        </w:rPr>
        <w:t xml:space="preserve"> has demonstrated through his sustained good behavior and employment record since then that his risk of re-offending is low.</w:t>
      </w:r>
    </w:p>
    <w:p w:rsidR="00B00197" w:rsidRPr="007718B5" w:rsidRDefault="00B00197" w:rsidP="008C6CB2">
      <w:pPr>
        <w:spacing w:before="100" w:beforeAutospacing="1" w:after="100" w:afterAutospacing="1"/>
        <w:jc w:val="both"/>
        <w:rPr>
          <w:rFonts w:ascii="Book Antiqua" w:hAnsi="Book Antiqua" w:cs="Arial"/>
          <w:bCs/>
          <w:lang w:val="en-US"/>
        </w:rPr>
      </w:pPr>
      <w:r w:rsidRPr="00B00197">
        <w:rPr>
          <w:rFonts w:ascii="Book Antiqua" w:hAnsi="Book Antiqua" w:cs="Arial"/>
          <w:b/>
          <w:bCs/>
          <w:i/>
          <w:lang w:val="en-US"/>
        </w:rPr>
        <w:t>Very significant obstacles</w:t>
      </w:r>
    </w:p>
    <w:p w:rsidR="0059549B" w:rsidRDefault="00415485" w:rsidP="00D1693E">
      <w:pPr>
        <w:pStyle w:val="ListParagraph"/>
        <w:numPr>
          <w:ilvl w:val="0"/>
          <w:numId w:val="1"/>
        </w:numPr>
        <w:spacing w:before="100" w:beforeAutospacing="1" w:after="100" w:afterAutospacing="1"/>
        <w:jc w:val="both"/>
        <w:rPr>
          <w:rFonts w:ascii="Book Antiqua" w:hAnsi="Book Antiqua"/>
        </w:rPr>
      </w:pPr>
      <w:r w:rsidRPr="00C30494">
        <w:rPr>
          <w:rFonts w:ascii="Book Antiqua" w:hAnsi="Book Antiqua"/>
        </w:rPr>
        <w:t xml:space="preserve">It was common ground before the </w:t>
      </w:r>
      <w:r w:rsidR="00C30808">
        <w:rPr>
          <w:rFonts w:ascii="Book Antiqua" w:hAnsi="Book Antiqua"/>
        </w:rPr>
        <w:t>F</w:t>
      </w:r>
      <w:r w:rsidR="00AE4F5D">
        <w:rPr>
          <w:rFonts w:ascii="Book Antiqua" w:hAnsi="Book Antiqua"/>
        </w:rPr>
        <w:t>TT</w:t>
      </w:r>
      <w:r w:rsidR="00C30808">
        <w:rPr>
          <w:rFonts w:ascii="Book Antiqua" w:hAnsi="Book Antiqua"/>
        </w:rPr>
        <w:t xml:space="preserve"> </w:t>
      </w:r>
      <w:r w:rsidRPr="00C30494">
        <w:rPr>
          <w:rFonts w:ascii="Book Antiqua" w:hAnsi="Book Antiqua"/>
        </w:rPr>
        <w:t xml:space="preserve">that </w:t>
      </w:r>
      <w:r w:rsidR="00C30808">
        <w:rPr>
          <w:rFonts w:ascii="Book Antiqua" w:hAnsi="Book Antiqua"/>
        </w:rPr>
        <w:t xml:space="preserve">Mr </w:t>
      </w:r>
      <w:r w:rsidR="001B4BAE">
        <w:rPr>
          <w:rFonts w:ascii="Book Antiqua" w:hAnsi="Book Antiqua"/>
        </w:rPr>
        <w:t>[D]</w:t>
      </w:r>
      <w:r w:rsidRPr="00C30494">
        <w:rPr>
          <w:rFonts w:ascii="Book Antiqua" w:hAnsi="Book Antiqua"/>
        </w:rPr>
        <w:t xml:space="preserve"> had been lawfully resident </w:t>
      </w:r>
      <w:r w:rsidR="006D084E">
        <w:rPr>
          <w:rFonts w:ascii="Book Antiqua" w:hAnsi="Book Antiqua"/>
        </w:rPr>
        <w:t xml:space="preserve">with settled status </w:t>
      </w:r>
      <w:r w:rsidRPr="00C30494">
        <w:rPr>
          <w:rFonts w:ascii="Book Antiqua" w:hAnsi="Book Antiqua"/>
        </w:rPr>
        <w:t>in the U</w:t>
      </w:r>
      <w:r w:rsidR="006D084E">
        <w:rPr>
          <w:rFonts w:ascii="Book Antiqua" w:hAnsi="Book Antiqua"/>
        </w:rPr>
        <w:t>K</w:t>
      </w:r>
      <w:r w:rsidRPr="00C30494">
        <w:rPr>
          <w:rFonts w:ascii="Book Antiqua" w:hAnsi="Book Antiqua"/>
        </w:rPr>
        <w:t xml:space="preserve"> for most of his life</w:t>
      </w:r>
      <w:r w:rsidR="00EA65E3" w:rsidRPr="00C30494">
        <w:rPr>
          <w:rFonts w:ascii="Book Antiqua" w:hAnsi="Book Antiqua"/>
        </w:rPr>
        <w:t xml:space="preserve"> and a</w:t>
      </w:r>
      <w:r w:rsidRPr="00C30494">
        <w:rPr>
          <w:rFonts w:ascii="Book Antiqua" w:hAnsi="Book Antiqua"/>
        </w:rPr>
        <w:t>fter careful consider</w:t>
      </w:r>
      <w:r w:rsidR="00C30808">
        <w:rPr>
          <w:rFonts w:ascii="Book Antiqua" w:hAnsi="Book Antiqua"/>
        </w:rPr>
        <w:t>ation of the facts, the F</w:t>
      </w:r>
      <w:r w:rsidR="006D084E">
        <w:rPr>
          <w:rFonts w:ascii="Book Antiqua" w:hAnsi="Book Antiqua"/>
        </w:rPr>
        <w:t>TT</w:t>
      </w:r>
      <w:r w:rsidRPr="00C30494">
        <w:rPr>
          <w:rFonts w:ascii="Book Antiqua" w:hAnsi="Book Antiqua"/>
        </w:rPr>
        <w:t xml:space="preserve"> found that he </w:t>
      </w:r>
      <w:r w:rsidR="006D084E">
        <w:rPr>
          <w:rFonts w:ascii="Book Antiqua" w:hAnsi="Book Antiqua"/>
        </w:rPr>
        <w:t>wa</w:t>
      </w:r>
      <w:r w:rsidRPr="00C30494">
        <w:rPr>
          <w:rFonts w:ascii="Book Antiqua" w:hAnsi="Book Antiqua"/>
        </w:rPr>
        <w:t>s socially and culturally integrated in the UK</w:t>
      </w:r>
      <w:r w:rsidR="00C30808">
        <w:rPr>
          <w:rFonts w:ascii="Book Antiqua" w:hAnsi="Book Antiqua"/>
        </w:rPr>
        <w:t xml:space="preserve"> </w:t>
      </w:r>
      <w:r w:rsidR="00AE4F5D">
        <w:rPr>
          <w:rFonts w:ascii="Book Antiqua" w:hAnsi="Book Antiqua"/>
        </w:rPr>
        <w:t xml:space="preserve">at </w:t>
      </w:r>
      <w:r w:rsidR="00C30808">
        <w:rPr>
          <w:rFonts w:ascii="Book Antiqua" w:hAnsi="Book Antiqua"/>
        </w:rPr>
        <w:t>[55]</w:t>
      </w:r>
      <w:r w:rsidR="00AE4F5D">
        <w:rPr>
          <w:rFonts w:ascii="Book Antiqua" w:hAnsi="Book Antiqua"/>
        </w:rPr>
        <w:t>.  T</w:t>
      </w:r>
      <w:r w:rsidR="00C30808">
        <w:rPr>
          <w:rFonts w:ascii="Book Antiqua" w:hAnsi="Book Antiqua"/>
        </w:rPr>
        <w:t>he SSHD</w:t>
      </w:r>
      <w:r w:rsidR="00AE4F5D">
        <w:rPr>
          <w:rFonts w:ascii="Book Antiqua" w:hAnsi="Book Antiqua"/>
        </w:rPr>
        <w:t xml:space="preserve"> made no complaint about the</w:t>
      </w:r>
      <w:r w:rsidRPr="00C30494">
        <w:rPr>
          <w:rFonts w:ascii="Book Antiqua" w:hAnsi="Book Antiqua"/>
        </w:rPr>
        <w:t xml:space="preserve"> deci</w:t>
      </w:r>
      <w:r w:rsidR="00C12962">
        <w:rPr>
          <w:rFonts w:ascii="Book Antiqua" w:hAnsi="Book Antiqua"/>
        </w:rPr>
        <w:t>sion on this</w:t>
      </w:r>
      <w:r w:rsidRPr="00C30494">
        <w:rPr>
          <w:rFonts w:ascii="Book Antiqua" w:hAnsi="Book Antiqua"/>
        </w:rPr>
        <w:t xml:space="preserve"> point.</w:t>
      </w:r>
      <w:r w:rsidR="00AE4F5D">
        <w:rPr>
          <w:rFonts w:ascii="Book Antiqua" w:hAnsi="Book Antiqua"/>
        </w:rPr>
        <w:t xml:space="preserve">  It follow</w:t>
      </w:r>
      <w:r w:rsidR="006D084E">
        <w:rPr>
          <w:rFonts w:ascii="Book Antiqua" w:hAnsi="Book Antiqua"/>
        </w:rPr>
        <w:t>s</w:t>
      </w:r>
      <w:r w:rsidR="00AE4F5D">
        <w:rPr>
          <w:rFonts w:ascii="Book Antiqua" w:hAnsi="Book Antiqua"/>
        </w:rPr>
        <w:t xml:space="preserve"> that the only issue in dispute regarding</w:t>
      </w:r>
      <w:r w:rsidR="00AE4F5D" w:rsidRPr="00AE4F5D">
        <w:rPr>
          <w:rFonts w:ascii="Book Antiqua" w:hAnsi="Book Antiqua"/>
        </w:rPr>
        <w:t xml:space="preserve"> </w:t>
      </w:r>
      <w:r w:rsidR="00AE4F5D" w:rsidRPr="00C30494">
        <w:rPr>
          <w:rFonts w:ascii="Book Antiqua" w:hAnsi="Book Antiqua"/>
        </w:rPr>
        <w:t xml:space="preserve">Exception 1 </w:t>
      </w:r>
      <w:r w:rsidR="00AE4F5D">
        <w:rPr>
          <w:rFonts w:ascii="Book Antiqua" w:hAnsi="Book Antiqua"/>
        </w:rPr>
        <w:t xml:space="preserve">before me is (c), i.e. whether there would be very significant obstacles to Mr </w:t>
      </w:r>
      <w:r w:rsidR="001B4BAE">
        <w:rPr>
          <w:rFonts w:ascii="Book Antiqua" w:hAnsi="Book Antiqua"/>
        </w:rPr>
        <w:t>[D]</w:t>
      </w:r>
      <w:r w:rsidR="00AE4F5D">
        <w:rPr>
          <w:rFonts w:ascii="Book Antiqua" w:hAnsi="Book Antiqua"/>
        </w:rPr>
        <w:t>’s integration to Vietnam</w:t>
      </w:r>
      <w:r w:rsidR="00AE4F5D" w:rsidRPr="00C30494">
        <w:rPr>
          <w:rFonts w:ascii="Book Antiqua" w:hAnsi="Book Antiqua"/>
        </w:rPr>
        <w:t>.</w:t>
      </w:r>
      <w:r w:rsidRPr="00C30494">
        <w:rPr>
          <w:rFonts w:ascii="Book Antiqua" w:hAnsi="Book Antiqua"/>
        </w:rPr>
        <w:t xml:space="preserve"> </w:t>
      </w:r>
      <w:bookmarkStart w:id="9" w:name="para12"/>
      <w:bookmarkEnd w:id="1"/>
    </w:p>
    <w:p w:rsidR="00B00197" w:rsidRPr="00B00197" w:rsidRDefault="00B00197" w:rsidP="00B00197">
      <w:pPr>
        <w:pStyle w:val="ListParagraph"/>
        <w:spacing w:before="100" w:beforeAutospacing="1" w:after="100" w:afterAutospacing="1"/>
        <w:ind w:left="1280"/>
        <w:jc w:val="both"/>
        <w:rPr>
          <w:rFonts w:ascii="Book Antiqua" w:hAnsi="Book Antiqua"/>
        </w:rPr>
      </w:pPr>
    </w:p>
    <w:p w:rsidR="0073796D" w:rsidRDefault="00AE4F5D" w:rsidP="00D1693E">
      <w:pPr>
        <w:pStyle w:val="ListParagraph"/>
        <w:numPr>
          <w:ilvl w:val="0"/>
          <w:numId w:val="1"/>
        </w:numPr>
        <w:spacing w:before="100" w:beforeAutospacing="1" w:after="100" w:afterAutospacing="1"/>
        <w:jc w:val="both"/>
        <w:rPr>
          <w:rFonts w:ascii="Book Antiqua" w:hAnsi="Book Antiqua"/>
        </w:rPr>
      </w:pPr>
      <w:r>
        <w:rPr>
          <w:rFonts w:ascii="Book Antiqua" w:hAnsi="Book Antiqua"/>
        </w:rPr>
        <w:t xml:space="preserve">I have taken into account </w:t>
      </w:r>
      <w:r w:rsidR="0059549B">
        <w:rPr>
          <w:rFonts w:ascii="Book Antiqua" w:hAnsi="Book Antiqua"/>
        </w:rPr>
        <w:t xml:space="preserve">Professor </w:t>
      </w:r>
      <w:proofErr w:type="spellStart"/>
      <w:r w:rsidR="0059549B">
        <w:rPr>
          <w:rFonts w:ascii="Book Antiqua" w:hAnsi="Book Antiqua"/>
        </w:rPr>
        <w:t>S</w:t>
      </w:r>
      <w:r>
        <w:rPr>
          <w:rFonts w:ascii="Book Antiqua" w:hAnsi="Book Antiqua"/>
        </w:rPr>
        <w:t>idel’s</w:t>
      </w:r>
      <w:proofErr w:type="spellEnd"/>
      <w:r>
        <w:rPr>
          <w:rFonts w:ascii="Book Antiqua" w:hAnsi="Book Antiqua"/>
        </w:rPr>
        <w:t xml:space="preserve"> report dated 4 February 2014 on the likely conditions Mr </w:t>
      </w:r>
      <w:r w:rsidR="001B4BAE">
        <w:rPr>
          <w:rFonts w:ascii="Book Antiqua" w:hAnsi="Book Antiqua"/>
        </w:rPr>
        <w:t>[D]</w:t>
      </w:r>
      <w:r>
        <w:rPr>
          <w:rFonts w:ascii="Book Antiqua" w:hAnsi="Book Antiqua"/>
        </w:rPr>
        <w:t xml:space="preserve"> will face in Vietnam</w:t>
      </w:r>
      <w:r w:rsidR="00144215">
        <w:rPr>
          <w:rFonts w:ascii="Book Antiqua" w:hAnsi="Book Antiqua"/>
        </w:rPr>
        <w:t xml:space="preserve">.  I have noted the </w:t>
      </w:r>
      <w:r>
        <w:rPr>
          <w:rFonts w:ascii="Book Antiqua" w:hAnsi="Book Antiqua"/>
        </w:rPr>
        <w:t xml:space="preserve">conclusion that Mr </w:t>
      </w:r>
      <w:r w:rsidR="001B4BAE">
        <w:rPr>
          <w:rFonts w:ascii="Book Antiqua" w:hAnsi="Book Antiqua"/>
        </w:rPr>
        <w:t>[D]</w:t>
      </w:r>
      <w:r w:rsidR="0059549B">
        <w:rPr>
          <w:rFonts w:ascii="Book Antiqua" w:hAnsi="Book Antiqua"/>
        </w:rPr>
        <w:t xml:space="preserve"> would have</w:t>
      </w:r>
      <w:r w:rsidR="00D427D8">
        <w:rPr>
          <w:rFonts w:ascii="Book Antiqua" w:hAnsi="Book Antiqua"/>
        </w:rPr>
        <w:t xml:space="preserve"> </w:t>
      </w:r>
      <w:r w:rsidR="0059549B">
        <w:rPr>
          <w:rFonts w:ascii="Book Antiqua" w:hAnsi="Book Antiqua"/>
        </w:rPr>
        <w:t>“</w:t>
      </w:r>
      <w:r w:rsidR="0059549B" w:rsidRPr="00C12962">
        <w:rPr>
          <w:rFonts w:ascii="Book Antiqua" w:hAnsi="Book Antiqua"/>
          <w:i/>
        </w:rPr>
        <w:t>extremely severe obstacles to surmount to be able to integrate into Vietnamese society that has changed so dramatically since he left</w:t>
      </w:r>
      <w:r w:rsidR="0059549B">
        <w:rPr>
          <w:rFonts w:ascii="Book Antiqua" w:hAnsi="Book Antiqua"/>
        </w:rPr>
        <w:t xml:space="preserve">” and would </w:t>
      </w:r>
      <w:r w:rsidR="0059549B">
        <w:rPr>
          <w:rFonts w:ascii="Book Antiqua" w:hAnsi="Book Antiqua"/>
        </w:rPr>
        <w:lastRenderedPageBreak/>
        <w:t>have “</w:t>
      </w:r>
      <w:r w:rsidR="0059549B" w:rsidRPr="00C12962">
        <w:rPr>
          <w:rFonts w:ascii="Book Antiqua" w:hAnsi="Book Antiqua"/>
          <w:i/>
        </w:rPr>
        <w:t>considerable employment difficulties</w:t>
      </w:r>
      <w:r w:rsidR="0059549B">
        <w:rPr>
          <w:rFonts w:ascii="Book Antiqua" w:hAnsi="Book Antiqua"/>
        </w:rPr>
        <w:t>”</w:t>
      </w:r>
      <w:r w:rsidR="00D427D8">
        <w:rPr>
          <w:rFonts w:ascii="Book Antiqua" w:hAnsi="Book Antiqua"/>
        </w:rPr>
        <w:t>.</w:t>
      </w:r>
      <w:r>
        <w:rPr>
          <w:rFonts w:ascii="Book Antiqua" w:hAnsi="Book Antiqua"/>
        </w:rPr>
        <w:t xml:space="preserve">  I also bear in mind that although the FTT accepted aspects of Professor </w:t>
      </w:r>
      <w:proofErr w:type="spellStart"/>
      <w:r>
        <w:rPr>
          <w:rFonts w:ascii="Book Antiqua" w:hAnsi="Book Antiqua"/>
        </w:rPr>
        <w:t>Sidel’s</w:t>
      </w:r>
      <w:proofErr w:type="spellEnd"/>
      <w:r>
        <w:rPr>
          <w:rFonts w:ascii="Book Antiqua" w:hAnsi="Book Antiqua"/>
        </w:rPr>
        <w:t xml:space="preserve"> report, it</w:t>
      </w:r>
      <w:r w:rsidR="0059549B">
        <w:rPr>
          <w:rFonts w:ascii="Book Antiqua" w:hAnsi="Book Antiqua"/>
        </w:rPr>
        <w:t xml:space="preserve"> </w:t>
      </w:r>
      <w:r w:rsidR="00C12962">
        <w:rPr>
          <w:rFonts w:ascii="Book Antiqua" w:hAnsi="Book Antiqua"/>
        </w:rPr>
        <w:t xml:space="preserve">did not entirely </w:t>
      </w:r>
      <w:r w:rsidR="0059549B">
        <w:rPr>
          <w:rFonts w:ascii="Book Antiqua" w:hAnsi="Book Antiqua"/>
        </w:rPr>
        <w:t xml:space="preserve">accept </w:t>
      </w:r>
      <w:r>
        <w:rPr>
          <w:rFonts w:ascii="Book Antiqua" w:hAnsi="Book Antiqua"/>
        </w:rPr>
        <w:t>hi</w:t>
      </w:r>
      <w:r w:rsidR="0059549B">
        <w:rPr>
          <w:rFonts w:ascii="Book Antiqua" w:hAnsi="Book Antiqua"/>
        </w:rPr>
        <w:t xml:space="preserve">s conclusions </w:t>
      </w:r>
      <w:r w:rsidR="0073796D">
        <w:rPr>
          <w:rFonts w:ascii="Book Antiqua" w:hAnsi="Book Antiqua"/>
        </w:rPr>
        <w:t xml:space="preserve">and was only prepared to find that Mr </w:t>
      </w:r>
      <w:r w:rsidR="001B4BAE">
        <w:rPr>
          <w:rFonts w:ascii="Book Antiqua" w:hAnsi="Book Antiqua"/>
        </w:rPr>
        <w:t>[D]</w:t>
      </w:r>
      <w:r w:rsidR="0073796D">
        <w:rPr>
          <w:rFonts w:ascii="Book Antiqua" w:hAnsi="Book Antiqua"/>
        </w:rPr>
        <w:t xml:space="preserve"> would have difficulties at least initially in employment given his reasonable history of employment as a cook and his English skills</w:t>
      </w:r>
      <w:r>
        <w:rPr>
          <w:rFonts w:ascii="Book Antiqua" w:hAnsi="Book Antiqua"/>
        </w:rPr>
        <w:t xml:space="preserve"> - see</w:t>
      </w:r>
      <w:r w:rsidR="0073796D">
        <w:rPr>
          <w:rFonts w:ascii="Book Antiqua" w:hAnsi="Book Antiqua"/>
        </w:rPr>
        <w:t xml:space="preserve"> [47].</w:t>
      </w:r>
    </w:p>
    <w:p w:rsidR="0073796D" w:rsidRPr="0073796D" w:rsidRDefault="0073796D" w:rsidP="0073796D">
      <w:pPr>
        <w:pStyle w:val="ListParagraph"/>
        <w:rPr>
          <w:rFonts w:ascii="Book Antiqua" w:hAnsi="Book Antiqua"/>
        </w:rPr>
      </w:pPr>
    </w:p>
    <w:p w:rsidR="00144215" w:rsidRPr="00144215" w:rsidRDefault="007237D8" w:rsidP="00D1693E">
      <w:pPr>
        <w:pStyle w:val="ListParagraph"/>
        <w:numPr>
          <w:ilvl w:val="0"/>
          <w:numId w:val="1"/>
        </w:numPr>
        <w:spacing w:before="100" w:beforeAutospacing="1" w:after="100" w:afterAutospacing="1"/>
        <w:jc w:val="both"/>
        <w:rPr>
          <w:rFonts w:ascii="Book Antiqua" w:hAnsi="Book Antiqua" w:cs="Arial"/>
          <w:bCs/>
          <w:lang w:val="en-US"/>
        </w:rPr>
      </w:pPr>
      <w:bookmarkStart w:id="10" w:name="para15"/>
      <w:bookmarkEnd w:id="9"/>
      <w:r>
        <w:rPr>
          <w:rFonts w:ascii="Book Antiqua" w:hAnsi="Book Antiqua"/>
        </w:rPr>
        <w:t>Professor</w:t>
      </w:r>
      <w:r w:rsidR="006D084E">
        <w:rPr>
          <w:rFonts w:ascii="Book Antiqua" w:hAnsi="Book Antiqua"/>
        </w:rPr>
        <w:t xml:space="preserve"> </w:t>
      </w:r>
      <w:proofErr w:type="spellStart"/>
      <w:r w:rsidR="006D084E">
        <w:rPr>
          <w:rFonts w:ascii="Book Antiqua" w:hAnsi="Book Antiqua"/>
        </w:rPr>
        <w:t>Sidel’s</w:t>
      </w:r>
      <w:proofErr w:type="spellEnd"/>
      <w:r w:rsidR="00144215">
        <w:rPr>
          <w:rFonts w:ascii="Book Antiqua" w:hAnsi="Book Antiqua"/>
        </w:rPr>
        <w:t xml:space="preserve"> report is now over four years old.  At the time Mr </w:t>
      </w:r>
      <w:r w:rsidR="001B4BAE">
        <w:rPr>
          <w:rFonts w:ascii="Book Antiqua" w:hAnsi="Book Antiqua"/>
        </w:rPr>
        <w:t>[D]</w:t>
      </w:r>
      <w:r w:rsidR="00144215">
        <w:rPr>
          <w:rFonts w:ascii="Book Antiqua" w:hAnsi="Book Antiqua"/>
        </w:rPr>
        <w:t xml:space="preserve"> was recently out of prison.  As at the date of the hearing before me, Mr </w:t>
      </w:r>
      <w:r w:rsidR="001B4BAE">
        <w:rPr>
          <w:rFonts w:ascii="Book Antiqua" w:hAnsi="Book Antiqua"/>
        </w:rPr>
        <w:t>[D]</w:t>
      </w:r>
      <w:r w:rsidR="00144215">
        <w:rPr>
          <w:rFonts w:ascii="Book Antiqua" w:hAnsi="Book Antiqua"/>
        </w:rPr>
        <w:t xml:space="preserve"> was able to demonstrate that since his release from prison he has been able to return to steady and sustained employment.  He has also evidenced resilience in opening his own apparently successful business</w:t>
      </w:r>
      <w:r w:rsidR="006D084E">
        <w:rPr>
          <w:rFonts w:ascii="Book Antiqua" w:hAnsi="Book Antiqua"/>
        </w:rPr>
        <w:t xml:space="preserve"> and in not re-offending since his release in 2013</w:t>
      </w:r>
      <w:r w:rsidR="00144215">
        <w:rPr>
          <w:rFonts w:ascii="Book Antiqua" w:hAnsi="Book Antiqua"/>
        </w:rPr>
        <w:t xml:space="preserve">.  Professor </w:t>
      </w:r>
      <w:proofErr w:type="spellStart"/>
      <w:r w:rsidR="00144215">
        <w:rPr>
          <w:rFonts w:ascii="Book Antiqua" w:hAnsi="Book Antiqua"/>
        </w:rPr>
        <w:t>Sidel</w:t>
      </w:r>
      <w:proofErr w:type="spellEnd"/>
      <w:r w:rsidR="00144215">
        <w:rPr>
          <w:rFonts w:ascii="Book Antiqua" w:hAnsi="Book Antiqua"/>
        </w:rPr>
        <w:t xml:space="preserve"> commented that it appeared from the documents that he was sent that Mr </w:t>
      </w:r>
      <w:r w:rsidR="001B4BAE">
        <w:rPr>
          <w:rFonts w:ascii="Book Antiqua" w:hAnsi="Book Antiqua"/>
        </w:rPr>
        <w:t>[D]</w:t>
      </w:r>
      <w:r w:rsidR="00144215">
        <w:rPr>
          <w:rFonts w:ascii="Book Antiqua" w:hAnsi="Book Antiqua"/>
        </w:rPr>
        <w:t xml:space="preserve"> did not have significant job skills.  If that is a true reflection of the position in 2014, it is no longer accurate.  I note the persistent high unemployment levels in Vietnam but do not accept that Mr </w:t>
      </w:r>
      <w:r w:rsidR="001B4BAE">
        <w:rPr>
          <w:rFonts w:ascii="Book Antiqua" w:hAnsi="Book Antiqua"/>
        </w:rPr>
        <w:t>[D]</w:t>
      </w:r>
      <w:r w:rsidR="00144215">
        <w:rPr>
          <w:rFonts w:ascii="Book Antiqua" w:hAnsi="Book Antiqua"/>
        </w:rPr>
        <w:t xml:space="preserve"> will find employment difficult given his fluent English, adequate Vietname</w:t>
      </w:r>
      <w:r w:rsidR="00062B80">
        <w:rPr>
          <w:rFonts w:ascii="Book Antiqua" w:hAnsi="Book Antiqua"/>
        </w:rPr>
        <w:t>se</w:t>
      </w:r>
      <w:r w:rsidR="006D084E">
        <w:rPr>
          <w:rFonts w:ascii="Book Antiqua" w:hAnsi="Book Antiqua"/>
        </w:rPr>
        <w:t xml:space="preserve">, </w:t>
      </w:r>
      <w:r w:rsidR="00144215">
        <w:rPr>
          <w:rFonts w:ascii="Book Antiqua" w:hAnsi="Book Antiqua"/>
        </w:rPr>
        <w:t>long history of working as a chef</w:t>
      </w:r>
      <w:r w:rsidR="006D084E">
        <w:rPr>
          <w:rFonts w:ascii="Book Antiqua" w:hAnsi="Book Antiqua"/>
        </w:rPr>
        <w:t xml:space="preserve"> and demonstrated resilience</w:t>
      </w:r>
      <w:r w:rsidR="00144215">
        <w:rPr>
          <w:rFonts w:ascii="Book Antiqua" w:hAnsi="Book Antiqua"/>
        </w:rPr>
        <w:t xml:space="preserve">.  </w:t>
      </w:r>
    </w:p>
    <w:p w:rsidR="00144215" w:rsidRPr="00144215" w:rsidRDefault="00144215" w:rsidP="00144215">
      <w:pPr>
        <w:pStyle w:val="ListParagraph"/>
        <w:rPr>
          <w:rFonts w:ascii="Book Antiqua" w:hAnsi="Book Antiqua"/>
        </w:rPr>
      </w:pPr>
    </w:p>
    <w:p w:rsidR="00062B80" w:rsidRPr="00D1693E" w:rsidRDefault="003308BE" w:rsidP="00D1693E">
      <w:pPr>
        <w:pStyle w:val="ListParagraph"/>
        <w:numPr>
          <w:ilvl w:val="0"/>
          <w:numId w:val="1"/>
        </w:numPr>
        <w:spacing w:before="100" w:beforeAutospacing="1" w:after="100" w:afterAutospacing="1"/>
        <w:jc w:val="both"/>
        <w:rPr>
          <w:rFonts w:ascii="Book Antiqua" w:hAnsi="Book Antiqua"/>
        </w:rPr>
      </w:pPr>
      <w:r>
        <w:rPr>
          <w:rFonts w:ascii="Book Antiqua" w:hAnsi="Book Antiqua"/>
        </w:rPr>
        <w:t>I accept</w:t>
      </w:r>
      <w:r w:rsidR="006D084E">
        <w:rPr>
          <w:rFonts w:ascii="Book Antiqua" w:hAnsi="Book Antiqua"/>
        </w:rPr>
        <w:t>,</w:t>
      </w:r>
      <w:r>
        <w:rPr>
          <w:rFonts w:ascii="Book Antiqua" w:hAnsi="Book Antiqua"/>
        </w:rPr>
        <w:t xml:space="preserve"> as Professor </w:t>
      </w:r>
      <w:proofErr w:type="spellStart"/>
      <w:r>
        <w:rPr>
          <w:rFonts w:ascii="Book Antiqua" w:hAnsi="Book Antiqua"/>
        </w:rPr>
        <w:t>Sidel</w:t>
      </w:r>
      <w:proofErr w:type="spellEnd"/>
      <w:r>
        <w:rPr>
          <w:rFonts w:ascii="Book Antiqua" w:hAnsi="Book Antiqua"/>
        </w:rPr>
        <w:t xml:space="preserve"> outlines in his report </w:t>
      </w:r>
      <w:r w:rsidR="007718B5">
        <w:rPr>
          <w:rFonts w:ascii="Book Antiqua" w:hAnsi="Book Antiqua"/>
        </w:rPr>
        <w:t xml:space="preserve">(as accepted by the FTT at [47]) </w:t>
      </w:r>
      <w:r>
        <w:rPr>
          <w:rFonts w:ascii="Book Antiqua" w:hAnsi="Book Antiqua"/>
        </w:rPr>
        <w:t xml:space="preserve">that Mr </w:t>
      </w:r>
      <w:r w:rsidR="001B4BAE">
        <w:rPr>
          <w:rFonts w:ascii="Book Antiqua" w:hAnsi="Book Antiqua"/>
        </w:rPr>
        <w:t>[D]</w:t>
      </w:r>
      <w:r>
        <w:rPr>
          <w:rFonts w:ascii="Book Antiqua" w:hAnsi="Book Antiqua"/>
        </w:rPr>
        <w:t xml:space="preserve"> will face initial difficulties and will not have the benefit of state or family support in </w:t>
      </w:r>
      <w:r w:rsidR="006D084E">
        <w:rPr>
          <w:rFonts w:ascii="Book Antiqua" w:hAnsi="Book Antiqua"/>
        </w:rPr>
        <w:t>Vietnam</w:t>
      </w:r>
      <w:r>
        <w:rPr>
          <w:rFonts w:ascii="Book Antiqua" w:hAnsi="Book Antiqua"/>
        </w:rPr>
        <w:t>.  However, he is a relatively young, fit and healthy person and at least in the short term and when initially re-settling</w:t>
      </w:r>
      <w:r w:rsidR="006D084E">
        <w:rPr>
          <w:rFonts w:ascii="Book Antiqua" w:hAnsi="Book Antiqua"/>
        </w:rPr>
        <w:t>,</w:t>
      </w:r>
      <w:r>
        <w:rPr>
          <w:rFonts w:ascii="Book Antiqua" w:hAnsi="Book Antiqua"/>
        </w:rPr>
        <w:t xml:space="preserve"> will be able to have the combined support of family members based in the UK.</w:t>
      </w:r>
      <w:bookmarkEnd w:id="10"/>
      <w:r>
        <w:rPr>
          <w:rFonts w:ascii="Book Antiqua" w:hAnsi="Book Antiqua"/>
        </w:rPr>
        <w:t xml:space="preserve"> </w:t>
      </w:r>
      <w:r w:rsidR="007718B5">
        <w:rPr>
          <w:rFonts w:ascii="Book Antiqua" w:hAnsi="Book Antiqua"/>
        </w:rPr>
        <w:t xml:space="preserve"> Although Mr </w:t>
      </w:r>
      <w:r w:rsidR="001B4BAE">
        <w:rPr>
          <w:rFonts w:ascii="Book Antiqua" w:hAnsi="Book Antiqua"/>
        </w:rPr>
        <w:t>[D]</w:t>
      </w:r>
      <w:r w:rsidR="007718B5">
        <w:rPr>
          <w:rFonts w:ascii="Book Antiqua" w:hAnsi="Book Antiqua"/>
        </w:rPr>
        <w:t xml:space="preserve"> maintained that his family members would be completely unable to help him financially I do not accept this</w:t>
      </w:r>
      <w:r w:rsidR="006D084E">
        <w:rPr>
          <w:rFonts w:ascii="Book Antiqua" w:hAnsi="Book Antiqua"/>
        </w:rPr>
        <w:t>, as set out above</w:t>
      </w:r>
      <w:r w:rsidR="007718B5">
        <w:rPr>
          <w:rFonts w:ascii="Book Antiqua" w:hAnsi="Book Antiqua"/>
        </w:rPr>
        <w:t>.</w:t>
      </w:r>
      <w:r>
        <w:rPr>
          <w:rFonts w:ascii="Book Antiqua" w:hAnsi="Book Antiqua"/>
        </w:rPr>
        <w:t xml:space="preserve"> </w:t>
      </w:r>
      <w:r w:rsidR="006D084E">
        <w:rPr>
          <w:rFonts w:ascii="Book Antiqua" w:hAnsi="Book Antiqua"/>
        </w:rPr>
        <w:t xml:space="preserve"> </w:t>
      </w:r>
      <w:r w:rsidR="00062B80" w:rsidRPr="00D1693E">
        <w:rPr>
          <w:rFonts w:ascii="Book Antiqua" w:hAnsi="Book Antiqua"/>
        </w:rPr>
        <w:t xml:space="preserve">Mr Ell relied upon the findings upheld in </w:t>
      </w:r>
      <w:r w:rsidR="00062B80" w:rsidRPr="00D1693E">
        <w:rPr>
          <w:rFonts w:ascii="Book Antiqua" w:hAnsi="Book Antiqua"/>
          <w:u w:val="single"/>
        </w:rPr>
        <w:t>KE (Nigeria)</w:t>
      </w:r>
      <w:r w:rsidR="00062B80" w:rsidRPr="00D1693E">
        <w:rPr>
          <w:rFonts w:ascii="Book Antiqua" w:hAnsi="Book Antiqua"/>
        </w:rPr>
        <w:t xml:space="preserve"> that</w:t>
      </w:r>
      <w:r w:rsidR="004847B6" w:rsidRPr="00D1693E">
        <w:rPr>
          <w:rFonts w:ascii="Book Antiqua" w:hAnsi="Book Antiqua"/>
        </w:rPr>
        <w:t xml:space="preserve"> there would be very significant obstacles for Mr KE’s integration to Nigeria.  </w:t>
      </w:r>
      <w:r w:rsidR="006D084E" w:rsidRPr="00D1693E">
        <w:rPr>
          <w:rFonts w:ascii="Book Antiqua" w:hAnsi="Book Antiqua"/>
        </w:rPr>
        <w:t>However, i</w:t>
      </w:r>
      <w:r w:rsidR="004847B6" w:rsidRPr="00D1693E">
        <w:rPr>
          <w:rFonts w:ascii="Book Antiqua" w:hAnsi="Book Antiqua"/>
        </w:rPr>
        <w:t>n that case the Tribunal accepted that Mr KE’s medical condition might relapse in Nigeria absent the requisite support.</w:t>
      </w:r>
      <w:r w:rsidR="006D084E" w:rsidRPr="00D1693E">
        <w:rPr>
          <w:rFonts w:ascii="Book Antiqua" w:hAnsi="Book Antiqua"/>
        </w:rPr>
        <w:t xml:space="preserve">  By contrast, Mr </w:t>
      </w:r>
      <w:r w:rsidR="001B4BAE">
        <w:rPr>
          <w:rFonts w:ascii="Book Antiqua" w:hAnsi="Book Antiqua"/>
        </w:rPr>
        <w:t>[D]</w:t>
      </w:r>
      <w:r w:rsidR="006D084E" w:rsidRPr="00D1693E">
        <w:rPr>
          <w:rFonts w:ascii="Book Antiqua" w:hAnsi="Book Antiqua"/>
        </w:rPr>
        <w:t xml:space="preserve"> has no health concerns.</w:t>
      </w:r>
    </w:p>
    <w:p w:rsidR="00062B80" w:rsidRPr="00062B80" w:rsidRDefault="00062B80" w:rsidP="00062B80">
      <w:pPr>
        <w:pStyle w:val="ListParagraph"/>
        <w:rPr>
          <w:rFonts w:ascii="Book Antiqua" w:hAnsi="Book Antiqua"/>
        </w:rPr>
      </w:pPr>
    </w:p>
    <w:p w:rsidR="007718B5" w:rsidRPr="00D1693E" w:rsidRDefault="003308BE" w:rsidP="00D1693E">
      <w:pPr>
        <w:pStyle w:val="ListParagraph"/>
        <w:numPr>
          <w:ilvl w:val="0"/>
          <w:numId w:val="1"/>
        </w:numPr>
        <w:spacing w:before="100" w:beforeAutospacing="1" w:after="100" w:afterAutospacing="1"/>
        <w:jc w:val="both"/>
        <w:rPr>
          <w:rFonts w:ascii="Book Antiqua" w:hAnsi="Book Antiqua"/>
        </w:rPr>
      </w:pPr>
      <w:r>
        <w:rPr>
          <w:rFonts w:ascii="Book Antiqua" w:hAnsi="Book Antiqua"/>
        </w:rPr>
        <w:t xml:space="preserve">I acknowledge, as Professor </w:t>
      </w:r>
      <w:proofErr w:type="spellStart"/>
      <w:r>
        <w:rPr>
          <w:rFonts w:ascii="Book Antiqua" w:hAnsi="Book Antiqua"/>
        </w:rPr>
        <w:t>Sidel</w:t>
      </w:r>
      <w:proofErr w:type="spellEnd"/>
      <w:r>
        <w:rPr>
          <w:rFonts w:ascii="Book Antiqua" w:hAnsi="Book Antiqua"/>
        </w:rPr>
        <w:t xml:space="preserve"> highlights in his report</w:t>
      </w:r>
      <w:r w:rsidR="003E009A">
        <w:rPr>
          <w:rFonts w:ascii="Book Antiqua" w:hAnsi="Book Antiqua"/>
        </w:rPr>
        <w:t>,</w:t>
      </w:r>
      <w:r>
        <w:rPr>
          <w:rFonts w:ascii="Book Antiqua" w:hAnsi="Book Antiqua"/>
        </w:rPr>
        <w:t xml:space="preserve"> that Vietnam is a country that has very much changed, albeit challenges</w:t>
      </w:r>
      <w:r w:rsidR="004847B6">
        <w:rPr>
          <w:rFonts w:ascii="Book Antiqua" w:hAnsi="Book Antiqua"/>
        </w:rPr>
        <w:t xml:space="preserve"> to democracy remain under the Communist regime,</w:t>
      </w:r>
      <w:r>
        <w:rPr>
          <w:rFonts w:ascii="Book Antiqua" w:hAnsi="Book Antiqua"/>
        </w:rPr>
        <w:t xml:space="preserve"> as set out in the most recent </w:t>
      </w:r>
      <w:r w:rsidR="005E1F7E" w:rsidRPr="003308BE">
        <w:rPr>
          <w:rFonts w:ascii="Book Antiqua" w:hAnsi="Book Antiqua" w:cs="Arial"/>
          <w:bCs/>
          <w:lang w:val="en-US"/>
        </w:rPr>
        <w:t>US State Department</w:t>
      </w:r>
      <w:r>
        <w:rPr>
          <w:rFonts w:ascii="Book Antiqua" w:hAnsi="Book Antiqua" w:cs="Arial"/>
          <w:bCs/>
          <w:lang w:val="en-US"/>
        </w:rPr>
        <w:t xml:space="preserve"> report.  </w:t>
      </w:r>
      <w:r w:rsidR="007718B5">
        <w:rPr>
          <w:rFonts w:ascii="Book Antiqua" w:hAnsi="Book Antiqua" w:cs="Arial"/>
          <w:bCs/>
          <w:lang w:val="en-US"/>
        </w:rPr>
        <w:t xml:space="preserve">I also note, as </w:t>
      </w:r>
      <w:proofErr w:type="spellStart"/>
      <w:r w:rsidR="007718B5">
        <w:rPr>
          <w:rFonts w:ascii="Book Antiqua" w:hAnsi="Book Antiqua" w:cs="Arial"/>
          <w:bCs/>
          <w:lang w:val="en-US"/>
        </w:rPr>
        <w:t>Mr</w:t>
      </w:r>
      <w:proofErr w:type="spellEnd"/>
      <w:r w:rsidR="007718B5">
        <w:rPr>
          <w:rFonts w:ascii="Book Antiqua" w:hAnsi="Book Antiqua" w:cs="Arial"/>
          <w:bCs/>
          <w:lang w:val="en-US"/>
        </w:rPr>
        <w:t xml:space="preserve"> Ell submitted</w:t>
      </w:r>
      <w:r w:rsidR="003E009A">
        <w:rPr>
          <w:rFonts w:ascii="Book Antiqua" w:hAnsi="Book Antiqua" w:cs="Arial"/>
          <w:bCs/>
          <w:lang w:val="en-US"/>
        </w:rPr>
        <w:t>,</w:t>
      </w:r>
      <w:r w:rsidR="007718B5">
        <w:rPr>
          <w:rFonts w:ascii="Book Antiqua" w:hAnsi="Book Antiqua" w:cs="Arial"/>
          <w:bCs/>
          <w:lang w:val="en-US"/>
        </w:rPr>
        <w:t xml:space="preserve"> that life in Vietnam will be very different to that which </w:t>
      </w:r>
      <w:proofErr w:type="spellStart"/>
      <w:r w:rsidR="007718B5">
        <w:rPr>
          <w:rFonts w:ascii="Book Antiqua" w:hAnsi="Book Antiqua" w:cs="Arial"/>
          <w:bCs/>
          <w:lang w:val="en-US"/>
        </w:rPr>
        <w:t>Mr</w:t>
      </w:r>
      <w:proofErr w:type="spellEnd"/>
      <w:r w:rsidR="007718B5">
        <w:rPr>
          <w:rFonts w:ascii="Book Antiqua" w:hAnsi="Book Antiqua" w:cs="Arial"/>
          <w:bCs/>
          <w:lang w:val="en-US"/>
        </w:rPr>
        <w:t xml:space="preserve"> </w:t>
      </w:r>
      <w:r w:rsidR="001B4BAE">
        <w:rPr>
          <w:rFonts w:ascii="Book Antiqua" w:hAnsi="Book Antiqua" w:cs="Arial"/>
          <w:bCs/>
          <w:lang w:val="en-US"/>
        </w:rPr>
        <w:t>[D]</w:t>
      </w:r>
      <w:r w:rsidR="007718B5">
        <w:rPr>
          <w:rFonts w:ascii="Book Antiqua" w:hAnsi="Book Antiqua" w:cs="Arial"/>
          <w:bCs/>
          <w:lang w:val="en-US"/>
        </w:rPr>
        <w:t xml:space="preserve"> has become accustomed to in the UK.</w:t>
      </w:r>
      <w:r w:rsidR="006D084E">
        <w:rPr>
          <w:rFonts w:ascii="Book Antiqua" w:hAnsi="Book Antiqua" w:cs="Arial"/>
          <w:bCs/>
          <w:lang w:val="en-US"/>
        </w:rPr>
        <w:t xml:space="preserve">  However, </w:t>
      </w:r>
      <w:proofErr w:type="spellStart"/>
      <w:r w:rsidRPr="00D1693E">
        <w:rPr>
          <w:rFonts w:ascii="Book Antiqua" w:hAnsi="Book Antiqua"/>
          <w:lang w:val="en-US"/>
        </w:rPr>
        <w:t>Mr</w:t>
      </w:r>
      <w:proofErr w:type="spellEnd"/>
      <w:r w:rsidRPr="00D1693E">
        <w:rPr>
          <w:rFonts w:ascii="Book Antiqua" w:hAnsi="Book Antiqua"/>
          <w:lang w:val="en-US"/>
        </w:rPr>
        <w:t xml:space="preserve"> </w:t>
      </w:r>
      <w:r w:rsidR="001B4BAE">
        <w:rPr>
          <w:rFonts w:ascii="Book Antiqua" w:hAnsi="Book Antiqua"/>
          <w:lang w:val="en-US"/>
        </w:rPr>
        <w:t>[D]</w:t>
      </w:r>
      <w:r w:rsidRPr="00D1693E">
        <w:rPr>
          <w:rFonts w:ascii="Book Antiqua" w:hAnsi="Book Antiqua"/>
          <w:lang w:val="en-US"/>
        </w:rPr>
        <w:t xml:space="preserve"> has grown up surrounded by his large Vietnamese family and as such he is very familiar with Vietnamese culture, language and food.  When all the circumstances are considered together</w:t>
      </w:r>
      <w:r w:rsidRPr="00D1693E">
        <w:rPr>
          <w:rFonts w:ascii="Book Antiqua" w:hAnsi="Book Antiqua"/>
        </w:rPr>
        <w:t xml:space="preserve">, I am satisfied that after initial difficulties but within a relatively short period of time, Mr </w:t>
      </w:r>
      <w:r w:rsidR="001B4BAE">
        <w:rPr>
          <w:rFonts w:ascii="Book Antiqua" w:hAnsi="Book Antiqua"/>
        </w:rPr>
        <w:t>[D]</w:t>
      </w:r>
      <w:r w:rsidRPr="00D1693E">
        <w:rPr>
          <w:rFonts w:ascii="Book Antiqua" w:hAnsi="Book Antiqua"/>
        </w:rPr>
        <w:t xml:space="preserve"> will be enough of an insider in terms of understanding and participating in Vietnamese life, </w:t>
      </w:r>
      <w:proofErr w:type="gramStart"/>
      <w:r w:rsidRPr="00D1693E">
        <w:rPr>
          <w:rFonts w:ascii="Book Antiqua" w:hAnsi="Book Antiqua"/>
        </w:rPr>
        <w:t>so as to</w:t>
      </w:r>
      <w:proofErr w:type="gramEnd"/>
      <w:r w:rsidRPr="00D1693E">
        <w:rPr>
          <w:rFonts w:ascii="Book Antiqua" w:hAnsi="Book Antiqua"/>
        </w:rPr>
        <w:t xml:space="preserve"> have a reasonable opportunity to be accepted there, and given this together with his employment experience and resilience will be able to operate on a day-to-day basis and to build up within a reasonable time a variety of human relationships.  </w:t>
      </w:r>
    </w:p>
    <w:p w:rsidR="007718B5" w:rsidRPr="007718B5" w:rsidRDefault="007718B5" w:rsidP="007718B5">
      <w:pPr>
        <w:pStyle w:val="ListParagraph"/>
        <w:rPr>
          <w:rFonts w:ascii="Book Antiqua" w:hAnsi="Book Antiqua" w:cs="Arial"/>
          <w:bCs/>
        </w:rPr>
      </w:pPr>
    </w:p>
    <w:p w:rsidR="005E1F7E" w:rsidRPr="003308BE" w:rsidRDefault="003308BE" w:rsidP="00D1693E">
      <w:pPr>
        <w:pStyle w:val="ListParagraph"/>
        <w:numPr>
          <w:ilvl w:val="0"/>
          <w:numId w:val="1"/>
        </w:numPr>
        <w:spacing w:before="100" w:beforeAutospacing="1" w:after="100" w:afterAutospacing="1"/>
        <w:jc w:val="both"/>
        <w:rPr>
          <w:rFonts w:ascii="Book Antiqua" w:hAnsi="Book Antiqua"/>
        </w:rPr>
      </w:pPr>
      <w:r>
        <w:rPr>
          <w:rFonts w:ascii="Book Antiqua" w:hAnsi="Book Antiqua" w:cs="Arial"/>
          <w:bCs/>
        </w:rPr>
        <w:t xml:space="preserve">I bear in mind that Mr </w:t>
      </w:r>
      <w:r w:rsidR="001B4BAE">
        <w:rPr>
          <w:rFonts w:ascii="Book Antiqua" w:hAnsi="Book Antiqua" w:cs="Arial"/>
          <w:bCs/>
        </w:rPr>
        <w:t>[D]</w:t>
      </w:r>
      <w:r>
        <w:rPr>
          <w:rFonts w:ascii="Book Antiqua" w:hAnsi="Book Antiqua" w:cs="Arial"/>
          <w:bCs/>
        </w:rPr>
        <w:t xml:space="preserve"> will be leaving behind an extended and extensive private life in the UK and a close-knit family who he sees on a fortnightly basis.</w:t>
      </w:r>
      <w:r w:rsidR="004847B6">
        <w:rPr>
          <w:rFonts w:ascii="Book Antiqua" w:hAnsi="Book Antiqua" w:cs="Arial"/>
          <w:bCs/>
        </w:rPr>
        <w:t xml:space="preserve">  </w:t>
      </w:r>
      <w:r w:rsidR="004847B6">
        <w:rPr>
          <w:rFonts w:ascii="Book Antiqua" w:hAnsi="Book Antiqua" w:cs="Arial"/>
          <w:bCs/>
        </w:rPr>
        <w:lastRenderedPageBreak/>
        <w:t>I acknowledge that it is unlikely that the family members he remains closest to</w:t>
      </w:r>
      <w:r w:rsidR="007718B5">
        <w:rPr>
          <w:rFonts w:ascii="Book Antiqua" w:hAnsi="Book Antiqua" w:cs="Arial"/>
          <w:bCs/>
        </w:rPr>
        <w:t>,</w:t>
      </w:r>
      <w:r w:rsidR="006D084E">
        <w:rPr>
          <w:rFonts w:ascii="Book Antiqua" w:hAnsi="Book Antiqua" w:cs="Arial"/>
          <w:bCs/>
        </w:rPr>
        <w:t xml:space="preserve"> his mother and B,</w:t>
      </w:r>
      <w:r w:rsidR="007718B5">
        <w:rPr>
          <w:rFonts w:ascii="Book Antiqua" w:hAnsi="Book Antiqua" w:cs="Arial"/>
          <w:bCs/>
        </w:rPr>
        <w:t xml:space="preserve"> will</w:t>
      </w:r>
      <w:r w:rsidR="004847B6">
        <w:rPr>
          <w:rFonts w:ascii="Book Antiqua" w:hAnsi="Book Antiqua" w:cs="Arial"/>
          <w:bCs/>
        </w:rPr>
        <w:t xml:space="preserve"> be able to visit him in Vietnam because of their respective health conditions. </w:t>
      </w:r>
      <w:r w:rsidR="007718B5">
        <w:rPr>
          <w:rFonts w:ascii="Book Antiqua" w:hAnsi="Book Antiqua" w:cs="Arial"/>
          <w:bCs/>
        </w:rPr>
        <w:t xml:space="preserve"> Whilst he has family in Vietnam, he has not remained in contact with them. </w:t>
      </w:r>
      <w:r w:rsidR="004847B6">
        <w:rPr>
          <w:rFonts w:ascii="Book Antiqua" w:hAnsi="Book Antiqua" w:cs="Arial"/>
          <w:bCs/>
        </w:rPr>
        <w:t xml:space="preserve"> Mr </w:t>
      </w:r>
      <w:r w:rsidR="001B4BAE">
        <w:rPr>
          <w:rFonts w:ascii="Book Antiqua" w:hAnsi="Book Antiqua" w:cs="Arial"/>
          <w:bCs/>
        </w:rPr>
        <w:t>[D]</w:t>
      </w:r>
      <w:r w:rsidR="004847B6">
        <w:rPr>
          <w:rFonts w:ascii="Book Antiqua" w:hAnsi="Book Antiqua" w:cs="Arial"/>
          <w:bCs/>
        </w:rPr>
        <w:t xml:space="preserve">’s ties to Vietnam are limited to the time he spent there as a young child and the experience of growing up in a large Vietnamese family in the UK.  These ties are limited because Mr </w:t>
      </w:r>
      <w:r w:rsidR="001B4BAE">
        <w:rPr>
          <w:rFonts w:ascii="Book Antiqua" w:hAnsi="Book Antiqua" w:cs="Arial"/>
          <w:bCs/>
        </w:rPr>
        <w:t>[D]</w:t>
      </w:r>
      <w:r w:rsidR="004847B6">
        <w:rPr>
          <w:rFonts w:ascii="Book Antiqua" w:hAnsi="Book Antiqua" w:cs="Arial"/>
          <w:bCs/>
        </w:rPr>
        <w:t xml:space="preserve"> has not himself visited Vietnam after leaving and has no experience of adult life in that country.</w:t>
      </w:r>
      <w:r>
        <w:rPr>
          <w:rFonts w:ascii="Book Antiqua" w:hAnsi="Book Antiqua" w:cs="Arial"/>
          <w:bCs/>
        </w:rPr>
        <w:t xml:space="preserve">  I nonetheless conclude that there would not be very significant obstacles to his reintegration to Vietnam</w:t>
      </w:r>
      <w:r w:rsidR="004847B6">
        <w:rPr>
          <w:rFonts w:ascii="Book Antiqua" w:hAnsi="Book Antiqua" w:cs="Arial"/>
          <w:bCs/>
        </w:rPr>
        <w:t xml:space="preserve"> when his familiarity with Vietnamese language and culture together with his employment skills and demonstrated determination to make good use of these are taken into account</w:t>
      </w:r>
      <w:r>
        <w:rPr>
          <w:rFonts w:ascii="Book Antiqua" w:hAnsi="Book Antiqua" w:cs="Arial"/>
          <w:bCs/>
        </w:rPr>
        <w:t>.</w:t>
      </w:r>
      <w:r w:rsidR="004847B6">
        <w:rPr>
          <w:rFonts w:ascii="Book Antiqua" w:hAnsi="Book Antiqua" w:cs="Arial"/>
          <w:bCs/>
        </w:rPr>
        <w:t xml:space="preserve">  I do not accept Professor </w:t>
      </w:r>
      <w:proofErr w:type="spellStart"/>
      <w:r w:rsidR="004847B6">
        <w:rPr>
          <w:rFonts w:ascii="Book Antiqua" w:hAnsi="Book Antiqua" w:cs="Arial"/>
          <w:bCs/>
        </w:rPr>
        <w:t>Sidel’s</w:t>
      </w:r>
      <w:proofErr w:type="spellEnd"/>
      <w:r w:rsidR="004847B6">
        <w:rPr>
          <w:rFonts w:ascii="Book Antiqua" w:hAnsi="Book Antiqua" w:cs="Arial"/>
          <w:bCs/>
        </w:rPr>
        <w:t xml:space="preserve"> conclusion that Mr </w:t>
      </w:r>
      <w:r w:rsidR="001B4BAE">
        <w:rPr>
          <w:rFonts w:ascii="Book Antiqua" w:hAnsi="Book Antiqua" w:cs="Arial"/>
          <w:bCs/>
        </w:rPr>
        <w:t>[D]</w:t>
      </w:r>
      <w:r w:rsidR="004847B6">
        <w:rPr>
          <w:rFonts w:ascii="Book Antiqua" w:hAnsi="Book Antiqua" w:cs="Arial"/>
          <w:bCs/>
        </w:rPr>
        <w:t xml:space="preserve"> will face “</w:t>
      </w:r>
      <w:r w:rsidR="004847B6" w:rsidRPr="00D1693E">
        <w:rPr>
          <w:rFonts w:ascii="Book Antiqua" w:hAnsi="Book Antiqua" w:cs="Arial"/>
          <w:bCs/>
          <w:i/>
        </w:rPr>
        <w:t>extremely severe obstacles</w:t>
      </w:r>
      <w:r w:rsidR="004847B6">
        <w:rPr>
          <w:rFonts w:ascii="Book Antiqua" w:hAnsi="Book Antiqua" w:cs="Arial"/>
          <w:bCs/>
        </w:rPr>
        <w:t xml:space="preserve">” in Vietnam.  This is not an assessment that is based upon Mr </w:t>
      </w:r>
      <w:r w:rsidR="001B4BAE">
        <w:rPr>
          <w:rFonts w:ascii="Book Antiqua" w:hAnsi="Book Antiqua" w:cs="Arial"/>
          <w:bCs/>
        </w:rPr>
        <w:t>[D]</w:t>
      </w:r>
      <w:r w:rsidR="004847B6">
        <w:rPr>
          <w:rFonts w:ascii="Book Antiqua" w:hAnsi="Book Antiqua" w:cs="Arial"/>
          <w:bCs/>
        </w:rPr>
        <w:t>’s c</w:t>
      </w:r>
      <w:r w:rsidR="007718B5">
        <w:rPr>
          <w:rFonts w:ascii="Book Antiqua" w:hAnsi="Book Antiqua" w:cs="Arial"/>
          <w:bCs/>
        </w:rPr>
        <w:t>urrent circumstances</w:t>
      </w:r>
      <w:r w:rsidR="006D084E">
        <w:rPr>
          <w:rFonts w:ascii="Book Antiqua" w:hAnsi="Book Antiqua" w:cs="Arial"/>
          <w:bCs/>
        </w:rPr>
        <w:t>, including his</w:t>
      </w:r>
      <w:r w:rsidR="007718B5">
        <w:rPr>
          <w:rFonts w:ascii="Book Antiqua" w:hAnsi="Book Antiqua" w:cs="Arial"/>
          <w:bCs/>
        </w:rPr>
        <w:t xml:space="preserve"> sustained determination and resilience since he was released from prison in 2013.</w:t>
      </w:r>
      <w:r>
        <w:rPr>
          <w:rFonts w:ascii="Book Antiqua" w:hAnsi="Book Antiqua" w:cs="Arial"/>
          <w:bCs/>
          <w:lang w:val="en-US"/>
        </w:rPr>
        <w:t xml:space="preserve"> </w:t>
      </w:r>
    </w:p>
    <w:p w:rsidR="00B00197" w:rsidRDefault="00B00197" w:rsidP="00B00197">
      <w:pPr>
        <w:spacing w:before="100" w:beforeAutospacing="1" w:after="100" w:afterAutospacing="1"/>
        <w:jc w:val="both"/>
        <w:rPr>
          <w:rFonts w:ascii="Book Antiqua" w:hAnsi="Book Antiqua" w:cs="Arial"/>
          <w:b/>
          <w:bCs/>
          <w:i/>
          <w:lang w:val="en-US"/>
        </w:rPr>
      </w:pPr>
      <w:r w:rsidRPr="00B00197">
        <w:rPr>
          <w:rFonts w:ascii="Book Antiqua" w:hAnsi="Book Antiqua" w:cs="Arial"/>
          <w:b/>
          <w:bCs/>
          <w:i/>
          <w:lang w:val="en-US"/>
        </w:rPr>
        <w:t>Very compelling circumstances</w:t>
      </w:r>
    </w:p>
    <w:p w:rsidR="00FB00C4" w:rsidRPr="00FB00C4" w:rsidRDefault="00FB00C4" w:rsidP="00B00197">
      <w:pPr>
        <w:spacing w:before="100" w:beforeAutospacing="1" w:after="100" w:afterAutospacing="1"/>
        <w:jc w:val="both"/>
        <w:rPr>
          <w:rFonts w:ascii="Book Antiqua" w:hAnsi="Book Antiqua" w:cs="Arial"/>
          <w:bCs/>
          <w:i/>
          <w:lang w:val="en-US"/>
        </w:rPr>
      </w:pPr>
      <w:r w:rsidRPr="00FB00C4">
        <w:rPr>
          <w:rFonts w:ascii="Book Antiqua" w:hAnsi="Book Antiqua" w:cs="Arial"/>
          <w:bCs/>
          <w:i/>
          <w:lang w:val="en-US"/>
        </w:rPr>
        <w:t>Public interest</w:t>
      </w:r>
    </w:p>
    <w:p w:rsidR="000D1B32" w:rsidRPr="00FB00C4" w:rsidRDefault="00601E94" w:rsidP="00D1693E">
      <w:pPr>
        <w:pStyle w:val="ListParagraph"/>
        <w:numPr>
          <w:ilvl w:val="0"/>
          <w:numId w:val="1"/>
        </w:numPr>
        <w:jc w:val="both"/>
        <w:rPr>
          <w:rFonts w:ascii="Book Antiqua" w:hAnsi="Book Antiqua" w:cs="Arial"/>
          <w:bCs/>
          <w:lang w:val="en-US"/>
        </w:rPr>
      </w:pPr>
      <w:r>
        <w:rPr>
          <w:rFonts w:ascii="Book Antiqua" w:hAnsi="Book Antiqua"/>
        </w:rPr>
        <w:t xml:space="preserve">I begin by addressing the public interest.  </w:t>
      </w:r>
      <w:r w:rsidR="005E1F7E">
        <w:rPr>
          <w:rFonts w:ascii="Book Antiqua" w:hAnsi="Book Antiqua"/>
        </w:rPr>
        <w:t xml:space="preserve">Mr Ell invited me to consider the public interest with the following in mind: a </w:t>
      </w:r>
      <w:r w:rsidR="007B7213">
        <w:rPr>
          <w:rFonts w:ascii="Book Antiqua" w:hAnsi="Book Antiqua"/>
        </w:rPr>
        <w:t xml:space="preserve">lengthy </w:t>
      </w:r>
      <w:r w:rsidR="005E1F7E">
        <w:rPr>
          <w:rFonts w:ascii="Book Antiqua" w:hAnsi="Book Antiqua"/>
        </w:rPr>
        <w:t xml:space="preserve">period of time has elapsed since the 2012 conviction and Mr </w:t>
      </w:r>
      <w:r w:rsidR="001B4BAE">
        <w:rPr>
          <w:rFonts w:ascii="Book Antiqua" w:hAnsi="Book Antiqua"/>
        </w:rPr>
        <w:t>[D]</w:t>
      </w:r>
      <w:r w:rsidR="005E1F7E">
        <w:rPr>
          <w:rFonts w:ascii="Book Antiqua" w:hAnsi="Book Antiqua"/>
        </w:rPr>
        <w:t xml:space="preserve"> has demonstrated that he is fully rehabilitated.  I accept that Mr </w:t>
      </w:r>
      <w:r w:rsidR="001B4BAE">
        <w:rPr>
          <w:rFonts w:ascii="Book Antiqua" w:hAnsi="Book Antiqua"/>
        </w:rPr>
        <w:t>[D]</w:t>
      </w:r>
      <w:r w:rsidR="005E1F7E">
        <w:rPr>
          <w:rFonts w:ascii="Book Antiqua" w:hAnsi="Book Antiqua"/>
        </w:rPr>
        <w:t xml:space="preserve"> has made </w:t>
      </w:r>
      <w:r w:rsidR="007B7213">
        <w:rPr>
          <w:rFonts w:ascii="Book Antiqua" w:hAnsi="Book Antiqua"/>
        </w:rPr>
        <w:t>sustained</w:t>
      </w:r>
      <w:r w:rsidR="005E1F7E">
        <w:rPr>
          <w:rFonts w:ascii="Book Antiqua" w:hAnsi="Book Antiqua"/>
        </w:rPr>
        <w:t xml:space="preserve"> effort to change his ways</w:t>
      </w:r>
      <w:r>
        <w:rPr>
          <w:rFonts w:ascii="Book Antiqua" w:hAnsi="Book Antiqua"/>
        </w:rPr>
        <w:t xml:space="preserve">, his risk </w:t>
      </w:r>
      <w:r w:rsidR="006D084E">
        <w:rPr>
          <w:rFonts w:ascii="Book Antiqua" w:hAnsi="Book Antiqua"/>
        </w:rPr>
        <w:t>of re-</w:t>
      </w:r>
      <w:r>
        <w:rPr>
          <w:rFonts w:ascii="Book Antiqua" w:hAnsi="Book Antiqua"/>
        </w:rPr>
        <w:t>offending has been assessed as low and</w:t>
      </w:r>
      <w:r w:rsidR="005E1F7E">
        <w:rPr>
          <w:rFonts w:ascii="Book Antiqua" w:hAnsi="Book Antiqua"/>
        </w:rPr>
        <w:t xml:space="preserve"> </w:t>
      </w:r>
      <w:r w:rsidR="006D084E">
        <w:rPr>
          <w:rFonts w:ascii="Book Antiqua" w:hAnsi="Book Antiqua"/>
        </w:rPr>
        <w:t xml:space="preserve">he </w:t>
      </w:r>
      <w:r w:rsidR="005E1F7E">
        <w:rPr>
          <w:rFonts w:ascii="Book Antiqua" w:hAnsi="Book Antiqua"/>
        </w:rPr>
        <w:t>has started an apparently successful small business</w:t>
      </w:r>
      <w:r w:rsidR="00B159A1">
        <w:rPr>
          <w:rFonts w:ascii="Book Antiqua" w:hAnsi="Book Antiqua"/>
        </w:rPr>
        <w:t xml:space="preserve">.  There remains a significant public interest in his deportation.  </w:t>
      </w:r>
      <w:r w:rsidR="006D084E">
        <w:rPr>
          <w:rFonts w:ascii="Book Antiqua" w:hAnsi="Book Antiqua"/>
        </w:rPr>
        <w:t>This is because</w:t>
      </w:r>
      <w:r w:rsidR="000D1B32" w:rsidRPr="000D1B32">
        <w:rPr>
          <w:rFonts w:ascii="Book Antiqua" w:hAnsi="Book Antiqua"/>
        </w:rPr>
        <w:t xml:space="preserve"> the significance of rehabilitation is limited by the fact that the risk of re-offending is only one facet of the public </w:t>
      </w:r>
      <w:r w:rsidR="00B159A1">
        <w:rPr>
          <w:rFonts w:ascii="Book Antiqua" w:hAnsi="Book Antiqua"/>
        </w:rPr>
        <w:t>interest</w:t>
      </w:r>
      <w:r w:rsidR="00C37351">
        <w:rPr>
          <w:rFonts w:ascii="Book Antiqua" w:hAnsi="Book Antiqua"/>
        </w:rPr>
        <w:t xml:space="preserve"> – see </w:t>
      </w:r>
      <w:r w:rsidR="00C37351" w:rsidRPr="000D1B32">
        <w:rPr>
          <w:rFonts w:ascii="Book Antiqua" w:hAnsi="Book Antiqua"/>
          <w:u w:val="single"/>
        </w:rPr>
        <w:t xml:space="preserve">SSHD v </w:t>
      </w:r>
      <w:proofErr w:type="spellStart"/>
      <w:r w:rsidR="00C37351" w:rsidRPr="000D1B32">
        <w:rPr>
          <w:rFonts w:ascii="Book Antiqua" w:hAnsi="Book Antiqua"/>
          <w:u w:val="single"/>
        </w:rPr>
        <w:t>Olarewaju</w:t>
      </w:r>
      <w:proofErr w:type="spellEnd"/>
      <w:r w:rsidR="00C37351" w:rsidRPr="000D1B32">
        <w:rPr>
          <w:rFonts w:ascii="Book Antiqua" w:hAnsi="Book Antiqua"/>
        </w:rPr>
        <w:t xml:space="preserve"> [2018] EWCA </w:t>
      </w:r>
      <w:proofErr w:type="spellStart"/>
      <w:r w:rsidR="00C37351" w:rsidRPr="000D1B32">
        <w:rPr>
          <w:rFonts w:ascii="Book Antiqua" w:hAnsi="Book Antiqua"/>
        </w:rPr>
        <w:t>Civ</w:t>
      </w:r>
      <w:proofErr w:type="spellEnd"/>
      <w:r w:rsidR="00C37351" w:rsidRPr="000D1B32">
        <w:rPr>
          <w:rFonts w:ascii="Book Antiqua" w:hAnsi="Book Antiqua"/>
        </w:rPr>
        <w:t xml:space="preserve"> 557</w:t>
      </w:r>
      <w:r w:rsidR="00C37351">
        <w:rPr>
          <w:rFonts w:ascii="Book Antiqua" w:hAnsi="Book Antiqua"/>
        </w:rPr>
        <w:t xml:space="preserve"> at [26] and [18-20] above</w:t>
      </w:r>
      <w:r w:rsidR="000D1B32" w:rsidRPr="000D1B32">
        <w:rPr>
          <w:rFonts w:ascii="Book Antiqua" w:hAnsi="Book Antiqua"/>
        </w:rPr>
        <w:t>.</w:t>
      </w:r>
      <w:r w:rsidR="00FB00C4">
        <w:rPr>
          <w:rFonts w:ascii="Book Antiqua" w:hAnsi="Book Antiqua"/>
        </w:rPr>
        <w:t xml:space="preserve">  Mr </w:t>
      </w:r>
      <w:r w:rsidR="001B4BAE">
        <w:rPr>
          <w:rFonts w:ascii="Book Antiqua" w:hAnsi="Book Antiqua"/>
        </w:rPr>
        <w:t>[D]</w:t>
      </w:r>
      <w:r w:rsidR="00FB00C4">
        <w:rPr>
          <w:rFonts w:ascii="Book Antiqua" w:hAnsi="Book Antiqua"/>
        </w:rPr>
        <w:t xml:space="preserve">’s criminal offending took place over an extended period of time and according to his own evidence, was linked to dependencies and stress factors in his life.  I accept that Mr </w:t>
      </w:r>
      <w:r w:rsidR="001B4BAE">
        <w:rPr>
          <w:rFonts w:ascii="Book Antiqua" w:hAnsi="Book Antiqua"/>
        </w:rPr>
        <w:t>[D]</w:t>
      </w:r>
      <w:r w:rsidR="00FB00C4">
        <w:rPr>
          <w:rFonts w:ascii="Book Antiqua" w:hAnsi="Book Antiqua"/>
        </w:rPr>
        <w:t xml:space="preserve"> has demonstrated a change in attitude that has resulted in no reoffending since his last criminal conviction</w:t>
      </w:r>
      <w:r w:rsidR="0099426F">
        <w:rPr>
          <w:rFonts w:ascii="Book Antiqua" w:hAnsi="Book Antiqua"/>
        </w:rPr>
        <w:t>.</w:t>
      </w:r>
      <w:r w:rsidR="00FB00C4">
        <w:rPr>
          <w:rFonts w:ascii="Book Antiqua" w:hAnsi="Book Antiqua"/>
        </w:rPr>
        <w:t xml:space="preserve">  I am satisfied that Mr </w:t>
      </w:r>
      <w:r w:rsidR="001B4BAE">
        <w:rPr>
          <w:rFonts w:ascii="Book Antiqua" w:hAnsi="Book Antiqua"/>
        </w:rPr>
        <w:t>[D]</w:t>
      </w:r>
      <w:r w:rsidR="00FB00C4">
        <w:rPr>
          <w:rFonts w:ascii="Book Antiqua" w:hAnsi="Book Antiqua"/>
        </w:rPr>
        <w:t xml:space="preserve">’s rehabilitation is a factor to take into account but it is only </w:t>
      </w:r>
      <w:r w:rsidR="00FB00C4" w:rsidRPr="00D1693E">
        <w:rPr>
          <w:rFonts w:ascii="Book Antiqua" w:hAnsi="Book Antiqua"/>
          <w:u w:val="single"/>
        </w:rPr>
        <w:t>a</w:t>
      </w:r>
      <w:r w:rsidR="00FB00C4">
        <w:rPr>
          <w:rFonts w:ascii="Book Antiqua" w:hAnsi="Book Antiqua"/>
        </w:rPr>
        <w:t xml:space="preserve"> factor amongst many</w:t>
      </w:r>
      <w:r w:rsidR="0099426F">
        <w:rPr>
          <w:rFonts w:ascii="Book Antiqua" w:hAnsi="Book Antiqua"/>
        </w:rPr>
        <w:t xml:space="preserve">.  Mr </w:t>
      </w:r>
      <w:r w:rsidR="001B4BAE">
        <w:rPr>
          <w:rFonts w:ascii="Book Antiqua" w:hAnsi="Book Antiqua"/>
        </w:rPr>
        <w:t>[D]</w:t>
      </w:r>
      <w:r w:rsidR="0099426F">
        <w:rPr>
          <w:rFonts w:ascii="Book Antiqua" w:hAnsi="Book Antiqua"/>
        </w:rPr>
        <w:t xml:space="preserve"> offended beyond his minority and for an extended period of time.  I do not accept that </w:t>
      </w:r>
      <w:r w:rsidR="00FB00C4">
        <w:rPr>
          <w:rFonts w:ascii="Book Antiqua" w:hAnsi="Book Antiqua"/>
        </w:rPr>
        <w:t xml:space="preserve">this is not one of those rare cases in </w:t>
      </w:r>
      <w:proofErr w:type="gramStart"/>
      <w:r w:rsidR="00FB00C4">
        <w:rPr>
          <w:rFonts w:ascii="Book Antiqua" w:hAnsi="Book Antiqua"/>
        </w:rPr>
        <w:t>which  rehabilitation</w:t>
      </w:r>
      <w:proofErr w:type="gramEnd"/>
      <w:r w:rsidR="00FB00C4">
        <w:rPr>
          <w:rFonts w:ascii="Book Antiqua" w:hAnsi="Book Antiqua"/>
        </w:rPr>
        <w:t xml:space="preserve"> make</w:t>
      </w:r>
      <w:r w:rsidR="0099426F">
        <w:rPr>
          <w:rFonts w:ascii="Book Antiqua" w:hAnsi="Book Antiqua"/>
        </w:rPr>
        <w:t>s</w:t>
      </w:r>
      <w:r w:rsidR="00FB00C4">
        <w:rPr>
          <w:rFonts w:ascii="Book Antiqua" w:hAnsi="Book Antiqua"/>
        </w:rPr>
        <w:t xml:space="preserve"> a significant contribution to establishing </w:t>
      </w:r>
      <w:r w:rsidR="0099426F">
        <w:rPr>
          <w:rFonts w:ascii="Book Antiqua" w:hAnsi="Book Antiqua"/>
        </w:rPr>
        <w:t xml:space="preserve">very </w:t>
      </w:r>
      <w:r w:rsidR="00FB00C4">
        <w:rPr>
          <w:rFonts w:ascii="Book Antiqua" w:hAnsi="Book Antiqua"/>
        </w:rPr>
        <w:t xml:space="preserve">compelling </w:t>
      </w:r>
      <w:r w:rsidR="0099426F">
        <w:rPr>
          <w:rFonts w:ascii="Book Antiqua" w:hAnsi="Book Antiqua"/>
        </w:rPr>
        <w:t>circumstances</w:t>
      </w:r>
      <w:r w:rsidR="00FB00C4">
        <w:rPr>
          <w:rFonts w:ascii="Book Antiqua" w:hAnsi="Book Antiqua"/>
        </w:rPr>
        <w:t>.</w:t>
      </w:r>
    </w:p>
    <w:p w:rsidR="00FB00C4" w:rsidRPr="00FB00C4" w:rsidRDefault="00FB00C4" w:rsidP="00FB00C4">
      <w:pPr>
        <w:ind w:left="720"/>
        <w:jc w:val="both"/>
        <w:rPr>
          <w:rFonts w:ascii="Book Antiqua" w:hAnsi="Book Antiqua" w:cs="Arial"/>
          <w:bCs/>
          <w:i/>
          <w:lang w:val="en-US"/>
        </w:rPr>
      </w:pPr>
    </w:p>
    <w:p w:rsidR="00FB00C4" w:rsidRPr="00FB00C4" w:rsidRDefault="00FB00C4" w:rsidP="00D1693E">
      <w:pPr>
        <w:jc w:val="both"/>
        <w:rPr>
          <w:rFonts w:ascii="Book Antiqua" w:hAnsi="Book Antiqua" w:cs="Arial"/>
          <w:bCs/>
          <w:i/>
          <w:lang w:val="en-US"/>
        </w:rPr>
      </w:pPr>
      <w:r w:rsidRPr="00FB00C4">
        <w:rPr>
          <w:rFonts w:ascii="Book Antiqua" w:hAnsi="Book Antiqua" w:cs="Arial"/>
          <w:bCs/>
          <w:i/>
          <w:lang w:val="en-US"/>
        </w:rPr>
        <w:t>Other compelling circumstances</w:t>
      </w:r>
    </w:p>
    <w:p w:rsidR="002D0356" w:rsidRPr="00B159A1" w:rsidRDefault="002D0356" w:rsidP="002D0356">
      <w:pPr>
        <w:pStyle w:val="ListParagraph"/>
        <w:ind w:left="1280"/>
        <w:jc w:val="both"/>
        <w:rPr>
          <w:rFonts w:ascii="Book Antiqua" w:hAnsi="Book Antiqua" w:cs="Arial"/>
          <w:bCs/>
          <w:lang w:val="en-US"/>
        </w:rPr>
      </w:pPr>
    </w:p>
    <w:p w:rsidR="003D6C2B" w:rsidRDefault="00B159A1" w:rsidP="00D1693E">
      <w:pPr>
        <w:pStyle w:val="ListParagraph"/>
        <w:numPr>
          <w:ilvl w:val="0"/>
          <w:numId w:val="1"/>
        </w:numPr>
        <w:jc w:val="both"/>
        <w:rPr>
          <w:rFonts w:ascii="Book Antiqua" w:hAnsi="Book Antiqua"/>
        </w:rPr>
      </w:pPr>
      <w:r>
        <w:rPr>
          <w:rFonts w:ascii="Book Antiqua" w:hAnsi="Book Antiqua"/>
        </w:rPr>
        <w:t xml:space="preserve">Mr Ell also invited me to consider all relevant factors cumulatively to </w:t>
      </w:r>
      <w:r w:rsidR="00FB00C4">
        <w:rPr>
          <w:rFonts w:ascii="Book Antiqua" w:hAnsi="Book Antiqua"/>
        </w:rPr>
        <w:t>determine whether there are very</w:t>
      </w:r>
      <w:r>
        <w:rPr>
          <w:rFonts w:ascii="Book Antiqua" w:hAnsi="Book Antiqua"/>
        </w:rPr>
        <w:t xml:space="preserve"> compelling circumstances.  I have in particular taken into account the </w:t>
      </w:r>
      <w:r w:rsidR="00FB00C4">
        <w:rPr>
          <w:rFonts w:ascii="Book Antiqua" w:hAnsi="Book Antiqua"/>
        </w:rPr>
        <w:t>matters set out below</w:t>
      </w:r>
      <w:r w:rsidR="007B7213">
        <w:rPr>
          <w:rFonts w:ascii="Book Antiqua" w:hAnsi="Book Antiqua"/>
        </w:rPr>
        <w:t>.</w:t>
      </w:r>
    </w:p>
    <w:p w:rsidR="003D6C2B" w:rsidRPr="003D6C2B" w:rsidRDefault="003D6C2B" w:rsidP="00D1693E">
      <w:pPr>
        <w:pStyle w:val="ListParagraph"/>
        <w:ind w:left="1280"/>
        <w:jc w:val="both"/>
        <w:rPr>
          <w:rFonts w:ascii="Book Antiqua" w:hAnsi="Book Antiqua"/>
        </w:rPr>
      </w:pPr>
    </w:p>
    <w:p w:rsidR="007237D8" w:rsidRPr="00D1693E" w:rsidRDefault="00FB00C4" w:rsidP="00D1693E">
      <w:pPr>
        <w:pStyle w:val="ListParagraph"/>
        <w:numPr>
          <w:ilvl w:val="0"/>
          <w:numId w:val="1"/>
        </w:numPr>
        <w:jc w:val="both"/>
        <w:rPr>
          <w:rFonts w:ascii="Book Antiqua" w:hAnsi="Book Antiqua"/>
        </w:rPr>
      </w:pPr>
      <w:r w:rsidRPr="00D1693E">
        <w:rPr>
          <w:rFonts w:ascii="Book Antiqua" w:hAnsi="Book Antiqua"/>
        </w:rPr>
        <w:t xml:space="preserve">First, Mr </w:t>
      </w:r>
      <w:r w:rsidR="001B4BAE">
        <w:rPr>
          <w:rFonts w:ascii="Book Antiqua" w:hAnsi="Book Antiqua"/>
        </w:rPr>
        <w:t>[D]</w:t>
      </w:r>
      <w:r w:rsidRPr="00D1693E">
        <w:rPr>
          <w:rFonts w:ascii="Book Antiqua" w:hAnsi="Book Antiqua"/>
        </w:rPr>
        <w:t xml:space="preserve"> has been lawfully resident </w:t>
      </w:r>
      <w:r w:rsidR="003D6C2B">
        <w:rPr>
          <w:rFonts w:ascii="Book Antiqua" w:hAnsi="Book Antiqua"/>
        </w:rPr>
        <w:t xml:space="preserve">as a settled migrant </w:t>
      </w:r>
      <w:r w:rsidRPr="00D1693E">
        <w:rPr>
          <w:rFonts w:ascii="Book Antiqua" w:hAnsi="Book Antiqua"/>
        </w:rPr>
        <w:t>in the UK for a very lengthy period</w:t>
      </w:r>
      <w:r w:rsidR="002F0FF2" w:rsidRPr="00D1693E">
        <w:rPr>
          <w:rFonts w:ascii="Book Antiqua" w:hAnsi="Book Antiqua"/>
        </w:rPr>
        <w:t>, having come to the UK when he was a 13-year old child</w:t>
      </w:r>
      <w:r w:rsidR="00080593" w:rsidRPr="00D1693E">
        <w:rPr>
          <w:rFonts w:ascii="Book Antiqua" w:hAnsi="Book Antiqua"/>
        </w:rPr>
        <w:t xml:space="preserve">.  </w:t>
      </w:r>
      <w:proofErr w:type="spellStart"/>
      <w:r w:rsidR="002F0FF2" w:rsidRPr="00D1693E">
        <w:rPr>
          <w:rFonts w:ascii="Book Antiqua" w:hAnsi="Book Antiqua"/>
          <w:u w:val="single"/>
        </w:rPr>
        <w:t>Maslov</w:t>
      </w:r>
      <w:proofErr w:type="spellEnd"/>
      <w:r w:rsidR="002F0FF2" w:rsidRPr="00D1693E">
        <w:rPr>
          <w:rFonts w:ascii="Book Antiqua" w:hAnsi="Book Antiqua"/>
        </w:rPr>
        <w:t xml:space="preserve"> </w:t>
      </w:r>
      <w:r w:rsidR="002F0FF2" w:rsidRPr="00D1693E">
        <w:rPr>
          <w:rFonts w:ascii="Book Antiqua" w:hAnsi="Book Antiqua"/>
        </w:rPr>
        <w:lastRenderedPageBreak/>
        <w:t>(supra)</w:t>
      </w:r>
      <w:r w:rsidR="00080593" w:rsidRPr="00D1693E">
        <w:rPr>
          <w:rFonts w:ascii="Book Antiqua" w:hAnsi="Book Antiqua"/>
        </w:rPr>
        <w:t xml:space="preserve"> </w:t>
      </w:r>
      <w:bookmarkStart w:id="11" w:name="para44"/>
      <w:bookmarkEnd w:id="11"/>
      <w:r w:rsidR="003D6C2B" w:rsidRPr="00D1693E">
        <w:rPr>
          <w:rFonts w:ascii="Book Antiqua" w:hAnsi="Book Antiqua"/>
        </w:rPr>
        <w:t xml:space="preserve">makes it clear </w:t>
      </w:r>
      <w:r w:rsidR="00080593" w:rsidRPr="00D1693E">
        <w:rPr>
          <w:rFonts w:ascii="Book Antiqua" w:hAnsi="Book Antiqua"/>
        </w:rPr>
        <w:t xml:space="preserve">that for a settled migrant who has lawfully spent all or the major part of his childhood and youth in the host country, </w:t>
      </w:r>
      <w:r w:rsidR="003D6C2B" w:rsidRPr="00D1693E">
        <w:rPr>
          <w:rFonts w:ascii="Book Antiqua" w:hAnsi="Book Antiqua"/>
        </w:rPr>
        <w:t xml:space="preserve">as in this case, </w:t>
      </w:r>
      <w:r w:rsidR="00080593" w:rsidRPr="00D1693E">
        <w:rPr>
          <w:rFonts w:ascii="Book Antiqua" w:hAnsi="Book Antiqua"/>
        </w:rPr>
        <w:t xml:space="preserve">very serious reasons are required to justify </w:t>
      </w:r>
      <w:proofErr w:type="spellStart"/>
      <w:r w:rsidR="00080593" w:rsidRPr="00D1693E">
        <w:rPr>
          <w:rFonts w:ascii="Book Antiqua" w:hAnsi="Book Antiqua"/>
        </w:rPr>
        <w:t>explusion</w:t>
      </w:r>
      <w:proofErr w:type="spellEnd"/>
      <w:r w:rsidR="00080593" w:rsidRPr="00D1693E">
        <w:rPr>
          <w:rFonts w:ascii="Book Antiqua" w:hAnsi="Book Antiqua"/>
        </w:rPr>
        <w:t xml:space="preserve">. </w:t>
      </w:r>
      <w:r w:rsidR="003D6C2B">
        <w:rPr>
          <w:rFonts w:ascii="Book Antiqua" w:hAnsi="Book Antiqua"/>
        </w:rPr>
        <w:t xml:space="preserve"> </w:t>
      </w:r>
      <w:r w:rsidR="00080593" w:rsidRPr="00D1693E">
        <w:rPr>
          <w:rFonts w:ascii="Book Antiqua" w:hAnsi="Book Antiqua"/>
        </w:rPr>
        <w:t xml:space="preserve">This is all the more so where the person concerned committed the offences underlying the measure </w:t>
      </w:r>
      <w:r w:rsidR="003D6C2B" w:rsidRPr="003D6C2B">
        <w:rPr>
          <w:rFonts w:ascii="Book Antiqua" w:hAnsi="Book Antiqua"/>
        </w:rPr>
        <w:t xml:space="preserve">as a juvenile.  This is a factor </w:t>
      </w:r>
      <w:r w:rsidR="003D6C2B">
        <w:rPr>
          <w:rFonts w:ascii="Book Antiqua" w:hAnsi="Book Antiqua"/>
        </w:rPr>
        <w:t xml:space="preserve">that tells in Mr </w:t>
      </w:r>
      <w:r w:rsidR="001B4BAE">
        <w:rPr>
          <w:rFonts w:ascii="Book Antiqua" w:hAnsi="Book Antiqua"/>
        </w:rPr>
        <w:t>[D]</w:t>
      </w:r>
      <w:r w:rsidR="003D6C2B">
        <w:rPr>
          <w:rFonts w:ascii="Book Antiqua" w:hAnsi="Book Antiqua"/>
        </w:rPr>
        <w:t xml:space="preserve">’s favour.  </w:t>
      </w:r>
      <w:r w:rsidR="002F0FF2" w:rsidRPr="00D1693E">
        <w:rPr>
          <w:rFonts w:ascii="Book Antiqua" w:hAnsi="Book Antiqua"/>
        </w:rPr>
        <w:t xml:space="preserve">However, </w:t>
      </w:r>
      <w:r w:rsidR="003D6C2B">
        <w:rPr>
          <w:rFonts w:ascii="Book Antiqua" w:hAnsi="Book Antiqua"/>
        </w:rPr>
        <w:t xml:space="preserve">it is important to bear in mind that </w:t>
      </w:r>
      <w:r w:rsidR="002F0FF2" w:rsidRPr="00D1693E">
        <w:rPr>
          <w:rFonts w:ascii="Book Antiqua" w:hAnsi="Book Antiqua"/>
        </w:rPr>
        <w:t xml:space="preserve">Mr </w:t>
      </w:r>
      <w:r w:rsidR="001B4BAE">
        <w:rPr>
          <w:rFonts w:ascii="Book Antiqua" w:hAnsi="Book Antiqua"/>
        </w:rPr>
        <w:t>[D]</w:t>
      </w:r>
      <w:r w:rsidR="002F0FF2" w:rsidRPr="00D1693E">
        <w:rPr>
          <w:rFonts w:ascii="Book Antiqua" w:hAnsi="Book Antiqua"/>
        </w:rPr>
        <w:t>’s offending took p</w:t>
      </w:r>
      <w:r w:rsidR="003D6C2B" w:rsidRPr="003D6C2B">
        <w:rPr>
          <w:rFonts w:ascii="Book Antiqua" w:hAnsi="Book Antiqua"/>
        </w:rPr>
        <w:t xml:space="preserve">lace over an extended period into </w:t>
      </w:r>
      <w:r w:rsidR="002F0FF2" w:rsidRPr="00D1693E">
        <w:rPr>
          <w:rFonts w:ascii="Book Antiqua" w:hAnsi="Book Antiqua"/>
        </w:rPr>
        <w:t>his adulthood.</w:t>
      </w:r>
      <w:r w:rsidR="003D6C2B">
        <w:rPr>
          <w:rFonts w:ascii="Book Antiqua" w:hAnsi="Book Antiqua"/>
        </w:rPr>
        <w:t xml:space="preserve">  Although he had inevitable difficulties in his background to address, his siblings have demonstrated an ability to overcome these without dependencies or criminal offending.</w:t>
      </w:r>
    </w:p>
    <w:p w:rsidR="007237D8" w:rsidRPr="00D1693E" w:rsidRDefault="00306F85" w:rsidP="00D1693E">
      <w:pPr>
        <w:rPr>
          <w:rFonts w:ascii="Book Antiqua" w:hAnsi="Book Antiqua"/>
        </w:rPr>
      </w:pPr>
      <w:r w:rsidRPr="00D1693E">
        <w:rPr>
          <w:rFonts w:ascii="Book Antiqua" w:hAnsi="Book Antiqua"/>
        </w:rPr>
        <w:t xml:space="preserve"> </w:t>
      </w:r>
    </w:p>
    <w:p w:rsidR="002F0FF2" w:rsidRPr="00D1693E" w:rsidRDefault="00FB00C4" w:rsidP="00D1693E">
      <w:pPr>
        <w:pStyle w:val="ListParagraph"/>
        <w:numPr>
          <w:ilvl w:val="0"/>
          <w:numId w:val="1"/>
        </w:numPr>
        <w:jc w:val="both"/>
        <w:rPr>
          <w:rFonts w:ascii="Book Antiqua" w:hAnsi="Book Antiqua" w:cs="Arial"/>
          <w:bCs/>
          <w:lang w:val="en-US"/>
        </w:rPr>
      </w:pPr>
      <w:r w:rsidRPr="00D1693E">
        <w:rPr>
          <w:rFonts w:ascii="Book Antiqua" w:hAnsi="Book Antiqua"/>
        </w:rPr>
        <w:t xml:space="preserve">Second, Mr </w:t>
      </w:r>
      <w:r w:rsidR="001B4BAE">
        <w:rPr>
          <w:rFonts w:ascii="Book Antiqua" w:hAnsi="Book Antiqua"/>
        </w:rPr>
        <w:t>[D]</w:t>
      </w:r>
      <w:r w:rsidRPr="00D1693E">
        <w:rPr>
          <w:rFonts w:ascii="Book Antiqua" w:hAnsi="Book Antiqua"/>
        </w:rPr>
        <w:t xml:space="preserve"> entered the UK as a</w:t>
      </w:r>
      <w:r w:rsidR="00B159A1" w:rsidRPr="00D1693E">
        <w:rPr>
          <w:rFonts w:ascii="Book Antiqua" w:hAnsi="Book Antiqua"/>
        </w:rPr>
        <w:t xml:space="preserve"> child refugee</w:t>
      </w:r>
      <w:r w:rsidR="002F0FF2" w:rsidRPr="00D1693E">
        <w:rPr>
          <w:rFonts w:ascii="Book Antiqua" w:hAnsi="Book Antiqua"/>
        </w:rPr>
        <w:t xml:space="preserve"> and has inevitably been through a difficult time both when in Vietnam and then when adjusting to life in the UK</w:t>
      </w:r>
      <w:r w:rsidR="003C2C56" w:rsidRPr="00D1693E">
        <w:rPr>
          <w:rFonts w:ascii="Book Antiqua" w:hAnsi="Book Antiqua"/>
        </w:rPr>
        <w:t xml:space="preserve">.  He has been brought up in a family of refugees forced to flee Vietnam.  In these circumstances, I accept Mr Ell’s submission that Mr </w:t>
      </w:r>
      <w:r w:rsidR="001B4BAE">
        <w:rPr>
          <w:rFonts w:ascii="Book Antiqua" w:hAnsi="Book Antiqua"/>
        </w:rPr>
        <w:t>[D]</w:t>
      </w:r>
      <w:r w:rsidR="003C2C56" w:rsidRPr="00D1693E">
        <w:rPr>
          <w:rFonts w:ascii="Book Antiqua" w:hAnsi="Book Antiqua"/>
        </w:rPr>
        <w:t xml:space="preserve"> has spent the majority of his life with a negative view of Vietnam, understandably tainted by his experiences there and those of his family members.</w:t>
      </w:r>
      <w:r w:rsidR="002F0FF2" w:rsidRPr="00D1693E">
        <w:rPr>
          <w:rFonts w:ascii="Book Antiqua" w:hAnsi="Book Antiqua"/>
        </w:rPr>
        <w:t xml:space="preserve">  However, he has benefitted from being part of a close-knit, loving and large family unit.</w:t>
      </w:r>
    </w:p>
    <w:p w:rsidR="002F0FF2" w:rsidRPr="007237D8" w:rsidRDefault="002F0FF2" w:rsidP="00D1693E">
      <w:pPr>
        <w:pStyle w:val="ListParagraph"/>
        <w:ind w:left="1280"/>
        <w:jc w:val="both"/>
        <w:rPr>
          <w:rFonts w:ascii="Book Antiqua" w:hAnsi="Book Antiqua" w:cs="Arial"/>
          <w:bCs/>
          <w:lang w:val="en-US"/>
        </w:rPr>
      </w:pPr>
    </w:p>
    <w:p w:rsidR="002F0FF2" w:rsidRPr="00D1693E" w:rsidRDefault="003C2C56" w:rsidP="00D1693E">
      <w:pPr>
        <w:pStyle w:val="ListParagraph"/>
        <w:numPr>
          <w:ilvl w:val="0"/>
          <w:numId w:val="1"/>
        </w:numPr>
        <w:jc w:val="both"/>
        <w:rPr>
          <w:rFonts w:ascii="Book Antiqua" w:hAnsi="Book Antiqua"/>
          <w:lang w:val="en-US"/>
        </w:rPr>
      </w:pPr>
      <w:r w:rsidRPr="00D1693E">
        <w:rPr>
          <w:rFonts w:ascii="Book Antiqua" w:hAnsi="Book Antiqua"/>
          <w:lang w:val="en-US"/>
        </w:rPr>
        <w:t xml:space="preserve">Third, </w:t>
      </w:r>
      <w:proofErr w:type="spellStart"/>
      <w:r w:rsidRPr="00D1693E">
        <w:rPr>
          <w:rFonts w:ascii="Book Antiqua" w:hAnsi="Book Antiqua"/>
          <w:lang w:val="en-US"/>
        </w:rPr>
        <w:t>Mr</w:t>
      </w:r>
      <w:proofErr w:type="spellEnd"/>
      <w:r w:rsidRPr="00D1693E">
        <w:rPr>
          <w:rFonts w:ascii="Book Antiqua" w:hAnsi="Book Antiqua"/>
          <w:lang w:val="en-US"/>
        </w:rPr>
        <w:t xml:space="preserve"> </w:t>
      </w:r>
      <w:r w:rsidR="001B4BAE">
        <w:rPr>
          <w:rFonts w:ascii="Book Antiqua" w:hAnsi="Book Antiqua"/>
          <w:lang w:val="en-US"/>
        </w:rPr>
        <w:t>[D]</w:t>
      </w:r>
      <w:r w:rsidRPr="00D1693E">
        <w:rPr>
          <w:rFonts w:ascii="Book Antiqua" w:hAnsi="Book Antiqua"/>
        </w:rPr>
        <w:t xml:space="preserve"> is </w:t>
      </w:r>
      <w:r w:rsidR="00B159A1" w:rsidRPr="00D1693E">
        <w:rPr>
          <w:rFonts w:ascii="Book Antiqua" w:hAnsi="Book Antiqua"/>
        </w:rPr>
        <w:t xml:space="preserve">close to his mother and </w:t>
      </w:r>
      <w:r w:rsidR="002F0FF2">
        <w:rPr>
          <w:rFonts w:ascii="Book Antiqua" w:hAnsi="Book Antiqua"/>
        </w:rPr>
        <w:t>B</w:t>
      </w:r>
      <w:r w:rsidR="002D0356" w:rsidRPr="00D1693E">
        <w:rPr>
          <w:rFonts w:ascii="Book Antiqua" w:hAnsi="Book Antiqua"/>
        </w:rPr>
        <w:t xml:space="preserve">. </w:t>
      </w:r>
      <w:r w:rsidRPr="00D1693E">
        <w:rPr>
          <w:rFonts w:ascii="Book Antiqua" w:hAnsi="Book Antiqua"/>
        </w:rPr>
        <w:t xml:space="preserve">They will not be able to visit him in Vietnam.  </w:t>
      </w:r>
      <w:r w:rsidR="002F0FF2">
        <w:rPr>
          <w:rFonts w:ascii="Book Antiqua" w:hAnsi="Book Antiqua"/>
        </w:rPr>
        <w:t xml:space="preserve">Deportation will have an inevitable adverse impact upon the quality of his family relationships.  Those family relationships are not covered by </w:t>
      </w:r>
      <w:r w:rsidR="002D0356" w:rsidRPr="00D1693E">
        <w:rPr>
          <w:rFonts w:ascii="Book Antiqua" w:hAnsi="Book Antiqua"/>
        </w:rPr>
        <w:t>Exception 2</w:t>
      </w:r>
      <w:r w:rsidR="002F0FF2">
        <w:rPr>
          <w:rFonts w:ascii="Book Antiqua" w:hAnsi="Book Antiqua"/>
        </w:rPr>
        <w:t>,</w:t>
      </w:r>
      <w:r w:rsidR="002F0FF2" w:rsidRPr="00D1693E">
        <w:rPr>
          <w:rFonts w:ascii="Book Antiqua" w:hAnsi="Book Antiqua"/>
        </w:rPr>
        <w:t xml:space="preserve"> because Mr </w:t>
      </w:r>
      <w:r w:rsidR="001B4BAE">
        <w:rPr>
          <w:rFonts w:ascii="Book Antiqua" w:hAnsi="Book Antiqua"/>
        </w:rPr>
        <w:t>[D]</w:t>
      </w:r>
      <w:r w:rsidR="002F0FF2" w:rsidRPr="00D1693E">
        <w:rPr>
          <w:rFonts w:ascii="Book Antiqua" w:hAnsi="Book Antiqua"/>
        </w:rPr>
        <w:t xml:space="preserve"> does not have a genuine and subsisting relationship with a qualifying partner or qualifying child.</w:t>
      </w:r>
      <w:r w:rsidR="002F0FF2" w:rsidRPr="00D1693E" w:rsidDel="002F0FF2">
        <w:rPr>
          <w:rFonts w:ascii="Book Antiqua" w:hAnsi="Book Antiqua"/>
        </w:rPr>
        <w:t xml:space="preserve"> </w:t>
      </w:r>
      <w:r w:rsidR="002F0FF2">
        <w:rPr>
          <w:rFonts w:ascii="Book Antiqua" w:hAnsi="Book Antiqua"/>
        </w:rPr>
        <w:t xml:space="preserve"> I have already found that the family relationships do not constitute family life for the purposes of Article 8(1).  Undoubtedly upset and distress on the part of all the family members, particularly the mother and B, will be a consequence of Mr </w:t>
      </w:r>
      <w:r w:rsidR="001B4BAE">
        <w:rPr>
          <w:rFonts w:ascii="Book Antiqua" w:hAnsi="Book Antiqua"/>
        </w:rPr>
        <w:t>[D]</w:t>
      </w:r>
      <w:r w:rsidR="002F0FF2">
        <w:rPr>
          <w:rFonts w:ascii="Book Antiqua" w:hAnsi="Book Antiqua"/>
        </w:rPr>
        <w:t>’s deportation, but they have support systems in place to help with this.</w:t>
      </w:r>
    </w:p>
    <w:p w:rsidR="00B159A1" w:rsidRPr="00D1693E" w:rsidRDefault="00B159A1" w:rsidP="00D1693E">
      <w:pPr>
        <w:pStyle w:val="ListParagraph"/>
        <w:ind w:left="1280"/>
        <w:jc w:val="both"/>
        <w:rPr>
          <w:rFonts w:ascii="Book Antiqua" w:hAnsi="Book Antiqua"/>
        </w:rPr>
      </w:pPr>
    </w:p>
    <w:p w:rsidR="003C2C56" w:rsidRPr="003C2C56" w:rsidRDefault="003C2C56" w:rsidP="00D1693E">
      <w:pPr>
        <w:pStyle w:val="ListParagraph"/>
        <w:numPr>
          <w:ilvl w:val="0"/>
          <w:numId w:val="1"/>
        </w:numPr>
        <w:jc w:val="both"/>
        <w:rPr>
          <w:rFonts w:ascii="Book Antiqua" w:hAnsi="Book Antiqua" w:cs="Arial"/>
          <w:bCs/>
          <w:lang w:val="en-US"/>
        </w:rPr>
      </w:pPr>
      <w:r w:rsidRPr="002F0FF2">
        <w:rPr>
          <w:rFonts w:ascii="Book Antiqua" w:hAnsi="Book Antiqua"/>
        </w:rPr>
        <w:t>I acknowledge that w</w:t>
      </w:r>
      <w:r>
        <w:rPr>
          <w:rFonts w:ascii="Book Antiqua" w:hAnsi="Book Antiqua"/>
        </w:rPr>
        <w:t xml:space="preserve">hen viewed </w:t>
      </w:r>
      <w:r w:rsidR="00B159A1">
        <w:rPr>
          <w:rFonts w:ascii="Book Antiqua" w:hAnsi="Book Antiqua"/>
        </w:rPr>
        <w:t>together</w:t>
      </w:r>
      <w:r>
        <w:rPr>
          <w:rFonts w:ascii="Book Antiqua" w:hAnsi="Book Antiqua"/>
        </w:rPr>
        <w:t xml:space="preserve"> with Mr </w:t>
      </w:r>
      <w:r w:rsidR="001B4BAE">
        <w:rPr>
          <w:rFonts w:ascii="Book Antiqua" w:hAnsi="Book Antiqua"/>
        </w:rPr>
        <w:t>[D]</w:t>
      </w:r>
      <w:r>
        <w:rPr>
          <w:rFonts w:ascii="Book Antiqua" w:hAnsi="Book Antiqua"/>
        </w:rPr>
        <w:t>’s rehabilitation, and cumulatively, these constitute</w:t>
      </w:r>
      <w:r w:rsidR="00B159A1">
        <w:rPr>
          <w:rFonts w:ascii="Book Antiqua" w:hAnsi="Book Antiqua"/>
        </w:rPr>
        <w:t xml:space="preserve"> compelling circumstances.  However</w:t>
      </w:r>
      <w:r>
        <w:rPr>
          <w:rFonts w:ascii="Book Antiqua" w:hAnsi="Book Antiqua"/>
        </w:rPr>
        <w:t>,</w:t>
      </w:r>
      <w:r w:rsidR="00B159A1">
        <w:rPr>
          <w:rFonts w:ascii="Book Antiqua" w:hAnsi="Book Antiqua"/>
        </w:rPr>
        <w:t xml:space="preserve"> I am not prepared to find that there are </w:t>
      </w:r>
      <w:r w:rsidR="00B159A1" w:rsidRPr="002D0356">
        <w:rPr>
          <w:rFonts w:ascii="Book Antiqua" w:hAnsi="Book Antiqua"/>
          <w:u w:val="single"/>
        </w:rPr>
        <w:t>very</w:t>
      </w:r>
      <w:r w:rsidR="00B159A1">
        <w:rPr>
          <w:rFonts w:ascii="Book Antiqua" w:hAnsi="Book Antiqua"/>
        </w:rPr>
        <w:t xml:space="preserve"> compelling circumstances</w:t>
      </w:r>
      <w:r w:rsidR="007237D8">
        <w:rPr>
          <w:rFonts w:ascii="Book Antiqua" w:hAnsi="Book Antiqua"/>
        </w:rPr>
        <w:t xml:space="preserve"> per se or over and above Exceptions 1 and 2</w:t>
      </w:r>
      <w:r w:rsidR="00B159A1">
        <w:rPr>
          <w:rFonts w:ascii="Book Antiqua" w:hAnsi="Book Antiqua"/>
        </w:rPr>
        <w:t xml:space="preserve">.  Mr </w:t>
      </w:r>
      <w:r w:rsidR="001B4BAE">
        <w:rPr>
          <w:rFonts w:ascii="Book Antiqua" w:hAnsi="Book Antiqua"/>
        </w:rPr>
        <w:t>[D]</w:t>
      </w:r>
      <w:r w:rsidR="00B159A1">
        <w:rPr>
          <w:rFonts w:ascii="Book Antiqua" w:hAnsi="Book Antiqua"/>
        </w:rPr>
        <w:t xml:space="preserve"> </w:t>
      </w:r>
      <w:r>
        <w:rPr>
          <w:rFonts w:ascii="Book Antiqua" w:hAnsi="Book Antiqua"/>
        </w:rPr>
        <w:t xml:space="preserve">does not reside with any family member, and </w:t>
      </w:r>
      <w:r w:rsidR="00B159A1">
        <w:rPr>
          <w:rFonts w:ascii="Book Antiqua" w:hAnsi="Book Antiqua"/>
        </w:rPr>
        <w:t>only sees his mother and br</w:t>
      </w:r>
      <w:r>
        <w:rPr>
          <w:rFonts w:ascii="Book Antiqua" w:hAnsi="Book Antiqua"/>
        </w:rPr>
        <w:t>other on a fortnightly basis.  There are o</w:t>
      </w:r>
      <w:r w:rsidR="00B159A1">
        <w:rPr>
          <w:rFonts w:ascii="Book Antiqua" w:hAnsi="Book Antiqua"/>
        </w:rPr>
        <w:t xml:space="preserve">ther relatives </w:t>
      </w:r>
      <w:r>
        <w:rPr>
          <w:rFonts w:ascii="Book Antiqua" w:hAnsi="Book Antiqua"/>
        </w:rPr>
        <w:t xml:space="preserve">that they will be able </w:t>
      </w:r>
      <w:r w:rsidR="00B159A1">
        <w:rPr>
          <w:rFonts w:ascii="Book Antiqua" w:hAnsi="Book Antiqua"/>
        </w:rPr>
        <w:t>to turn to in his absence.</w:t>
      </w:r>
      <w:r>
        <w:rPr>
          <w:rFonts w:ascii="Book Antiqua" w:hAnsi="Book Antiqua"/>
        </w:rPr>
        <w:t xml:space="preserve">  As set out above Mr </w:t>
      </w:r>
      <w:r w:rsidR="001B4BAE">
        <w:rPr>
          <w:rFonts w:ascii="Book Antiqua" w:hAnsi="Book Antiqua"/>
        </w:rPr>
        <w:t>[D]</w:t>
      </w:r>
      <w:r>
        <w:rPr>
          <w:rFonts w:ascii="Book Antiqua" w:hAnsi="Book Antiqua"/>
        </w:rPr>
        <w:t xml:space="preserve"> has the requisite skills to be able to adapt to Vietnamese life.  He is well-placed to enter the job market or start a small business given his long</w:t>
      </w:r>
      <w:r w:rsidR="007237D8">
        <w:rPr>
          <w:rFonts w:ascii="Book Antiqua" w:hAnsi="Book Antiqua"/>
        </w:rPr>
        <w:t>-</w:t>
      </w:r>
      <w:r>
        <w:rPr>
          <w:rFonts w:ascii="Book Antiqua" w:hAnsi="Book Antiqua"/>
        </w:rPr>
        <w:t xml:space="preserve"> standing experience as a chef</w:t>
      </w:r>
      <w:r w:rsidR="00A70115">
        <w:rPr>
          <w:rFonts w:ascii="Book Antiqua" w:hAnsi="Book Antiqua"/>
        </w:rPr>
        <w:t xml:space="preserve">, </w:t>
      </w:r>
      <w:r>
        <w:rPr>
          <w:rFonts w:ascii="Book Antiqua" w:hAnsi="Book Antiqua"/>
        </w:rPr>
        <w:t>his linguistic skills</w:t>
      </w:r>
      <w:r w:rsidR="00A70115">
        <w:rPr>
          <w:rFonts w:ascii="Book Antiqua" w:hAnsi="Book Antiqua"/>
        </w:rPr>
        <w:t xml:space="preserve"> and his changed attitude to life since his imprisonment</w:t>
      </w:r>
      <w:r>
        <w:rPr>
          <w:rFonts w:ascii="Book Antiqua" w:hAnsi="Book Antiqua"/>
        </w:rPr>
        <w:t xml:space="preserve">.  Vietnam is a transformed society since Mr </w:t>
      </w:r>
      <w:r w:rsidR="001B4BAE">
        <w:rPr>
          <w:rFonts w:ascii="Book Antiqua" w:hAnsi="Book Antiqua"/>
        </w:rPr>
        <w:t>[D]</w:t>
      </w:r>
      <w:r>
        <w:rPr>
          <w:rFonts w:ascii="Book Antiqua" w:hAnsi="Book Antiqua"/>
        </w:rPr>
        <w:t xml:space="preserve"> departed.  </w:t>
      </w:r>
      <w:r w:rsidR="007237D8">
        <w:rPr>
          <w:rFonts w:ascii="Book Antiqua" w:hAnsi="Book Antiqua"/>
        </w:rPr>
        <w:t>Although c</w:t>
      </w:r>
      <w:r>
        <w:rPr>
          <w:rFonts w:ascii="Book Antiqua" w:hAnsi="Book Antiqua"/>
        </w:rPr>
        <w:t>hallenges remain</w:t>
      </w:r>
      <w:r w:rsidR="007237D8">
        <w:rPr>
          <w:rFonts w:ascii="Book Antiqua" w:hAnsi="Book Antiqua"/>
        </w:rPr>
        <w:t xml:space="preserve">, Mr </w:t>
      </w:r>
      <w:r w:rsidR="001B4BAE">
        <w:rPr>
          <w:rFonts w:ascii="Book Antiqua" w:hAnsi="Book Antiqua"/>
        </w:rPr>
        <w:t>[D]</w:t>
      </w:r>
      <w:r w:rsidR="007237D8">
        <w:rPr>
          <w:rFonts w:ascii="Book Antiqua" w:hAnsi="Book Antiqua"/>
        </w:rPr>
        <w:t xml:space="preserve"> is well-placed to meet them, even without the support of family in Vietnam.</w:t>
      </w:r>
      <w:r>
        <w:rPr>
          <w:rFonts w:ascii="Book Antiqua" w:hAnsi="Book Antiqua"/>
        </w:rPr>
        <w:t xml:space="preserve">  </w:t>
      </w:r>
    </w:p>
    <w:p w:rsidR="003C2C56" w:rsidRPr="003C2C56" w:rsidRDefault="003C2C56" w:rsidP="003C2C56">
      <w:pPr>
        <w:pStyle w:val="ListParagraph"/>
        <w:rPr>
          <w:rFonts w:ascii="Book Antiqua" w:hAnsi="Book Antiqua"/>
        </w:rPr>
      </w:pPr>
    </w:p>
    <w:p w:rsidR="00B542E2" w:rsidRPr="00D1693E" w:rsidRDefault="003C2C56" w:rsidP="00D1693E">
      <w:pPr>
        <w:pStyle w:val="ListParagraph"/>
        <w:numPr>
          <w:ilvl w:val="0"/>
          <w:numId w:val="1"/>
        </w:numPr>
        <w:jc w:val="both"/>
        <w:rPr>
          <w:rFonts w:ascii="Book Antiqua" w:hAnsi="Book Antiqua" w:cs="Arial"/>
          <w:bCs/>
          <w:lang w:val="en-US"/>
        </w:rPr>
      </w:pPr>
      <w:r>
        <w:rPr>
          <w:rFonts w:ascii="Book Antiqua" w:hAnsi="Book Antiqua"/>
        </w:rPr>
        <w:t xml:space="preserve">Although Mr </w:t>
      </w:r>
      <w:r w:rsidR="001B4BAE">
        <w:rPr>
          <w:rFonts w:ascii="Book Antiqua" w:hAnsi="Book Antiqua"/>
        </w:rPr>
        <w:t>[D]</w:t>
      </w:r>
      <w:r>
        <w:rPr>
          <w:rFonts w:ascii="Book Antiqua" w:hAnsi="Book Antiqua"/>
        </w:rPr>
        <w:t xml:space="preserve"> has settled into UK society over an extended period of time (see </w:t>
      </w:r>
      <w:proofErr w:type="spellStart"/>
      <w:r w:rsidRPr="003C2C56">
        <w:rPr>
          <w:rFonts w:ascii="Book Antiqua" w:hAnsi="Book Antiqua"/>
          <w:u w:val="single"/>
        </w:rPr>
        <w:t>Maslov</w:t>
      </w:r>
      <w:proofErr w:type="spellEnd"/>
      <w:r>
        <w:rPr>
          <w:rFonts w:ascii="Book Antiqua" w:hAnsi="Book Antiqua"/>
        </w:rPr>
        <w:t xml:space="preserve"> (supra)), I am not satisfied that there are very compelling circumstances</w:t>
      </w:r>
      <w:r w:rsidR="00B542E2">
        <w:rPr>
          <w:rFonts w:ascii="Book Antiqua" w:hAnsi="Book Antiqua"/>
        </w:rPr>
        <w:t xml:space="preserve">, when these are viewed in the context of an Article 8 balancing exercise and when all the relevant factors are considered cumulatively.  </w:t>
      </w:r>
      <w:proofErr w:type="gramStart"/>
      <w:r w:rsidR="00B542E2">
        <w:rPr>
          <w:rFonts w:ascii="Book Antiqua" w:hAnsi="Book Antiqua"/>
        </w:rPr>
        <w:t>Had  this</w:t>
      </w:r>
      <w:proofErr w:type="gramEnd"/>
      <w:r w:rsidR="00B542E2">
        <w:rPr>
          <w:rFonts w:ascii="Book Antiqua" w:hAnsi="Book Antiqua"/>
        </w:rPr>
        <w:t xml:space="preserve"> been a case in which there was a sentence of four years and over and </w:t>
      </w:r>
      <w:r w:rsidR="00B542E2">
        <w:rPr>
          <w:rFonts w:ascii="Book Antiqua" w:hAnsi="Book Antiqua"/>
        </w:rPr>
        <w:lastRenderedPageBreak/>
        <w:t xml:space="preserve">therefore requiring the direct application of section 117C(6) that would be the end of the matter – see </w:t>
      </w:r>
      <w:r w:rsidR="00B542E2" w:rsidRPr="00D1693E">
        <w:rPr>
          <w:rFonts w:ascii="Book Antiqua" w:hAnsi="Book Antiqua"/>
          <w:u w:val="single"/>
        </w:rPr>
        <w:t>NE-A (Nigeria)</w:t>
      </w:r>
      <w:r w:rsidR="00B542E2" w:rsidRPr="001B4BAE">
        <w:rPr>
          <w:rFonts w:ascii="Book Antiqua" w:hAnsi="Book Antiqua"/>
        </w:rPr>
        <w:t xml:space="preserve"> </w:t>
      </w:r>
      <w:r w:rsidR="00671D5A" w:rsidRPr="001B4BAE">
        <w:rPr>
          <w:rFonts w:ascii="Book Antiqua" w:hAnsi="Book Antiqua"/>
        </w:rPr>
        <w:t>(supra)</w:t>
      </w:r>
      <w:r w:rsidR="00671D5A">
        <w:rPr>
          <w:rFonts w:ascii="Book Antiqua" w:hAnsi="Book Antiqua"/>
        </w:rPr>
        <w:t xml:space="preserve"> </w:t>
      </w:r>
      <w:r w:rsidR="00B542E2">
        <w:rPr>
          <w:rFonts w:ascii="Book Antiqua" w:hAnsi="Book Antiqua"/>
        </w:rPr>
        <w:t>at [14-15].</w:t>
      </w:r>
    </w:p>
    <w:p w:rsidR="00B542E2" w:rsidRPr="00D1693E" w:rsidRDefault="00B542E2" w:rsidP="00D1693E">
      <w:pPr>
        <w:pStyle w:val="ListParagraph"/>
        <w:rPr>
          <w:rFonts w:ascii="Book Antiqua" w:hAnsi="Book Antiqua"/>
        </w:rPr>
      </w:pPr>
    </w:p>
    <w:p w:rsidR="00B159A1" w:rsidRPr="00B159A1" w:rsidRDefault="00B542E2" w:rsidP="00D1693E">
      <w:pPr>
        <w:pStyle w:val="ListParagraph"/>
        <w:numPr>
          <w:ilvl w:val="0"/>
          <w:numId w:val="1"/>
        </w:numPr>
        <w:jc w:val="both"/>
        <w:rPr>
          <w:rFonts w:ascii="Book Antiqua" w:hAnsi="Book Antiqua" w:cs="Arial"/>
          <w:bCs/>
          <w:lang w:val="en-US"/>
        </w:rPr>
      </w:pPr>
      <w:r>
        <w:rPr>
          <w:rFonts w:ascii="Book Antiqua" w:hAnsi="Book Antiqua"/>
        </w:rPr>
        <w:t>However, this is a case involving a medium o</w:t>
      </w:r>
      <w:r w:rsidR="00671D5A">
        <w:rPr>
          <w:rFonts w:ascii="Book Antiqua" w:hAnsi="Book Antiqua"/>
        </w:rPr>
        <w:t>ffender.</w:t>
      </w:r>
      <w:r>
        <w:rPr>
          <w:rFonts w:ascii="Book Antiqua" w:hAnsi="Book Antiqua"/>
        </w:rPr>
        <w:t xml:space="preserve">  I have therefore gone on to consider whether</w:t>
      </w:r>
      <w:r w:rsidR="003C2C56">
        <w:rPr>
          <w:rFonts w:ascii="Book Antiqua" w:hAnsi="Book Antiqua"/>
        </w:rPr>
        <w:t xml:space="preserve"> the nature and extent of the public interest and its relevant statutory underpinning</w:t>
      </w:r>
      <w:r>
        <w:rPr>
          <w:rFonts w:ascii="Book Antiqua" w:hAnsi="Book Antiqua"/>
        </w:rPr>
        <w:t xml:space="preserve"> is such </w:t>
      </w:r>
      <w:r w:rsidR="003C2C56">
        <w:rPr>
          <w:rFonts w:ascii="Book Antiqua" w:hAnsi="Book Antiqua"/>
        </w:rPr>
        <w:t xml:space="preserve">that </w:t>
      </w:r>
      <w:r>
        <w:rPr>
          <w:rFonts w:ascii="Book Antiqua" w:hAnsi="Book Antiqua"/>
        </w:rPr>
        <w:t xml:space="preserve">Mr </w:t>
      </w:r>
      <w:r w:rsidR="001B4BAE">
        <w:rPr>
          <w:rFonts w:ascii="Book Antiqua" w:hAnsi="Book Antiqua"/>
        </w:rPr>
        <w:t>[D]</w:t>
      </w:r>
      <w:r>
        <w:rPr>
          <w:rFonts w:ascii="Book Antiqua" w:hAnsi="Book Antiqua"/>
        </w:rPr>
        <w:t>’s</w:t>
      </w:r>
      <w:r w:rsidR="003C2C56">
        <w:rPr>
          <w:rFonts w:ascii="Book Antiqua" w:hAnsi="Book Antiqua"/>
        </w:rPr>
        <w:t xml:space="preserve"> deportation would be a disproportionate breach of Article 8</w:t>
      </w:r>
      <w:r w:rsidR="00671D5A">
        <w:rPr>
          <w:rFonts w:ascii="Book Antiqua" w:hAnsi="Book Antiqua"/>
        </w:rPr>
        <w:t xml:space="preserve"> i.e. on the basis that section 117</w:t>
      </w:r>
      <w:proofErr w:type="gramStart"/>
      <w:r w:rsidR="00671D5A">
        <w:rPr>
          <w:rFonts w:ascii="Book Antiqua" w:hAnsi="Book Antiqua"/>
        </w:rPr>
        <w:t>C(</w:t>
      </w:r>
      <w:proofErr w:type="gramEnd"/>
      <w:r w:rsidR="00671D5A">
        <w:rPr>
          <w:rFonts w:ascii="Book Antiqua" w:hAnsi="Book Antiqua"/>
        </w:rPr>
        <w:t xml:space="preserve">6) does not necessarily produce a final result.  I have already decided that Mr </w:t>
      </w:r>
      <w:r w:rsidR="001B4BAE">
        <w:rPr>
          <w:rFonts w:ascii="Book Antiqua" w:hAnsi="Book Antiqua"/>
        </w:rPr>
        <w:t>[D]</w:t>
      </w:r>
      <w:r>
        <w:rPr>
          <w:rFonts w:ascii="Book Antiqua" w:hAnsi="Book Antiqua"/>
        </w:rPr>
        <w:t xml:space="preserve"> does not meet the demanding tests in sections 117</w:t>
      </w:r>
      <w:proofErr w:type="gramStart"/>
      <w:r>
        <w:rPr>
          <w:rFonts w:ascii="Book Antiqua" w:hAnsi="Book Antiqua"/>
        </w:rPr>
        <w:t>C(</w:t>
      </w:r>
      <w:proofErr w:type="gramEnd"/>
      <w:r>
        <w:rPr>
          <w:rFonts w:ascii="Book Antiqua" w:hAnsi="Book Antiqua"/>
        </w:rPr>
        <w:t xml:space="preserve">3) to (6).  Notwithstanding, his rehabilitation thus far, there remains a strong public interest in his deportation.  This is not outweighed by the interference with his private and family life.  For the reasons I have already provided, Mr </w:t>
      </w:r>
      <w:r w:rsidR="001B4BAE">
        <w:rPr>
          <w:rFonts w:ascii="Book Antiqua" w:hAnsi="Book Antiqua"/>
        </w:rPr>
        <w:t>[D]</w:t>
      </w:r>
      <w:r>
        <w:rPr>
          <w:rFonts w:ascii="Book Antiqua" w:hAnsi="Book Antiqua"/>
        </w:rPr>
        <w:t xml:space="preserve"> and his family members may find his deportation difficult but they will be able to cope and adjust in all the circumstances of the case.</w:t>
      </w:r>
    </w:p>
    <w:p w:rsidR="007E0DE4" w:rsidRPr="00A26204" w:rsidRDefault="007E0DE4" w:rsidP="00A26204">
      <w:pPr>
        <w:spacing w:before="240"/>
        <w:jc w:val="both"/>
        <w:rPr>
          <w:rFonts w:ascii="Book Antiqua" w:hAnsi="Book Antiqua" w:cs="Arial"/>
          <w:b/>
        </w:rPr>
      </w:pPr>
      <w:r w:rsidRPr="00A26204">
        <w:rPr>
          <w:rFonts w:ascii="Book Antiqua" w:hAnsi="Book Antiqua" w:cs="Arial"/>
          <w:b/>
        </w:rPr>
        <w:t>Decision</w:t>
      </w:r>
    </w:p>
    <w:p w:rsidR="009D0645" w:rsidRDefault="00B159A1" w:rsidP="00D1693E">
      <w:pPr>
        <w:pStyle w:val="ListParagraph"/>
        <w:numPr>
          <w:ilvl w:val="0"/>
          <w:numId w:val="1"/>
        </w:numPr>
        <w:spacing w:before="240"/>
        <w:jc w:val="both"/>
        <w:rPr>
          <w:rFonts w:ascii="Book Antiqua" w:hAnsi="Book Antiqua"/>
        </w:rPr>
      </w:pPr>
      <w:r>
        <w:rPr>
          <w:rFonts w:ascii="Book Antiqua" w:hAnsi="Book Antiqua" w:cs="Arial"/>
        </w:rPr>
        <w:t>I remake the decision by dismissing the appeal</w:t>
      </w:r>
      <w:r w:rsidR="003C2C56">
        <w:rPr>
          <w:rFonts w:ascii="Book Antiqua" w:hAnsi="Book Antiqua" w:cs="Arial"/>
        </w:rPr>
        <w:t xml:space="preserve"> on Article 8 grounds</w:t>
      </w:r>
      <w:r>
        <w:rPr>
          <w:rFonts w:ascii="Book Antiqua" w:hAnsi="Book Antiqua" w:cs="Arial"/>
        </w:rPr>
        <w:t>.</w:t>
      </w:r>
      <w:r>
        <w:rPr>
          <w:rFonts w:ascii="Book Antiqua" w:hAnsi="Book Antiqua"/>
        </w:rPr>
        <w:t xml:space="preserve"> </w:t>
      </w:r>
    </w:p>
    <w:p w:rsidR="00293460" w:rsidRDefault="00293460" w:rsidP="0020384A">
      <w:pPr>
        <w:tabs>
          <w:tab w:val="left" w:pos="2520"/>
        </w:tabs>
        <w:jc w:val="both"/>
        <w:rPr>
          <w:rFonts w:ascii="Book Antiqua" w:hAnsi="Book Antiqua" w:cs="Arial"/>
        </w:rPr>
      </w:pPr>
    </w:p>
    <w:p w:rsidR="00A70115" w:rsidRDefault="00A70115" w:rsidP="0020384A">
      <w:pPr>
        <w:tabs>
          <w:tab w:val="left" w:pos="2520"/>
        </w:tabs>
        <w:jc w:val="both"/>
        <w:rPr>
          <w:rFonts w:ascii="Book Antiqua" w:hAnsi="Book Antiqua" w:cs="Arial"/>
        </w:rPr>
      </w:pPr>
    </w:p>
    <w:p w:rsidR="0020384A" w:rsidRDefault="0020384A" w:rsidP="0020384A">
      <w:pPr>
        <w:tabs>
          <w:tab w:val="left" w:pos="2520"/>
        </w:tabs>
        <w:jc w:val="both"/>
        <w:rPr>
          <w:rFonts w:ascii="Book Antiqua" w:hAnsi="Book Antiqua" w:cs="Arial"/>
        </w:rPr>
      </w:pPr>
      <w:r>
        <w:rPr>
          <w:rFonts w:ascii="Book Antiqua" w:hAnsi="Book Antiqua" w:cs="Arial"/>
        </w:rPr>
        <w:t xml:space="preserve">Signed:  </w:t>
      </w:r>
    </w:p>
    <w:p w:rsidR="0020384A" w:rsidRPr="002F1BE4" w:rsidRDefault="00A97E1E" w:rsidP="0020384A">
      <w:pPr>
        <w:tabs>
          <w:tab w:val="left" w:pos="2520"/>
        </w:tabs>
        <w:jc w:val="both"/>
        <w:rPr>
          <w:rFonts w:ascii="Book Antiqua" w:hAnsi="Book Antiqua" w:cs="Arial"/>
          <w:b/>
        </w:rPr>
      </w:pPr>
      <w:r w:rsidRPr="002F1BE4">
        <w:rPr>
          <w:rFonts w:ascii="Book Antiqua" w:hAnsi="Book Antiqua" w:cs="Arial"/>
          <w:b/>
        </w:rPr>
        <w:t xml:space="preserve">Ms </w:t>
      </w:r>
      <w:r w:rsidR="0020384A" w:rsidRPr="002F1BE4">
        <w:rPr>
          <w:rFonts w:ascii="Book Antiqua" w:hAnsi="Book Antiqua" w:cs="Arial"/>
          <w:b/>
        </w:rPr>
        <w:t xml:space="preserve">M. </w:t>
      </w:r>
      <w:proofErr w:type="spellStart"/>
      <w:r w:rsidR="0020384A" w:rsidRPr="002F1BE4">
        <w:rPr>
          <w:rFonts w:ascii="Book Antiqua" w:hAnsi="Book Antiqua" w:cs="Arial"/>
          <w:b/>
        </w:rPr>
        <w:t>Plimmer</w:t>
      </w:r>
      <w:proofErr w:type="spellEnd"/>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r w:rsidR="0020384A" w:rsidRPr="002F1BE4">
        <w:rPr>
          <w:rFonts w:ascii="Book Antiqua" w:hAnsi="Book Antiqua" w:cs="Arial"/>
          <w:b/>
        </w:rPr>
        <w:tab/>
      </w:r>
    </w:p>
    <w:p w:rsidR="0020384A" w:rsidRPr="002F1BE4" w:rsidRDefault="0020384A" w:rsidP="0020384A">
      <w:pPr>
        <w:tabs>
          <w:tab w:val="left" w:pos="2520"/>
        </w:tabs>
        <w:jc w:val="both"/>
        <w:rPr>
          <w:rFonts w:ascii="Book Antiqua" w:hAnsi="Book Antiqua" w:cs="Arial"/>
          <w:b/>
        </w:rPr>
      </w:pPr>
      <w:r w:rsidRPr="002F1BE4">
        <w:rPr>
          <w:rFonts w:ascii="Book Antiqua" w:hAnsi="Book Antiqua" w:cs="Arial"/>
          <w:b/>
        </w:rPr>
        <w:t>Judge of the Upper Tribunal</w:t>
      </w:r>
    </w:p>
    <w:p w:rsidR="0020384A" w:rsidRDefault="0020384A" w:rsidP="0020384A">
      <w:pPr>
        <w:tabs>
          <w:tab w:val="left" w:pos="2520"/>
        </w:tabs>
        <w:jc w:val="both"/>
        <w:rPr>
          <w:rFonts w:ascii="Book Antiqua" w:hAnsi="Book Antiqua" w:cs="Arial"/>
        </w:rPr>
      </w:pPr>
    </w:p>
    <w:p w:rsidR="0020384A" w:rsidRPr="002F1BE4" w:rsidRDefault="0020384A" w:rsidP="0020384A">
      <w:pPr>
        <w:tabs>
          <w:tab w:val="left" w:pos="2520"/>
        </w:tabs>
        <w:jc w:val="both"/>
        <w:rPr>
          <w:rFonts w:ascii="Book Antiqua" w:hAnsi="Book Antiqua" w:cs="Arial"/>
          <w:b/>
        </w:rPr>
      </w:pPr>
      <w:r>
        <w:rPr>
          <w:rFonts w:ascii="Book Antiqua" w:hAnsi="Book Antiqua" w:cs="Arial"/>
        </w:rPr>
        <w:t>Date:</w:t>
      </w:r>
    </w:p>
    <w:p w:rsidR="00422026" w:rsidRPr="002F1BE4" w:rsidRDefault="002D0356" w:rsidP="0020384A">
      <w:pPr>
        <w:tabs>
          <w:tab w:val="left" w:pos="2520"/>
        </w:tabs>
        <w:jc w:val="both"/>
        <w:rPr>
          <w:rFonts w:ascii="Book Antiqua" w:hAnsi="Book Antiqua" w:cs="Arial"/>
          <w:b/>
        </w:rPr>
      </w:pPr>
      <w:r>
        <w:rPr>
          <w:rFonts w:ascii="Book Antiqua" w:hAnsi="Book Antiqua" w:cs="Arial"/>
          <w:b/>
        </w:rPr>
        <w:t>1</w:t>
      </w:r>
      <w:r w:rsidR="007237D8">
        <w:rPr>
          <w:rFonts w:ascii="Book Antiqua" w:hAnsi="Book Antiqua" w:cs="Arial"/>
          <w:b/>
        </w:rPr>
        <w:t>2</w:t>
      </w:r>
      <w:r w:rsidR="00B159A1">
        <w:rPr>
          <w:rFonts w:ascii="Book Antiqua" w:hAnsi="Book Antiqua" w:cs="Arial"/>
          <w:b/>
        </w:rPr>
        <w:t xml:space="preserve"> July</w:t>
      </w:r>
      <w:r w:rsidR="0033168C" w:rsidRPr="002F1BE4">
        <w:rPr>
          <w:rFonts w:ascii="Book Antiqua" w:hAnsi="Book Antiqua" w:cs="Arial"/>
          <w:b/>
        </w:rPr>
        <w:t xml:space="preserve"> </w:t>
      </w:r>
      <w:r w:rsidR="00B159A1">
        <w:rPr>
          <w:rFonts w:ascii="Book Antiqua" w:hAnsi="Book Antiqua" w:cs="Arial"/>
          <w:b/>
        </w:rPr>
        <w:t>2018</w:t>
      </w:r>
    </w:p>
    <w:p w:rsidR="00422026" w:rsidRDefault="00422026" w:rsidP="0020384A">
      <w:pPr>
        <w:tabs>
          <w:tab w:val="left" w:pos="2520"/>
        </w:tabs>
        <w:jc w:val="both"/>
        <w:rPr>
          <w:rFonts w:ascii="Book Antiqua" w:hAnsi="Book Antiqua" w:cs="Arial"/>
        </w:rPr>
      </w:pPr>
    </w:p>
    <w:sectPr w:rsidR="00422026" w:rsidSect="001332BC">
      <w:headerReference w:type="default" r:id="rId18"/>
      <w:footerReference w:type="even" r:id="rId19"/>
      <w:footerReference w:type="default" r:id="rId20"/>
      <w:footerReference w:type="first" r:id="rId2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D5C" w:rsidRDefault="00711D5C">
      <w:r>
        <w:separator/>
      </w:r>
    </w:p>
  </w:endnote>
  <w:endnote w:type="continuationSeparator" w:id="0">
    <w:p w:rsidR="00711D5C" w:rsidRDefault="00711D5C">
      <w:r>
        <w:continuationSeparator/>
      </w:r>
    </w:p>
  </w:endnote>
  <w:endnote w:type="continuationNotice" w:id="1">
    <w:p w:rsidR="00711D5C" w:rsidRDefault="00711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2E2" w:rsidRDefault="00B542E2" w:rsidP="002038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42E2" w:rsidRDefault="00B542E2" w:rsidP="002038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BC" w:rsidRPr="00C9549C" w:rsidRDefault="001332BC">
    <w:pPr>
      <w:pStyle w:val="Footer"/>
      <w:jc w:val="center"/>
      <w:rPr>
        <w:rFonts w:ascii="Book Antiqua" w:hAnsi="Book Antiqua"/>
        <w:caps/>
        <w:noProof/>
        <w:sz w:val="20"/>
        <w:szCs w:val="20"/>
      </w:rPr>
    </w:pPr>
    <w:r w:rsidRPr="00C9549C">
      <w:rPr>
        <w:rFonts w:ascii="Book Antiqua" w:hAnsi="Book Antiqua"/>
        <w:caps/>
        <w:sz w:val="20"/>
        <w:szCs w:val="20"/>
      </w:rPr>
      <w:fldChar w:fldCharType="begin"/>
    </w:r>
    <w:r w:rsidRPr="00C9549C">
      <w:rPr>
        <w:rFonts w:ascii="Book Antiqua" w:hAnsi="Book Antiqua"/>
        <w:caps/>
        <w:sz w:val="20"/>
        <w:szCs w:val="20"/>
      </w:rPr>
      <w:instrText xml:space="preserve"> PAGE   \* MERGEFORMAT </w:instrText>
    </w:r>
    <w:r w:rsidRPr="00C9549C">
      <w:rPr>
        <w:rFonts w:ascii="Book Antiqua" w:hAnsi="Book Antiqua"/>
        <w:caps/>
        <w:sz w:val="20"/>
        <w:szCs w:val="20"/>
      </w:rPr>
      <w:fldChar w:fldCharType="separate"/>
    </w:r>
    <w:r w:rsidR="00730DF8">
      <w:rPr>
        <w:rFonts w:ascii="Book Antiqua" w:hAnsi="Book Antiqua"/>
        <w:caps/>
        <w:noProof/>
        <w:sz w:val="20"/>
        <w:szCs w:val="20"/>
      </w:rPr>
      <w:t>13</w:t>
    </w:r>
    <w:r w:rsidRPr="00C9549C">
      <w:rPr>
        <w:rFonts w:ascii="Book Antiqua" w:hAnsi="Book Antiqua"/>
        <w:caps/>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BC" w:rsidRPr="00D65CD4" w:rsidRDefault="001332BC" w:rsidP="001332BC">
    <w:pPr>
      <w:jc w:val="center"/>
      <w:rPr>
        <w:rFonts w:ascii="Book Antiqua" w:hAnsi="Book Antiqua" w:cs="Arial"/>
        <w:b/>
      </w:rPr>
    </w:pPr>
    <w:bookmarkStart w:id="12" w:name="_Hlk511652932"/>
    <w:r w:rsidRPr="00D65CD4">
      <w:rPr>
        <w:rFonts w:ascii="Book Antiqua" w:hAnsi="Book Antiqua" w:cs="Arial"/>
        <w:b/>
        <w:spacing w:val="-6"/>
      </w:rPr>
      <w:t>©</w:t>
    </w:r>
    <w:r w:rsidR="00C9549C">
      <w:rPr>
        <w:rFonts w:ascii="Book Antiqua" w:hAnsi="Book Antiqua" w:cs="Arial"/>
        <w:b/>
      </w:rPr>
      <w:t xml:space="preserve"> CROWN COPYRIGHT 2018</w:t>
    </w:r>
  </w:p>
  <w:bookmarkEnd w:id="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D5C" w:rsidRDefault="00711D5C">
      <w:r>
        <w:separator/>
      </w:r>
    </w:p>
  </w:footnote>
  <w:footnote w:type="continuationSeparator" w:id="0">
    <w:p w:rsidR="00711D5C" w:rsidRDefault="00711D5C">
      <w:r>
        <w:continuationSeparator/>
      </w:r>
    </w:p>
  </w:footnote>
  <w:footnote w:type="continuationNotice" w:id="1">
    <w:p w:rsidR="00711D5C" w:rsidRDefault="00711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49C" w:rsidRPr="00C9549C" w:rsidRDefault="00C9549C" w:rsidP="00C9549C">
    <w:pPr>
      <w:pStyle w:val="Header"/>
      <w:jc w:val="right"/>
      <w:rPr>
        <w:sz w:val="20"/>
        <w:szCs w:val="20"/>
      </w:rPr>
    </w:pPr>
    <w:r w:rsidRPr="00C9549C">
      <w:rPr>
        <w:rFonts w:ascii="Book Antiqua" w:hAnsi="Book Antiqua" w:cs="Arial"/>
        <w:color w:val="000000"/>
        <w:sz w:val="20"/>
        <w:szCs w:val="20"/>
      </w:rPr>
      <w:t xml:space="preserve">Appeal Number: </w:t>
    </w:r>
    <w:r w:rsidRPr="00C9549C">
      <w:rPr>
        <w:rFonts w:ascii="Book Antiqua" w:hAnsi="Book Antiqua" w:cs="Arial"/>
        <w:caps/>
        <w:color w:val="000000"/>
        <w:sz w:val="20"/>
        <w:szCs w:val="20"/>
      </w:rPr>
      <w:t>RP/00157/2016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1D99"/>
    <w:multiLevelType w:val="hybridMultilevel"/>
    <w:tmpl w:val="57524E60"/>
    <w:lvl w:ilvl="0" w:tplc="33022FBC">
      <w:start w:val="1"/>
      <w:numFmt w:val="decimal"/>
      <w:lvlText w:val="%1."/>
      <w:lvlJc w:val="left"/>
      <w:pPr>
        <w:ind w:left="1280" w:hanging="5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428C2"/>
    <w:multiLevelType w:val="multilevel"/>
    <w:tmpl w:val="C3F6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14080"/>
    <w:multiLevelType w:val="hybridMultilevel"/>
    <w:tmpl w:val="20663344"/>
    <w:lvl w:ilvl="0" w:tplc="FF80957C">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52455B01"/>
    <w:multiLevelType w:val="hybridMultilevel"/>
    <w:tmpl w:val="08B2FD2C"/>
    <w:lvl w:ilvl="0" w:tplc="0809000F">
      <w:start w:val="1"/>
      <w:numFmt w:val="decimal"/>
      <w:lvlText w:val="%1."/>
      <w:lvlJc w:val="left"/>
      <w:pPr>
        <w:ind w:left="1280" w:hanging="5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014BB5"/>
    <w:multiLevelType w:val="hybridMultilevel"/>
    <w:tmpl w:val="32AA0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20215E"/>
    <w:multiLevelType w:val="hybridMultilevel"/>
    <w:tmpl w:val="815063D8"/>
    <w:lvl w:ilvl="0" w:tplc="8C4CB092">
      <w:start w:val="1"/>
      <w:numFmt w:val="lowerRoman"/>
      <w:lvlText w:val="(%1)"/>
      <w:lvlJc w:val="left"/>
      <w:pPr>
        <w:ind w:left="2000" w:hanging="720"/>
      </w:pPr>
      <w:rPr>
        <w:rFonts w:hint="default"/>
      </w:rPr>
    </w:lvl>
    <w:lvl w:ilvl="1" w:tplc="08090019" w:tentative="1">
      <w:start w:val="1"/>
      <w:numFmt w:val="lowerLetter"/>
      <w:lvlText w:val="%2."/>
      <w:lvlJc w:val="left"/>
      <w:pPr>
        <w:ind w:left="2360" w:hanging="360"/>
      </w:pPr>
    </w:lvl>
    <w:lvl w:ilvl="2" w:tplc="0809001B" w:tentative="1">
      <w:start w:val="1"/>
      <w:numFmt w:val="lowerRoman"/>
      <w:lvlText w:val="%3."/>
      <w:lvlJc w:val="right"/>
      <w:pPr>
        <w:ind w:left="3080" w:hanging="180"/>
      </w:pPr>
    </w:lvl>
    <w:lvl w:ilvl="3" w:tplc="0809000F" w:tentative="1">
      <w:start w:val="1"/>
      <w:numFmt w:val="decimal"/>
      <w:lvlText w:val="%4."/>
      <w:lvlJc w:val="left"/>
      <w:pPr>
        <w:ind w:left="3800" w:hanging="360"/>
      </w:pPr>
    </w:lvl>
    <w:lvl w:ilvl="4" w:tplc="08090019" w:tentative="1">
      <w:start w:val="1"/>
      <w:numFmt w:val="lowerLetter"/>
      <w:lvlText w:val="%5."/>
      <w:lvlJc w:val="left"/>
      <w:pPr>
        <w:ind w:left="4520" w:hanging="360"/>
      </w:pPr>
    </w:lvl>
    <w:lvl w:ilvl="5" w:tplc="0809001B" w:tentative="1">
      <w:start w:val="1"/>
      <w:numFmt w:val="lowerRoman"/>
      <w:lvlText w:val="%6."/>
      <w:lvlJc w:val="right"/>
      <w:pPr>
        <w:ind w:left="5240" w:hanging="180"/>
      </w:pPr>
    </w:lvl>
    <w:lvl w:ilvl="6" w:tplc="0809000F" w:tentative="1">
      <w:start w:val="1"/>
      <w:numFmt w:val="decimal"/>
      <w:lvlText w:val="%7."/>
      <w:lvlJc w:val="left"/>
      <w:pPr>
        <w:ind w:left="5960" w:hanging="360"/>
      </w:pPr>
    </w:lvl>
    <w:lvl w:ilvl="7" w:tplc="08090019" w:tentative="1">
      <w:start w:val="1"/>
      <w:numFmt w:val="lowerLetter"/>
      <w:lvlText w:val="%8."/>
      <w:lvlJc w:val="left"/>
      <w:pPr>
        <w:ind w:left="6680" w:hanging="360"/>
      </w:pPr>
    </w:lvl>
    <w:lvl w:ilvl="8" w:tplc="0809001B" w:tentative="1">
      <w:start w:val="1"/>
      <w:numFmt w:val="lowerRoman"/>
      <w:lvlText w:val="%9."/>
      <w:lvlJc w:val="right"/>
      <w:pPr>
        <w:ind w:left="7400" w:hanging="180"/>
      </w:pPr>
    </w:lvl>
  </w:abstractNum>
  <w:num w:numId="1">
    <w:abstractNumId w:val="3"/>
  </w:num>
  <w:num w:numId="2">
    <w:abstractNumId w:val="2"/>
  </w:num>
  <w:num w:numId="3">
    <w:abstractNumId w:val="5"/>
  </w:num>
  <w:num w:numId="4">
    <w:abstractNumId w:val="0"/>
  </w:num>
  <w:num w:numId="5">
    <w:abstractNumId w:val="4"/>
  </w:num>
  <w:num w:numId="6">
    <w:abstractNumId w:val="1"/>
    <w:lvlOverride w:ilvl="0">
      <w:startOverride w:val="4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D"/>
    <w:rsid w:val="00001D5A"/>
    <w:rsid w:val="00002CDC"/>
    <w:rsid w:val="00007D1A"/>
    <w:rsid w:val="00020E4A"/>
    <w:rsid w:val="0002677B"/>
    <w:rsid w:val="00031C92"/>
    <w:rsid w:val="00055254"/>
    <w:rsid w:val="000626B1"/>
    <w:rsid w:val="00062B80"/>
    <w:rsid w:val="00065F17"/>
    <w:rsid w:val="00080593"/>
    <w:rsid w:val="00084E08"/>
    <w:rsid w:val="000A2E4A"/>
    <w:rsid w:val="000A304D"/>
    <w:rsid w:val="000D1B32"/>
    <w:rsid w:val="000D234A"/>
    <w:rsid w:val="000D6A19"/>
    <w:rsid w:val="000E268F"/>
    <w:rsid w:val="000E2F77"/>
    <w:rsid w:val="000E455A"/>
    <w:rsid w:val="000E4816"/>
    <w:rsid w:val="000E6E1C"/>
    <w:rsid w:val="00101F07"/>
    <w:rsid w:val="00106437"/>
    <w:rsid w:val="001123AF"/>
    <w:rsid w:val="001172B1"/>
    <w:rsid w:val="00117B45"/>
    <w:rsid w:val="00120D9D"/>
    <w:rsid w:val="001332BC"/>
    <w:rsid w:val="00135AAC"/>
    <w:rsid w:val="00144215"/>
    <w:rsid w:val="001460A2"/>
    <w:rsid w:val="00154117"/>
    <w:rsid w:val="00162BFC"/>
    <w:rsid w:val="00163576"/>
    <w:rsid w:val="001663CB"/>
    <w:rsid w:val="00184F1A"/>
    <w:rsid w:val="00191BB9"/>
    <w:rsid w:val="00194B97"/>
    <w:rsid w:val="001A02F4"/>
    <w:rsid w:val="001A147E"/>
    <w:rsid w:val="001A5E83"/>
    <w:rsid w:val="001B279E"/>
    <w:rsid w:val="001B4BAE"/>
    <w:rsid w:val="001B50F6"/>
    <w:rsid w:val="001B55EB"/>
    <w:rsid w:val="001C7D61"/>
    <w:rsid w:val="001D12D8"/>
    <w:rsid w:val="001F784E"/>
    <w:rsid w:val="002032B1"/>
    <w:rsid w:val="0020384A"/>
    <w:rsid w:val="00205158"/>
    <w:rsid w:val="0022299D"/>
    <w:rsid w:val="00252611"/>
    <w:rsid w:val="00254206"/>
    <w:rsid w:val="00260F64"/>
    <w:rsid w:val="002679D0"/>
    <w:rsid w:val="00282E68"/>
    <w:rsid w:val="00293460"/>
    <w:rsid w:val="002B40DA"/>
    <w:rsid w:val="002B721B"/>
    <w:rsid w:val="002C289B"/>
    <w:rsid w:val="002D0356"/>
    <w:rsid w:val="002D1159"/>
    <w:rsid w:val="002D1C79"/>
    <w:rsid w:val="002D4D8B"/>
    <w:rsid w:val="002E3DA8"/>
    <w:rsid w:val="002F0FF2"/>
    <w:rsid w:val="002F1BE4"/>
    <w:rsid w:val="002F2A2E"/>
    <w:rsid w:val="002F3D38"/>
    <w:rsid w:val="002F40D5"/>
    <w:rsid w:val="002F550D"/>
    <w:rsid w:val="00302067"/>
    <w:rsid w:val="00302FC5"/>
    <w:rsid w:val="00306A04"/>
    <w:rsid w:val="00306F85"/>
    <w:rsid w:val="0030720E"/>
    <w:rsid w:val="00315D2B"/>
    <w:rsid w:val="003167B8"/>
    <w:rsid w:val="00320263"/>
    <w:rsid w:val="00326537"/>
    <w:rsid w:val="00330857"/>
    <w:rsid w:val="003308BE"/>
    <w:rsid w:val="0033168C"/>
    <w:rsid w:val="00353104"/>
    <w:rsid w:val="0035435C"/>
    <w:rsid w:val="00363638"/>
    <w:rsid w:val="00365D4D"/>
    <w:rsid w:val="00372989"/>
    <w:rsid w:val="00375ECA"/>
    <w:rsid w:val="00376707"/>
    <w:rsid w:val="00386D42"/>
    <w:rsid w:val="00391D32"/>
    <w:rsid w:val="00397B57"/>
    <w:rsid w:val="003A11FA"/>
    <w:rsid w:val="003A3C66"/>
    <w:rsid w:val="003B4955"/>
    <w:rsid w:val="003C2C56"/>
    <w:rsid w:val="003C7761"/>
    <w:rsid w:val="003D2B15"/>
    <w:rsid w:val="003D6C2B"/>
    <w:rsid w:val="003D6ED4"/>
    <w:rsid w:val="003E009A"/>
    <w:rsid w:val="003E7C2B"/>
    <w:rsid w:val="003F1E76"/>
    <w:rsid w:val="003F609F"/>
    <w:rsid w:val="003F651F"/>
    <w:rsid w:val="00415485"/>
    <w:rsid w:val="004212F8"/>
    <w:rsid w:val="00422026"/>
    <w:rsid w:val="004236E7"/>
    <w:rsid w:val="00426D78"/>
    <w:rsid w:val="004303D6"/>
    <w:rsid w:val="00437A3E"/>
    <w:rsid w:val="00440222"/>
    <w:rsid w:val="004450BD"/>
    <w:rsid w:val="00453F30"/>
    <w:rsid w:val="0045651B"/>
    <w:rsid w:val="00457BFE"/>
    <w:rsid w:val="00462D78"/>
    <w:rsid w:val="00464C1B"/>
    <w:rsid w:val="004707A9"/>
    <w:rsid w:val="00475102"/>
    <w:rsid w:val="004847B6"/>
    <w:rsid w:val="00491A04"/>
    <w:rsid w:val="00493D11"/>
    <w:rsid w:val="004949F7"/>
    <w:rsid w:val="004A00BA"/>
    <w:rsid w:val="004A0D4B"/>
    <w:rsid w:val="004B3016"/>
    <w:rsid w:val="004B456A"/>
    <w:rsid w:val="004B6B5F"/>
    <w:rsid w:val="004C20BA"/>
    <w:rsid w:val="004D1C82"/>
    <w:rsid w:val="004E5DCC"/>
    <w:rsid w:val="004F2B14"/>
    <w:rsid w:val="004F6AC0"/>
    <w:rsid w:val="004F79E6"/>
    <w:rsid w:val="00502410"/>
    <w:rsid w:val="005042B3"/>
    <w:rsid w:val="00512344"/>
    <w:rsid w:val="00514018"/>
    <w:rsid w:val="005143E8"/>
    <w:rsid w:val="00515436"/>
    <w:rsid w:val="005219A3"/>
    <w:rsid w:val="00522C7F"/>
    <w:rsid w:val="00524512"/>
    <w:rsid w:val="00526B14"/>
    <w:rsid w:val="00544DCB"/>
    <w:rsid w:val="005465A6"/>
    <w:rsid w:val="00546779"/>
    <w:rsid w:val="00547ACD"/>
    <w:rsid w:val="00586CA2"/>
    <w:rsid w:val="005871AE"/>
    <w:rsid w:val="0059480A"/>
    <w:rsid w:val="0059549B"/>
    <w:rsid w:val="00596522"/>
    <w:rsid w:val="005B1137"/>
    <w:rsid w:val="005B4EA6"/>
    <w:rsid w:val="005B6B5D"/>
    <w:rsid w:val="005C2200"/>
    <w:rsid w:val="005D0356"/>
    <w:rsid w:val="005D64F6"/>
    <w:rsid w:val="005E1F7E"/>
    <w:rsid w:val="005E52D9"/>
    <w:rsid w:val="005F52C8"/>
    <w:rsid w:val="00601E94"/>
    <w:rsid w:val="00617C2B"/>
    <w:rsid w:val="00621816"/>
    <w:rsid w:val="00626F32"/>
    <w:rsid w:val="00634F21"/>
    <w:rsid w:val="00642FB9"/>
    <w:rsid w:val="00643F41"/>
    <w:rsid w:val="006453F7"/>
    <w:rsid w:val="00646941"/>
    <w:rsid w:val="0064787C"/>
    <w:rsid w:val="00660AEC"/>
    <w:rsid w:val="006627A5"/>
    <w:rsid w:val="00663F87"/>
    <w:rsid w:val="006669E1"/>
    <w:rsid w:val="00670074"/>
    <w:rsid w:val="006714F8"/>
    <w:rsid w:val="00671D5A"/>
    <w:rsid w:val="0067230A"/>
    <w:rsid w:val="00673081"/>
    <w:rsid w:val="00682BDE"/>
    <w:rsid w:val="006845EA"/>
    <w:rsid w:val="006874BA"/>
    <w:rsid w:val="006A1DD2"/>
    <w:rsid w:val="006A7630"/>
    <w:rsid w:val="006B668B"/>
    <w:rsid w:val="006C0588"/>
    <w:rsid w:val="006C4A45"/>
    <w:rsid w:val="006D084E"/>
    <w:rsid w:val="006D357B"/>
    <w:rsid w:val="006E1740"/>
    <w:rsid w:val="006E3B56"/>
    <w:rsid w:val="006F2619"/>
    <w:rsid w:val="00701EC6"/>
    <w:rsid w:val="00707F59"/>
    <w:rsid w:val="00711D5C"/>
    <w:rsid w:val="00711E63"/>
    <w:rsid w:val="00714704"/>
    <w:rsid w:val="00720D7D"/>
    <w:rsid w:val="0072295F"/>
    <w:rsid w:val="007237D8"/>
    <w:rsid w:val="00730DF8"/>
    <w:rsid w:val="00731B3D"/>
    <w:rsid w:val="0073796D"/>
    <w:rsid w:val="00737C0D"/>
    <w:rsid w:val="007413E2"/>
    <w:rsid w:val="00751AB0"/>
    <w:rsid w:val="00754840"/>
    <w:rsid w:val="00767F2B"/>
    <w:rsid w:val="007718B5"/>
    <w:rsid w:val="00772044"/>
    <w:rsid w:val="00781DB2"/>
    <w:rsid w:val="007863DA"/>
    <w:rsid w:val="007873A0"/>
    <w:rsid w:val="00793C40"/>
    <w:rsid w:val="00795618"/>
    <w:rsid w:val="00795DC0"/>
    <w:rsid w:val="00796056"/>
    <w:rsid w:val="007A0337"/>
    <w:rsid w:val="007A3794"/>
    <w:rsid w:val="007A5536"/>
    <w:rsid w:val="007B07FC"/>
    <w:rsid w:val="007B1035"/>
    <w:rsid w:val="007B42E5"/>
    <w:rsid w:val="007B7213"/>
    <w:rsid w:val="007C6080"/>
    <w:rsid w:val="007C6EDE"/>
    <w:rsid w:val="007D206D"/>
    <w:rsid w:val="007E0DE4"/>
    <w:rsid w:val="007E6BBB"/>
    <w:rsid w:val="007F5CBD"/>
    <w:rsid w:val="00801B3D"/>
    <w:rsid w:val="0081666F"/>
    <w:rsid w:val="0081697B"/>
    <w:rsid w:val="00817ADC"/>
    <w:rsid w:val="00822DCF"/>
    <w:rsid w:val="00824D71"/>
    <w:rsid w:val="00825490"/>
    <w:rsid w:val="00825528"/>
    <w:rsid w:val="008260E1"/>
    <w:rsid w:val="00834E4A"/>
    <w:rsid w:val="00842C6D"/>
    <w:rsid w:val="008506C7"/>
    <w:rsid w:val="00856201"/>
    <w:rsid w:val="008562F2"/>
    <w:rsid w:val="00856A83"/>
    <w:rsid w:val="0088134B"/>
    <w:rsid w:val="0088531F"/>
    <w:rsid w:val="008A1755"/>
    <w:rsid w:val="008B05A3"/>
    <w:rsid w:val="008B1084"/>
    <w:rsid w:val="008B5273"/>
    <w:rsid w:val="008B6DF9"/>
    <w:rsid w:val="008C070A"/>
    <w:rsid w:val="008C4BFF"/>
    <w:rsid w:val="008C6CB2"/>
    <w:rsid w:val="008D2A8E"/>
    <w:rsid w:val="008E035E"/>
    <w:rsid w:val="008E1AE7"/>
    <w:rsid w:val="009071A0"/>
    <w:rsid w:val="009114D7"/>
    <w:rsid w:val="00911C43"/>
    <w:rsid w:val="009271F0"/>
    <w:rsid w:val="00927AAD"/>
    <w:rsid w:val="009303B5"/>
    <w:rsid w:val="00933390"/>
    <w:rsid w:val="00953D03"/>
    <w:rsid w:val="00955C5D"/>
    <w:rsid w:val="00963584"/>
    <w:rsid w:val="009669EB"/>
    <w:rsid w:val="009738B0"/>
    <w:rsid w:val="00975536"/>
    <w:rsid w:val="00985BDD"/>
    <w:rsid w:val="0099426F"/>
    <w:rsid w:val="00997E07"/>
    <w:rsid w:val="009A09B6"/>
    <w:rsid w:val="009A3BCB"/>
    <w:rsid w:val="009A5F92"/>
    <w:rsid w:val="009B3740"/>
    <w:rsid w:val="009C05B1"/>
    <w:rsid w:val="009C3455"/>
    <w:rsid w:val="009C68A4"/>
    <w:rsid w:val="009D0645"/>
    <w:rsid w:val="009D1FD3"/>
    <w:rsid w:val="009E60A1"/>
    <w:rsid w:val="00A02C8C"/>
    <w:rsid w:val="00A047C2"/>
    <w:rsid w:val="00A107F0"/>
    <w:rsid w:val="00A26204"/>
    <w:rsid w:val="00A27306"/>
    <w:rsid w:val="00A27C6E"/>
    <w:rsid w:val="00A31CFC"/>
    <w:rsid w:val="00A401A8"/>
    <w:rsid w:val="00A46358"/>
    <w:rsid w:val="00A57C35"/>
    <w:rsid w:val="00A6368E"/>
    <w:rsid w:val="00A70115"/>
    <w:rsid w:val="00A72F35"/>
    <w:rsid w:val="00A8664B"/>
    <w:rsid w:val="00A9231C"/>
    <w:rsid w:val="00A97E1E"/>
    <w:rsid w:val="00AB5B22"/>
    <w:rsid w:val="00AB5B6A"/>
    <w:rsid w:val="00AC0B40"/>
    <w:rsid w:val="00AD0D04"/>
    <w:rsid w:val="00AE3DC1"/>
    <w:rsid w:val="00AE40AE"/>
    <w:rsid w:val="00AE4F5D"/>
    <w:rsid w:val="00AE5209"/>
    <w:rsid w:val="00AF41AF"/>
    <w:rsid w:val="00B00197"/>
    <w:rsid w:val="00B120DE"/>
    <w:rsid w:val="00B12952"/>
    <w:rsid w:val="00B1380C"/>
    <w:rsid w:val="00B159A1"/>
    <w:rsid w:val="00B16F7F"/>
    <w:rsid w:val="00B2017A"/>
    <w:rsid w:val="00B24EC7"/>
    <w:rsid w:val="00B25DCF"/>
    <w:rsid w:val="00B32B49"/>
    <w:rsid w:val="00B34FA8"/>
    <w:rsid w:val="00B46DC6"/>
    <w:rsid w:val="00B511FB"/>
    <w:rsid w:val="00B542E2"/>
    <w:rsid w:val="00B65FC2"/>
    <w:rsid w:val="00B77CEE"/>
    <w:rsid w:val="00B906A5"/>
    <w:rsid w:val="00B9594F"/>
    <w:rsid w:val="00BA3119"/>
    <w:rsid w:val="00BB39EC"/>
    <w:rsid w:val="00BC4981"/>
    <w:rsid w:val="00BC500B"/>
    <w:rsid w:val="00BC513A"/>
    <w:rsid w:val="00BE15E7"/>
    <w:rsid w:val="00BF0E3F"/>
    <w:rsid w:val="00C12962"/>
    <w:rsid w:val="00C15884"/>
    <w:rsid w:val="00C164E9"/>
    <w:rsid w:val="00C201E8"/>
    <w:rsid w:val="00C30494"/>
    <w:rsid w:val="00C306C7"/>
    <w:rsid w:val="00C30808"/>
    <w:rsid w:val="00C35AD3"/>
    <w:rsid w:val="00C37351"/>
    <w:rsid w:val="00C44149"/>
    <w:rsid w:val="00C4450C"/>
    <w:rsid w:val="00C57083"/>
    <w:rsid w:val="00C60740"/>
    <w:rsid w:val="00C763EE"/>
    <w:rsid w:val="00C77938"/>
    <w:rsid w:val="00C84B08"/>
    <w:rsid w:val="00C909D0"/>
    <w:rsid w:val="00C9549C"/>
    <w:rsid w:val="00CB0984"/>
    <w:rsid w:val="00CB66F8"/>
    <w:rsid w:val="00CD10A1"/>
    <w:rsid w:val="00CD6FD3"/>
    <w:rsid w:val="00CD7364"/>
    <w:rsid w:val="00CF1924"/>
    <w:rsid w:val="00CF3E98"/>
    <w:rsid w:val="00D13F27"/>
    <w:rsid w:val="00D1693E"/>
    <w:rsid w:val="00D2731F"/>
    <w:rsid w:val="00D40856"/>
    <w:rsid w:val="00D427D8"/>
    <w:rsid w:val="00D501B7"/>
    <w:rsid w:val="00D54BE1"/>
    <w:rsid w:val="00D55B41"/>
    <w:rsid w:val="00D6747F"/>
    <w:rsid w:val="00D757B3"/>
    <w:rsid w:val="00D81C96"/>
    <w:rsid w:val="00D83CD7"/>
    <w:rsid w:val="00D90227"/>
    <w:rsid w:val="00D90E82"/>
    <w:rsid w:val="00DA0169"/>
    <w:rsid w:val="00DA419B"/>
    <w:rsid w:val="00DA7E2C"/>
    <w:rsid w:val="00DB0465"/>
    <w:rsid w:val="00DB6CDE"/>
    <w:rsid w:val="00DD1FC2"/>
    <w:rsid w:val="00DD240B"/>
    <w:rsid w:val="00DE10E8"/>
    <w:rsid w:val="00E17C45"/>
    <w:rsid w:val="00E32F7D"/>
    <w:rsid w:val="00E45FB5"/>
    <w:rsid w:val="00E507D7"/>
    <w:rsid w:val="00E56774"/>
    <w:rsid w:val="00E659B0"/>
    <w:rsid w:val="00E85D5A"/>
    <w:rsid w:val="00E85DDC"/>
    <w:rsid w:val="00E87E15"/>
    <w:rsid w:val="00EA65E3"/>
    <w:rsid w:val="00EA6CD9"/>
    <w:rsid w:val="00EB739B"/>
    <w:rsid w:val="00EC0D1E"/>
    <w:rsid w:val="00EC5022"/>
    <w:rsid w:val="00EC590A"/>
    <w:rsid w:val="00EC5CA4"/>
    <w:rsid w:val="00ED0FAD"/>
    <w:rsid w:val="00ED1CFF"/>
    <w:rsid w:val="00ED3834"/>
    <w:rsid w:val="00EE30D7"/>
    <w:rsid w:val="00EE601C"/>
    <w:rsid w:val="00EF38BB"/>
    <w:rsid w:val="00F15F38"/>
    <w:rsid w:val="00F44F3E"/>
    <w:rsid w:val="00F56E76"/>
    <w:rsid w:val="00F62FF5"/>
    <w:rsid w:val="00F6499D"/>
    <w:rsid w:val="00F67AEB"/>
    <w:rsid w:val="00F67EB0"/>
    <w:rsid w:val="00FA5C8F"/>
    <w:rsid w:val="00FB00C4"/>
    <w:rsid w:val="00FB4D1D"/>
    <w:rsid w:val="00FD4171"/>
    <w:rsid w:val="00FE0D91"/>
    <w:rsid w:val="00FF2322"/>
    <w:rsid w:val="00FF7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BA2E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Followed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5BDD"/>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szCs w:val="24"/>
      <w:lang w:eastAsia="en-GB"/>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szCs w:val="24"/>
      <w:lang w:eastAsia="en-GB"/>
    </w:rPr>
  </w:style>
  <w:style w:type="character" w:styleId="Hyperlink">
    <w:name w:val="Hyperlink"/>
    <w:rsid w:val="00A518E4"/>
    <w:rPr>
      <w:color w:val="0000FF"/>
      <w:u w:val="single"/>
    </w:rPr>
  </w:style>
  <w:style w:type="paragraph" w:styleId="NormalWeb">
    <w:name w:val="Normal (Web)"/>
    <w:basedOn w:val="Normal"/>
    <w:uiPriority w:val="99"/>
    <w:rsid w:val="00A518E4"/>
    <w:pPr>
      <w:spacing w:before="100" w:beforeAutospacing="1" w:after="100" w:afterAutospacing="1"/>
    </w:pPr>
  </w:style>
  <w:style w:type="paragraph" w:styleId="ListParagraph">
    <w:name w:val="List Paragraph"/>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paragraph" w:styleId="BalloonText">
    <w:name w:val="Balloon Text"/>
    <w:basedOn w:val="Normal"/>
    <w:link w:val="BalloonTextChar"/>
    <w:rsid w:val="001A02F4"/>
    <w:rPr>
      <w:rFonts w:ascii="Lucida Grande" w:hAnsi="Lucida Grande" w:cs="Lucida Grande"/>
      <w:sz w:val="18"/>
      <w:szCs w:val="18"/>
    </w:rPr>
  </w:style>
  <w:style w:type="character" w:customStyle="1" w:styleId="BalloonTextChar">
    <w:name w:val="Balloon Text Char"/>
    <w:basedOn w:val="DefaultParagraphFont"/>
    <w:link w:val="BalloonText"/>
    <w:rsid w:val="001A02F4"/>
    <w:rPr>
      <w:rFonts w:ascii="Lucida Grande" w:eastAsia="Times New Roman" w:hAnsi="Lucida Grande" w:cs="Lucida Grande"/>
      <w:sz w:val="18"/>
      <w:szCs w:val="18"/>
      <w:lang w:eastAsia="en-GB"/>
    </w:rPr>
  </w:style>
  <w:style w:type="character" w:styleId="UnresolvedMention">
    <w:name w:val="Unresolved Mention"/>
    <w:basedOn w:val="DefaultParagraphFont"/>
    <w:uiPriority w:val="99"/>
    <w:semiHidden/>
    <w:unhideWhenUsed/>
    <w:rsid w:val="00B2017A"/>
    <w:rPr>
      <w:color w:val="808080"/>
      <w:shd w:val="clear" w:color="auto" w:fill="E6E6E6"/>
    </w:rPr>
  </w:style>
  <w:style w:type="paragraph" w:styleId="Revision">
    <w:name w:val="Revision"/>
    <w:hidden/>
    <w:uiPriority w:val="99"/>
    <w:semiHidden/>
    <w:rsid w:val="00720D7D"/>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9250">
      <w:bodyDiv w:val="1"/>
      <w:marLeft w:val="0"/>
      <w:marRight w:val="0"/>
      <w:marTop w:val="0"/>
      <w:marBottom w:val="0"/>
      <w:divBdr>
        <w:top w:val="none" w:sz="0" w:space="0" w:color="auto"/>
        <w:left w:val="none" w:sz="0" w:space="0" w:color="auto"/>
        <w:bottom w:val="none" w:sz="0" w:space="0" w:color="auto"/>
        <w:right w:val="none" w:sz="0" w:space="0" w:color="auto"/>
      </w:divBdr>
    </w:div>
    <w:div w:id="29451562">
      <w:bodyDiv w:val="1"/>
      <w:marLeft w:val="0"/>
      <w:marRight w:val="0"/>
      <w:marTop w:val="0"/>
      <w:marBottom w:val="0"/>
      <w:divBdr>
        <w:top w:val="none" w:sz="0" w:space="0" w:color="auto"/>
        <w:left w:val="none" w:sz="0" w:space="0" w:color="auto"/>
        <w:bottom w:val="none" w:sz="0" w:space="0" w:color="auto"/>
        <w:right w:val="none" w:sz="0" w:space="0" w:color="auto"/>
      </w:divBdr>
      <w:divsChild>
        <w:div w:id="284779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224957">
      <w:bodyDiv w:val="1"/>
      <w:marLeft w:val="0"/>
      <w:marRight w:val="0"/>
      <w:marTop w:val="0"/>
      <w:marBottom w:val="0"/>
      <w:divBdr>
        <w:top w:val="none" w:sz="0" w:space="0" w:color="auto"/>
        <w:left w:val="none" w:sz="0" w:space="0" w:color="auto"/>
        <w:bottom w:val="none" w:sz="0" w:space="0" w:color="auto"/>
        <w:right w:val="none" w:sz="0" w:space="0" w:color="auto"/>
      </w:divBdr>
      <w:divsChild>
        <w:div w:id="2042045133">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153620">
      <w:bodyDiv w:val="1"/>
      <w:marLeft w:val="0"/>
      <w:marRight w:val="0"/>
      <w:marTop w:val="0"/>
      <w:marBottom w:val="0"/>
      <w:divBdr>
        <w:top w:val="none" w:sz="0" w:space="0" w:color="auto"/>
        <w:left w:val="none" w:sz="0" w:space="0" w:color="auto"/>
        <w:bottom w:val="none" w:sz="0" w:space="0" w:color="auto"/>
        <w:right w:val="none" w:sz="0" w:space="0" w:color="auto"/>
      </w:divBdr>
    </w:div>
    <w:div w:id="469134859">
      <w:bodyDiv w:val="1"/>
      <w:marLeft w:val="0"/>
      <w:marRight w:val="0"/>
      <w:marTop w:val="0"/>
      <w:marBottom w:val="0"/>
      <w:divBdr>
        <w:top w:val="none" w:sz="0" w:space="0" w:color="auto"/>
        <w:left w:val="none" w:sz="0" w:space="0" w:color="auto"/>
        <w:bottom w:val="none" w:sz="0" w:space="0" w:color="auto"/>
        <w:right w:val="none" w:sz="0" w:space="0" w:color="auto"/>
      </w:divBdr>
    </w:div>
    <w:div w:id="757947221">
      <w:bodyDiv w:val="1"/>
      <w:marLeft w:val="0"/>
      <w:marRight w:val="0"/>
      <w:marTop w:val="0"/>
      <w:marBottom w:val="0"/>
      <w:divBdr>
        <w:top w:val="none" w:sz="0" w:space="0" w:color="auto"/>
        <w:left w:val="none" w:sz="0" w:space="0" w:color="auto"/>
        <w:bottom w:val="none" w:sz="0" w:space="0" w:color="auto"/>
        <w:right w:val="none" w:sz="0" w:space="0" w:color="auto"/>
      </w:divBdr>
      <w:divsChild>
        <w:div w:id="2068332439">
          <w:marLeft w:val="0"/>
          <w:marRight w:val="0"/>
          <w:marTop w:val="0"/>
          <w:marBottom w:val="0"/>
          <w:divBdr>
            <w:top w:val="none" w:sz="0" w:space="0" w:color="auto"/>
            <w:left w:val="none" w:sz="0" w:space="0" w:color="auto"/>
            <w:bottom w:val="none" w:sz="0" w:space="0" w:color="auto"/>
            <w:right w:val="none" w:sz="0" w:space="0" w:color="auto"/>
          </w:divBdr>
          <w:divsChild>
            <w:div w:id="1011562380">
              <w:marLeft w:val="0"/>
              <w:marRight w:val="0"/>
              <w:marTop w:val="0"/>
              <w:marBottom w:val="0"/>
              <w:divBdr>
                <w:top w:val="none" w:sz="0" w:space="0" w:color="auto"/>
                <w:left w:val="none" w:sz="0" w:space="0" w:color="auto"/>
                <w:bottom w:val="none" w:sz="0" w:space="0" w:color="auto"/>
                <w:right w:val="none" w:sz="0" w:space="0" w:color="auto"/>
              </w:divBdr>
              <w:divsChild>
                <w:div w:id="674456027">
                  <w:marLeft w:val="0"/>
                  <w:marRight w:val="0"/>
                  <w:marTop w:val="0"/>
                  <w:marBottom w:val="0"/>
                  <w:divBdr>
                    <w:top w:val="none" w:sz="0" w:space="0" w:color="auto"/>
                    <w:left w:val="none" w:sz="0" w:space="0" w:color="auto"/>
                    <w:bottom w:val="none" w:sz="0" w:space="0" w:color="auto"/>
                    <w:right w:val="none" w:sz="0" w:space="0" w:color="auto"/>
                  </w:divBdr>
                  <w:divsChild>
                    <w:div w:id="14959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04536">
      <w:bodyDiv w:val="1"/>
      <w:marLeft w:val="0"/>
      <w:marRight w:val="0"/>
      <w:marTop w:val="0"/>
      <w:marBottom w:val="0"/>
      <w:divBdr>
        <w:top w:val="none" w:sz="0" w:space="0" w:color="auto"/>
        <w:left w:val="none" w:sz="0" w:space="0" w:color="auto"/>
        <w:bottom w:val="none" w:sz="0" w:space="0" w:color="auto"/>
        <w:right w:val="none" w:sz="0" w:space="0" w:color="auto"/>
      </w:divBdr>
      <w:divsChild>
        <w:div w:id="97341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1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6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8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4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87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23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4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989702">
      <w:bodyDiv w:val="1"/>
      <w:marLeft w:val="0"/>
      <w:marRight w:val="0"/>
      <w:marTop w:val="0"/>
      <w:marBottom w:val="0"/>
      <w:divBdr>
        <w:top w:val="none" w:sz="0" w:space="0" w:color="auto"/>
        <w:left w:val="none" w:sz="0" w:space="0" w:color="auto"/>
        <w:bottom w:val="none" w:sz="0" w:space="0" w:color="auto"/>
        <w:right w:val="none" w:sz="0" w:space="0" w:color="auto"/>
      </w:divBdr>
    </w:div>
    <w:div w:id="1133522269">
      <w:bodyDiv w:val="1"/>
      <w:marLeft w:val="0"/>
      <w:marRight w:val="0"/>
      <w:marTop w:val="0"/>
      <w:marBottom w:val="0"/>
      <w:divBdr>
        <w:top w:val="none" w:sz="0" w:space="0" w:color="auto"/>
        <w:left w:val="none" w:sz="0" w:space="0" w:color="auto"/>
        <w:bottom w:val="none" w:sz="0" w:space="0" w:color="auto"/>
        <w:right w:val="none" w:sz="0" w:space="0" w:color="auto"/>
      </w:divBdr>
      <w:divsChild>
        <w:div w:id="270288546">
          <w:marLeft w:val="0"/>
          <w:marRight w:val="0"/>
          <w:marTop w:val="0"/>
          <w:marBottom w:val="0"/>
          <w:divBdr>
            <w:top w:val="none" w:sz="0" w:space="0" w:color="auto"/>
            <w:left w:val="none" w:sz="0" w:space="0" w:color="auto"/>
            <w:bottom w:val="none" w:sz="0" w:space="0" w:color="auto"/>
            <w:right w:val="none" w:sz="0" w:space="0" w:color="auto"/>
          </w:divBdr>
          <w:divsChild>
            <w:div w:id="546912554">
              <w:marLeft w:val="0"/>
              <w:marRight w:val="0"/>
              <w:marTop w:val="0"/>
              <w:marBottom w:val="0"/>
              <w:divBdr>
                <w:top w:val="none" w:sz="0" w:space="0" w:color="auto"/>
                <w:left w:val="none" w:sz="0" w:space="0" w:color="auto"/>
                <w:bottom w:val="none" w:sz="0" w:space="0" w:color="auto"/>
                <w:right w:val="none" w:sz="0" w:space="0" w:color="auto"/>
              </w:divBdr>
              <w:divsChild>
                <w:div w:id="235477328">
                  <w:marLeft w:val="0"/>
                  <w:marRight w:val="0"/>
                  <w:marTop w:val="0"/>
                  <w:marBottom w:val="0"/>
                  <w:divBdr>
                    <w:top w:val="none" w:sz="0" w:space="0" w:color="auto"/>
                    <w:left w:val="none" w:sz="0" w:space="0" w:color="auto"/>
                    <w:bottom w:val="none" w:sz="0" w:space="0" w:color="auto"/>
                    <w:right w:val="none" w:sz="0" w:space="0" w:color="auto"/>
                  </w:divBdr>
                  <w:divsChild>
                    <w:div w:id="13222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0913">
      <w:bodyDiv w:val="1"/>
      <w:marLeft w:val="0"/>
      <w:marRight w:val="0"/>
      <w:marTop w:val="0"/>
      <w:marBottom w:val="0"/>
      <w:divBdr>
        <w:top w:val="none" w:sz="0" w:space="0" w:color="auto"/>
        <w:left w:val="none" w:sz="0" w:space="0" w:color="auto"/>
        <w:bottom w:val="none" w:sz="0" w:space="0" w:color="auto"/>
        <w:right w:val="none" w:sz="0" w:space="0" w:color="auto"/>
      </w:divBdr>
    </w:div>
    <w:div w:id="1533567495">
      <w:bodyDiv w:val="1"/>
      <w:marLeft w:val="0"/>
      <w:marRight w:val="0"/>
      <w:marTop w:val="0"/>
      <w:marBottom w:val="0"/>
      <w:divBdr>
        <w:top w:val="none" w:sz="0" w:space="0" w:color="auto"/>
        <w:left w:val="none" w:sz="0" w:space="0" w:color="auto"/>
        <w:bottom w:val="none" w:sz="0" w:space="0" w:color="auto"/>
        <w:right w:val="none" w:sz="0" w:space="0" w:color="auto"/>
      </w:divBdr>
      <w:divsChild>
        <w:div w:id="90245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493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16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7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1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15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96172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099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51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4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43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19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1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1741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1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89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4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32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50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95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960742">
      <w:bodyDiv w:val="1"/>
      <w:marLeft w:val="0"/>
      <w:marRight w:val="0"/>
      <w:marTop w:val="0"/>
      <w:marBottom w:val="0"/>
      <w:divBdr>
        <w:top w:val="none" w:sz="0" w:space="0" w:color="auto"/>
        <w:left w:val="none" w:sz="0" w:space="0" w:color="auto"/>
        <w:bottom w:val="none" w:sz="0" w:space="0" w:color="auto"/>
        <w:right w:val="none" w:sz="0" w:space="0" w:color="auto"/>
      </w:divBdr>
    </w:div>
    <w:div w:id="1629243180">
      <w:bodyDiv w:val="1"/>
      <w:marLeft w:val="0"/>
      <w:marRight w:val="0"/>
      <w:marTop w:val="0"/>
      <w:marBottom w:val="0"/>
      <w:divBdr>
        <w:top w:val="none" w:sz="0" w:space="0" w:color="auto"/>
        <w:left w:val="none" w:sz="0" w:space="0" w:color="auto"/>
        <w:bottom w:val="none" w:sz="0" w:space="0" w:color="auto"/>
        <w:right w:val="none" w:sz="0" w:space="0" w:color="auto"/>
      </w:divBdr>
    </w:div>
    <w:div w:id="214462030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29">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9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145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redirect.cgi?path=/ew/cases/EWCA/Civ/2016/662.html" TargetMode="External"/><Relationship Id="rId13" Type="http://schemas.openxmlformats.org/officeDocument/2006/relationships/hyperlink" Target="http://www.bailii.org/ew/cases/EWCA/Civ/2014/256.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bailii.org/cgi-bin/redirect.cgi?path=/eu/cases/ECHR/2008/546.html" TargetMode="External"/><Relationship Id="rId17" Type="http://schemas.openxmlformats.org/officeDocument/2006/relationships/hyperlink" Target="http://www.bailii.org/cgi-bin/redirect.cgi?path=/ew/cases/EWCA/Civ/2008/694.html" TargetMode="External"/><Relationship Id="rId2" Type="http://schemas.openxmlformats.org/officeDocument/2006/relationships/styles" Target="styles.xml"/><Relationship Id="rId16" Type="http://schemas.openxmlformats.org/officeDocument/2006/relationships/hyperlink" Target="http://www.bailii.org/ew/cases/EWCA/Civ/2008/694.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redirect.cgi?path=/eu/cases/ECHR/2001/497.html" TargetMode="External"/><Relationship Id="rId5" Type="http://schemas.openxmlformats.org/officeDocument/2006/relationships/footnotes" Target="footnotes.xml"/><Relationship Id="rId15" Type="http://schemas.openxmlformats.org/officeDocument/2006/relationships/hyperlink" Target="http://www.bailii.org/ew/cases/EWCA/Civ/2013/427.html" TargetMode="External"/><Relationship Id="rId23" Type="http://schemas.openxmlformats.org/officeDocument/2006/relationships/theme" Target="theme/theme1.xml"/><Relationship Id="rId10" Type="http://schemas.openxmlformats.org/officeDocument/2006/relationships/hyperlink" Target="http://www.bailii.org/cgi-bin/redirect.cgi?path=/uk/cases/UKSC/2016/60.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ailii.org/uk/cases/UKSC/2016/60.html" TargetMode="External"/><Relationship Id="rId14" Type="http://schemas.openxmlformats.org/officeDocument/2006/relationships/hyperlink" Target="http://www.bailii.org/ew/cases/EWCA/Civ/2015/596.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5798</Words>
  <Characters>29469</Characters>
  <Application>Microsoft Office Word</Application>
  <DocSecurity>0</DocSecurity>
  <Lines>245</Lines>
  <Paragraphs>70</Paragraphs>
  <ScaleCrop>false</ScaleCrop>
  <Company/>
  <LinksUpToDate>false</LinksUpToDate>
  <CharactersWithSpaces>35197</CharactersWithSpaces>
  <SharedDoc>false</SharedDoc>
  <HLinks>
    <vt:vector size="6" baseType="variant">
      <vt:variant>
        <vt:i4>1507412</vt:i4>
      </vt:variant>
      <vt:variant>
        <vt:i4>0</vt:i4>
      </vt:variant>
      <vt:variant>
        <vt:i4>0</vt:i4>
      </vt:variant>
      <vt:variant>
        <vt:i4>5</vt:i4>
      </vt:variant>
      <vt:variant>
        <vt:lpwstr>mailto:LoughboroughEdets@tribunals.gsi.gov.uk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2018-07-30T11:48:00Z</dcterms:created>
  <dcterms:modified xsi:type="dcterms:W3CDTF">2018-07-30T11:49:00Z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