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7318F"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84903">
        <w:rPr>
          <w:rFonts w:ascii="Book Antiqua" w:hAnsi="Book Antiqua" w:cs="Arial"/>
          <w:b/>
        </w:rPr>
        <w:t xml:space="preserve">   </w:t>
      </w:r>
      <w:proofErr w:type="gramEnd"/>
      <w:r w:rsidR="00E84903">
        <w:rPr>
          <w:rFonts w:ascii="Book Antiqua" w:hAnsi="Book Antiqua" w:cs="Arial"/>
          <w:b/>
        </w:rPr>
        <w:t xml:space="preserve">                      </w:t>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r w:rsidR="00733F58">
        <w:rPr>
          <w:rFonts w:ascii="Book Antiqua" w:hAnsi="Book Antiqua" w:cs="Arial"/>
          <w:b/>
          <w:caps/>
        </w:rPr>
        <w:t>VA</w:t>
      </w:r>
      <w:r w:rsidR="001B67F3" w:rsidRPr="00490CFA">
        <w:rPr>
          <w:rFonts w:ascii="Book Antiqua" w:hAnsi="Book Antiqua" w:cs="Arial"/>
          <w:b/>
          <w:caps/>
        </w:rPr>
        <w:t>/</w:t>
      </w:r>
      <w:r w:rsidR="00733F58">
        <w:rPr>
          <w:rFonts w:ascii="Book Antiqua" w:hAnsi="Book Antiqua" w:cs="Arial"/>
          <w:b/>
          <w:caps/>
        </w:rPr>
        <w:t>02534</w:t>
      </w:r>
      <w:r w:rsidR="00FB050B" w:rsidRPr="00490CFA">
        <w:rPr>
          <w:rFonts w:ascii="Book Antiqua" w:hAnsi="Book Antiqua" w:cs="Arial"/>
          <w:b/>
          <w:caps/>
        </w:rPr>
        <w:t>/</w:t>
      </w:r>
      <w:r w:rsidR="0035753A">
        <w:rPr>
          <w:rFonts w:ascii="Book Antiqua" w:hAnsi="Book Antiqua" w:cs="Arial"/>
          <w:b/>
          <w:caps/>
        </w:rPr>
        <w:t>201</w:t>
      </w:r>
      <w:r w:rsidR="00733F58">
        <w:rPr>
          <w:rFonts w:ascii="Book Antiqua" w:hAnsi="Book Antiqua" w:cs="Arial"/>
          <w:b/>
          <w:caps/>
        </w:rPr>
        <w:t>5</w:t>
      </w:r>
    </w:p>
    <w:p w:rsidR="00733F58" w:rsidRPr="00733F58" w:rsidRDefault="00E84903" w:rsidP="00B626FA">
      <w:pPr>
        <w:tabs>
          <w:tab w:val="right" w:pos="9639"/>
        </w:tabs>
        <w:rPr>
          <w:rFonts w:ascii="Book Antiqua" w:hAnsi="Book Antiqua" w:cs="Arial"/>
          <w:caps/>
        </w:rPr>
      </w:pPr>
      <w:r>
        <w:rPr>
          <w:rFonts w:ascii="Book Antiqua" w:hAnsi="Book Antiqua" w:cs="Arial"/>
          <w:caps/>
        </w:rPr>
        <w:t xml:space="preserve">                                                                                                                            </w:t>
      </w:r>
      <w:r w:rsidR="00733F58">
        <w:rPr>
          <w:rFonts w:ascii="Book Antiqua" w:hAnsi="Book Antiqua" w:cs="Arial"/>
          <w:b/>
          <w:caps/>
        </w:rPr>
        <w:t>VA/02535/2015</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647"/>
        <w:gridCol w:w="3888"/>
      </w:tblGrid>
      <w:tr w:rsidR="00D22636" w:rsidRPr="00337EBB" w:rsidTr="006445AC">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733F58">
              <w:rPr>
                <w:rFonts w:ascii="Book Antiqua" w:hAnsi="Book Antiqua" w:cs="Arial"/>
                <w:b/>
              </w:rPr>
              <w:t>Liverpool</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E84903"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6445AC">
        <w:tc>
          <w:tcPr>
            <w:tcW w:w="5211"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733F58">
              <w:rPr>
                <w:rFonts w:ascii="Book Antiqua" w:hAnsi="Book Antiqua" w:cs="Arial"/>
                <w:b/>
              </w:rPr>
              <w:t>June 7</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617" w:type="dxa"/>
            <w:gridSpan w:val="2"/>
            <w:shd w:val="clear" w:color="auto" w:fill="auto"/>
          </w:tcPr>
          <w:p w:rsidR="00D22636" w:rsidRPr="00337EBB" w:rsidRDefault="00E84903" w:rsidP="00337EBB">
            <w:pPr>
              <w:jc w:val="both"/>
              <w:rPr>
                <w:rFonts w:ascii="Book Antiqua" w:hAnsi="Book Antiqua" w:cs="Arial"/>
                <w:b/>
              </w:rPr>
            </w:pPr>
            <w:r>
              <w:rPr>
                <w:rFonts w:ascii="Book Antiqua" w:hAnsi="Book Antiqua" w:cs="Arial"/>
                <w:b/>
              </w:rPr>
              <w:t xml:space="preserve">     </w:t>
            </w:r>
            <w:r w:rsidR="006445AC">
              <w:rPr>
                <w:rFonts w:ascii="Book Antiqua" w:hAnsi="Book Antiqua" w:cs="Arial"/>
                <w:b/>
              </w:rPr>
              <w:t xml:space="preserve">On June 12, 2018 </w:t>
            </w:r>
          </w:p>
        </w:tc>
      </w:tr>
      <w:tr w:rsidR="00D22636" w:rsidRPr="00337EBB" w:rsidTr="006445AC">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223EA7" w:rsidRDefault="00223EA7" w:rsidP="00A15234">
      <w:pPr>
        <w:jc w:val="center"/>
        <w:rPr>
          <w:rFonts w:ascii="Book Antiqua" w:hAnsi="Book Antiqua" w:cs="Arial"/>
          <w:b/>
        </w:rPr>
      </w:pPr>
      <w:r>
        <w:rPr>
          <w:rFonts w:ascii="Book Antiqua" w:hAnsi="Book Antiqua" w:cs="Arial"/>
          <w:b/>
          <w:caps/>
        </w:rPr>
        <w:t xml:space="preserve">the </w:t>
      </w:r>
      <w:r w:rsidR="00A9518D">
        <w:rPr>
          <w:rFonts w:ascii="Book Antiqua" w:hAnsi="Book Antiqua" w:cs="Arial"/>
          <w:b/>
          <w:caps/>
        </w:rPr>
        <w:t>ENTRY CLEARANCE OFFICER</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223EA7" w:rsidRDefault="00733F58" w:rsidP="00223EA7">
      <w:pPr>
        <w:jc w:val="center"/>
        <w:rPr>
          <w:rFonts w:ascii="Book Antiqua" w:hAnsi="Book Antiqua" w:cs="Arial"/>
          <w:b/>
          <w:caps/>
        </w:rPr>
      </w:pPr>
      <w:r>
        <w:rPr>
          <w:rFonts w:ascii="Book Antiqua" w:hAnsi="Book Antiqua" w:cs="Arial"/>
          <w:b/>
          <w:caps/>
        </w:rPr>
        <w:t>MS RABYA BEGUM</w:t>
      </w:r>
    </w:p>
    <w:p w:rsidR="00733F58" w:rsidRDefault="00733F58" w:rsidP="00223EA7">
      <w:pPr>
        <w:jc w:val="center"/>
        <w:rPr>
          <w:rFonts w:ascii="Book Antiqua" w:hAnsi="Book Antiqua" w:cs="Arial"/>
          <w:b/>
          <w:caps/>
        </w:rPr>
      </w:pPr>
      <w:r>
        <w:rPr>
          <w:rFonts w:ascii="Book Antiqua" w:hAnsi="Book Antiqua" w:cs="Arial"/>
          <w:b/>
          <w:caps/>
        </w:rPr>
        <w:t>MISS ROSHIMA BEGUM</w:t>
      </w:r>
    </w:p>
    <w:p w:rsidR="00AF21DA" w:rsidRPr="00E84903" w:rsidRDefault="00223EA7" w:rsidP="00223EA7">
      <w:pPr>
        <w:jc w:val="center"/>
        <w:rPr>
          <w:rFonts w:ascii="Book Antiqua" w:hAnsi="Book Antiqua" w:cs="Arial"/>
        </w:rPr>
      </w:pPr>
      <w:r w:rsidRPr="00E84903">
        <w:rPr>
          <w:rFonts w:ascii="Book Antiqua" w:hAnsi="Book Antiqua" w:cs="Arial"/>
          <w:caps/>
        </w:rPr>
        <w:t>(NO ANONYMITY DIRECTION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r w:rsidR="00733F58">
        <w:rPr>
          <w:rFonts w:ascii="Book Antiqua" w:hAnsi="Book Antiqua" w:cs="Arial"/>
          <w:u w:val="single"/>
        </w:rPr>
        <w:t>s</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6E40CB">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062947">
        <w:rPr>
          <w:rFonts w:ascii="Book Antiqua" w:hAnsi="Book Antiqua" w:cs="Arial"/>
        </w:rPr>
        <w:t xml:space="preserve">Mr </w:t>
      </w:r>
      <w:proofErr w:type="spellStart"/>
      <w:r w:rsidR="00733F58">
        <w:rPr>
          <w:rFonts w:ascii="Book Antiqua" w:hAnsi="Book Antiqua" w:cs="Arial"/>
        </w:rPr>
        <w:t>Diwnycz</w:t>
      </w:r>
      <w:proofErr w:type="spellEnd"/>
      <w:r w:rsidR="00223EA7">
        <w:rPr>
          <w:rFonts w:ascii="Book Antiqua" w:hAnsi="Book Antiqua" w:cs="Arial"/>
        </w:rPr>
        <w:t>,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62947">
        <w:rPr>
          <w:rFonts w:ascii="Book Antiqua" w:hAnsi="Book Antiqua" w:cs="Arial"/>
        </w:rPr>
        <w:t xml:space="preserve">Mr </w:t>
      </w:r>
      <w:r w:rsidR="00733F58">
        <w:rPr>
          <w:rFonts w:ascii="Book Antiqua" w:hAnsi="Book Antiqua" w:cs="Arial"/>
        </w:rPr>
        <w:t>Hassan. Legal Representative</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490CFA" w:rsidP="00911478">
      <w:pPr>
        <w:numPr>
          <w:ilvl w:val="0"/>
          <w:numId w:val="3"/>
        </w:numPr>
        <w:spacing w:before="240"/>
        <w:jc w:val="both"/>
        <w:rPr>
          <w:rFonts w:ascii="Book Antiqua" w:hAnsi="Book Antiqua" w:cs="Arial"/>
        </w:rPr>
      </w:pPr>
      <w:r>
        <w:rPr>
          <w:rFonts w:ascii="Book Antiqua" w:hAnsi="Book Antiqua" w:cs="Arial"/>
        </w:rPr>
        <w:t xml:space="preserve">I </w:t>
      </w:r>
      <w:r w:rsidR="00B60E41">
        <w:rPr>
          <w:rFonts w:ascii="Book Antiqua" w:hAnsi="Book Antiqua" w:cs="Arial"/>
        </w:rPr>
        <w:t>do not make an anonymity direction.</w:t>
      </w:r>
    </w:p>
    <w:p w:rsidR="00223EA7" w:rsidRDefault="00223EA7" w:rsidP="00911478">
      <w:pPr>
        <w:numPr>
          <w:ilvl w:val="0"/>
          <w:numId w:val="3"/>
        </w:numPr>
        <w:spacing w:before="240"/>
        <w:jc w:val="both"/>
        <w:rPr>
          <w:rFonts w:ascii="Book Antiqua" w:hAnsi="Book Antiqua" w:cs="Arial"/>
        </w:rPr>
      </w:pPr>
      <w:r>
        <w:rPr>
          <w:rFonts w:ascii="Book Antiqua" w:hAnsi="Book Antiqua" w:cs="Arial"/>
        </w:rPr>
        <w:t xml:space="preserve">The respondent in these proceedings was the appellant before the First-tier Tribunal.  From hereon I have referred to the parties as they were in the First-tier Tribunal so that, for example, reference to the respondent is a reference to the </w:t>
      </w:r>
      <w:r w:rsidR="00A9518D">
        <w:rPr>
          <w:rFonts w:ascii="Book Antiqua" w:hAnsi="Book Antiqua" w:cs="Arial"/>
        </w:rPr>
        <w:t>Entry Clearance Officer</w:t>
      </w:r>
      <w:r>
        <w:rPr>
          <w:rFonts w:ascii="Book Antiqua" w:hAnsi="Book Antiqua" w:cs="Arial"/>
        </w:rPr>
        <w:t>.</w:t>
      </w:r>
    </w:p>
    <w:p w:rsidR="00184E1D" w:rsidRPr="00184E1D" w:rsidRDefault="00A9518D" w:rsidP="003208D4">
      <w:pPr>
        <w:numPr>
          <w:ilvl w:val="0"/>
          <w:numId w:val="3"/>
        </w:numPr>
        <w:spacing w:before="240"/>
        <w:jc w:val="both"/>
        <w:rPr>
          <w:rFonts w:ascii="Book Antiqua" w:hAnsi="Book Antiqua" w:cs="Arial"/>
        </w:rPr>
      </w:pPr>
      <w:r>
        <w:rPr>
          <w:rFonts w:ascii="Book Antiqua" w:hAnsi="Book Antiqua"/>
        </w:rPr>
        <w:t>The appellants are Bangladeshi national</w:t>
      </w:r>
      <w:r w:rsidR="00184E1D">
        <w:rPr>
          <w:rFonts w:ascii="Book Antiqua" w:hAnsi="Book Antiqua"/>
        </w:rPr>
        <w:t>s</w:t>
      </w:r>
      <w:r>
        <w:rPr>
          <w:rFonts w:ascii="Book Antiqua" w:hAnsi="Book Antiqua"/>
        </w:rPr>
        <w:t xml:space="preserve"> and they lodged applications for entry clearance on March 8, 2015 </w:t>
      </w:r>
      <w:proofErr w:type="gramStart"/>
      <w:r>
        <w:rPr>
          <w:rFonts w:ascii="Book Antiqua" w:hAnsi="Book Antiqua"/>
        </w:rPr>
        <w:t>in order to</w:t>
      </w:r>
      <w:proofErr w:type="gramEnd"/>
      <w:r>
        <w:rPr>
          <w:rFonts w:ascii="Book Antiqua" w:hAnsi="Book Antiqua"/>
        </w:rPr>
        <w:t xml:space="preserve"> visit </w:t>
      </w:r>
      <w:r w:rsidR="00184E1D">
        <w:rPr>
          <w:rFonts w:ascii="Book Antiqua" w:hAnsi="Book Antiqua"/>
        </w:rPr>
        <w:t>their son and brother respectively</w:t>
      </w:r>
      <w:r>
        <w:rPr>
          <w:rFonts w:ascii="Book Antiqua" w:hAnsi="Book Antiqua"/>
        </w:rPr>
        <w:t xml:space="preserve">. </w:t>
      </w:r>
    </w:p>
    <w:p w:rsidR="00A9518D" w:rsidRPr="00A9518D" w:rsidRDefault="00A9518D" w:rsidP="003208D4">
      <w:pPr>
        <w:numPr>
          <w:ilvl w:val="0"/>
          <w:numId w:val="3"/>
        </w:numPr>
        <w:spacing w:before="240"/>
        <w:jc w:val="both"/>
        <w:rPr>
          <w:rFonts w:ascii="Book Antiqua" w:hAnsi="Book Antiqua" w:cs="Arial"/>
        </w:rPr>
      </w:pPr>
      <w:r>
        <w:rPr>
          <w:rFonts w:ascii="Book Antiqua" w:hAnsi="Book Antiqua"/>
        </w:rPr>
        <w:lastRenderedPageBreak/>
        <w:t>The respondent refused their applications on March 13, 2</w:t>
      </w:r>
      <w:bookmarkStart w:id="0" w:name="_GoBack"/>
      <w:bookmarkEnd w:id="0"/>
      <w:r>
        <w:rPr>
          <w:rFonts w:ascii="Book Antiqua" w:hAnsi="Book Antiqua"/>
        </w:rPr>
        <w:t xml:space="preserve">015 and the appellants appealed those decisions. Originally their appeals came before Judge of the First-tier Tribunal McIntosh on July 29, 2016. Their appeals were allowed and the respondent appealed those decisions and when the matter was </w:t>
      </w:r>
      <w:r w:rsidR="00184E1D">
        <w:rPr>
          <w:rFonts w:ascii="Book Antiqua" w:hAnsi="Book Antiqua"/>
        </w:rPr>
        <w:t>re-</w:t>
      </w:r>
      <w:r>
        <w:rPr>
          <w:rFonts w:ascii="Book Antiqua" w:hAnsi="Book Antiqua"/>
        </w:rPr>
        <w:t xml:space="preserve">considered by Deputy Upper Tribunal Judge Mahmoud on January 17, 2017 that decision was overturned. The Deputy Upper Tribunal Judge made clear that for the appellants to succeed they would have to put forward “further evidence in relation to matters which go to the required </w:t>
      </w:r>
      <w:proofErr w:type="spellStart"/>
      <w:r>
        <w:rPr>
          <w:rFonts w:ascii="Book Antiqua" w:hAnsi="Book Antiqua"/>
        </w:rPr>
        <w:t>Kugathas</w:t>
      </w:r>
      <w:proofErr w:type="spellEnd"/>
      <w:r>
        <w:rPr>
          <w:rFonts w:ascii="Book Antiqua" w:hAnsi="Book Antiqua"/>
        </w:rPr>
        <w:t xml:space="preserve"> standard”.</w:t>
      </w:r>
    </w:p>
    <w:p w:rsidR="00B17DFA" w:rsidRDefault="00A9518D" w:rsidP="003208D4">
      <w:pPr>
        <w:numPr>
          <w:ilvl w:val="0"/>
          <w:numId w:val="3"/>
        </w:numPr>
        <w:spacing w:before="240"/>
        <w:jc w:val="both"/>
        <w:rPr>
          <w:rFonts w:ascii="Book Antiqua" w:hAnsi="Book Antiqua" w:cs="Arial"/>
        </w:rPr>
      </w:pPr>
      <w:r>
        <w:rPr>
          <w:rFonts w:ascii="Book Antiqua" w:hAnsi="Book Antiqua" w:cs="Arial"/>
        </w:rPr>
        <w:t xml:space="preserve">The appeal was relisted before Judge of the First-tier Tribunal Herbert OBE on July 25, 2017 and in a decision promulgated on August 21, 2017 he </w:t>
      </w:r>
      <w:r w:rsidR="00184E1D">
        <w:rPr>
          <w:rFonts w:ascii="Book Antiqua" w:hAnsi="Book Antiqua" w:cs="Arial"/>
        </w:rPr>
        <w:t xml:space="preserve">again </w:t>
      </w:r>
      <w:r>
        <w:rPr>
          <w:rFonts w:ascii="Book Antiqua" w:hAnsi="Book Antiqua" w:cs="Arial"/>
        </w:rPr>
        <w:t>allowed the appeal</w:t>
      </w:r>
      <w:r w:rsidR="00184E1D">
        <w:rPr>
          <w:rFonts w:ascii="Book Antiqua" w:hAnsi="Book Antiqua" w:cs="Arial"/>
        </w:rPr>
        <w:t>s</w:t>
      </w:r>
      <w:r>
        <w:rPr>
          <w:rFonts w:ascii="Book Antiqua" w:hAnsi="Book Antiqua" w:cs="Arial"/>
        </w:rPr>
        <w:t xml:space="preserve"> under article 8 ECHR. </w:t>
      </w:r>
    </w:p>
    <w:p w:rsidR="00A9518D" w:rsidRPr="00A9518D" w:rsidRDefault="00A9518D" w:rsidP="003208D4">
      <w:pPr>
        <w:numPr>
          <w:ilvl w:val="0"/>
          <w:numId w:val="3"/>
        </w:numPr>
        <w:spacing w:before="240"/>
        <w:jc w:val="both"/>
        <w:rPr>
          <w:rFonts w:ascii="Book Antiqua" w:hAnsi="Book Antiqua" w:cs="Arial"/>
        </w:rPr>
      </w:pPr>
      <w:r>
        <w:rPr>
          <w:rFonts w:ascii="Book Antiqua" w:hAnsi="Book Antiqua" w:cs="Arial"/>
        </w:rPr>
        <w:t>The respondent appealed this decision on August 25, 2017 arguing firstly that the Judge had failed to adequately explain how the circumstances in this case amounted to “a dependency over and above normal emotional ties” and secondly, by failing to give adequate reasons to allow the appeal outside the Immigration Rules.</w:t>
      </w:r>
    </w:p>
    <w:p w:rsidR="00180639" w:rsidRDefault="00184E1D" w:rsidP="00180639">
      <w:pPr>
        <w:numPr>
          <w:ilvl w:val="0"/>
          <w:numId w:val="3"/>
        </w:numPr>
        <w:spacing w:before="240"/>
        <w:jc w:val="both"/>
        <w:rPr>
          <w:rFonts w:ascii="Book Antiqua" w:hAnsi="Book Antiqua" w:cs="Arial"/>
        </w:rPr>
      </w:pPr>
      <w:r>
        <w:rPr>
          <w:rFonts w:ascii="Book Antiqua" w:hAnsi="Book Antiqua" w:cs="Arial"/>
        </w:rPr>
        <w:t>P</w:t>
      </w:r>
      <w:r w:rsidR="00442A49" w:rsidRPr="00AF21DA">
        <w:rPr>
          <w:rFonts w:ascii="Book Antiqua" w:hAnsi="Book Antiqua" w:cs="Arial"/>
        </w:rPr>
        <w:t xml:space="preserve">ermission to appeal was </w:t>
      </w:r>
      <w:r w:rsidR="00CF7E22" w:rsidRPr="00AF21DA">
        <w:rPr>
          <w:rFonts w:ascii="Book Antiqua" w:hAnsi="Book Antiqua" w:cs="Arial"/>
        </w:rPr>
        <w:t xml:space="preserve">granted </w:t>
      </w:r>
      <w:r w:rsidR="00ED48D9" w:rsidRPr="00AF21DA">
        <w:rPr>
          <w:rFonts w:ascii="Book Antiqua" w:hAnsi="Book Antiqua" w:cs="Arial"/>
        </w:rPr>
        <w:t xml:space="preserve">by </w:t>
      </w:r>
      <w:r w:rsidR="00F472AE" w:rsidRPr="00AF21DA">
        <w:rPr>
          <w:rFonts w:ascii="Book Antiqua" w:hAnsi="Book Antiqua" w:cs="Arial"/>
        </w:rPr>
        <w:t xml:space="preserve">Judge of the First-tier Tribunal </w:t>
      </w:r>
      <w:r w:rsidR="00223EA7">
        <w:rPr>
          <w:rFonts w:ascii="Book Antiqua" w:hAnsi="Book Antiqua" w:cs="Arial"/>
        </w:rPr>
        <w:t xml:space="preserve">Grant-Hutchinson </w:t>
      </w:r>
      <w:r w:rsidR="00BE57DB" w:rsidRPr="00AF21DA">
        <w:rPr>
          <w:rFonts w:ascii="Book Antiqua" w:hAnsi="Book Antiqua" w:cs="Arial"/>
        </w:rPr>
        <w:t xml:space="preserve">on </w:t>
      </w:r>
      <w:r w:rsidR="00B17DFA">
        <w:rPr>
          <w:rFonts w:ascii="Book Antiqua" w:hAnsi="Book Antiqua" w:cs="Arial"/>
        </w:rPr>
        <w:t>February 7</w:t>
      </w:r>
      <w:r w:rsidR="00223EA7">
        <w:rPr>
          <w:rFonts w:ascii="Book Antiqua" w:hAnsi="Book Antiqua" w:cs="Arial"/>
        </w:rPr>
        <w:t>, 2018 on the basis it was arguable the Judge had</w:t>
      </w:r>
      <w:r w:rsidR="00B17DFA">
        <w:rPr>
          <w:rFonts w:ascii="Book Antiqua" w:hAnsi="Book Antiqua" w:cs="Arial"/>
        </w:rPr>
        <w:t xml:space="preserve"> misdirected himself in failing to give adequate reasons as to how the circumstances in this </w:t>
      </w:r>
      <w:proofErr w:type="gramStart"/>
      <w:r w:rsidR="00B17DFA">
        <w:rPr>
          <w:rFonts w:ascii="Book Antiqua" w:hAnsi="Book Antiqua" w:cs="Arial"/>
        </w:rPr>
        <w:t>particular case</w:t>
      </w:r>
      <w:proofErr w:type="gramEnd"/>
      <w:r w:rsidR="00B17DFA">
        <w:rPr>
          <w:rFonts w:ascii="Book Antiqua" w:hAnsi="Book Antiqua" w:cs="Arial"/>
        </w:rPr>
        <w:t xml:space="preserve"> amounted to (a) a dependency over and above normal emotional ties and (b) compelling circumstances such as to invoke a consideration of article 8 outside the Immigration Rules</w:t>
      </w:r>
      <w:r w:rsidR="00223EA7">
        <w:rPr>
          <w:rFonts w:ascii="Book Antiqua" w:hAnsi="Book Antiqua" w:cs="Arial"/>
        </w:rPr>
        <w:t>.</w:t>
      </w:r>
    </w:p>
    <w:p w:rsidR="0086440F" w:rsidRPr="0086440F" w:rsidRDefault="0086440F" w:rsidP="0086440F">
      <w:pPr>
        <w:spacing w:before="240"/>
        <w:ind w:left="567"/>
        <w:jc w:val="both"/>
        <w:rPr>
          <w:rFonts w:ascii="Book Antiqua" w:hAnsi="Book Antiqua" w:cs="Arial"/>
          <w:b/>
          <w:u w:val="single"/>
        </w:rPr>
      </w:pPr>
      <w:r>
        <w:rPr>
          <w:rFonts w:ascii="Book Antiqua" w:hAnsi="Book Antiqua" w:cs="Arial"/>
          <w:b/>
          <w:u w:val="single"/>
        </w:rPr>
        <w:t>SUBMISSIONS</w:t>
      </w:r>
    </w:p>
    <w:p w:rsidR="0086440F" w:rsidRDefault="0086440F" w:rsidP="00180639">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relied on the grounds of appeal and the grant of permission and submitted that established case law demonstrated that family life, within the meaning of article 8, would not normally exist between adult siblings, parents and adult children. Even if family life did exist then generally article 8 would not be engaged because the nature of the application was to enter the United Kingdom as a visitor for a temporary visit of limited duration and the requirements that need to be met to qualify under the Immigration Rules are necessary for legitimate aims and were proportionate. Whilst the Judge may have had regard to the decision of </w:t>
      </w:r>
      <w:r>
        <w:rPr>
          <w:rFonts w:ascii="Book Antiqua" w:hAnsi="Book Antiqua" w:cs="Arial"/>
          <w:u w:val="single"/>
        </w:rPr>
        <w:t>Pritam Kaur (Visit appeals; Article 8)</w:t>
      </w:r>
      <w:r>
        <w:rPr>
          <w:rFonts w:ascii="Book Antiqua" w:hAnsi="Book Antiqua" w:cs="Arial"/>
        </w:rPr>
        <w:t xml:space="preserve"> [2015] UKUT 487 (IAC) he submitted the Judge had failed to adequately explain how the circumstances in this </w:t>
      </w:r>
      <w:proofErr w:type="gramStart"/>
      <w:r>
        <w:rPr>
          <w:rFonts w:ascii="Book Antiqua" w:hAnsi="Book Antiqua" w:cs="Arial"/>
        </w:rPr>
        <w:t>particular case</w:t>
      </w:r>
      <w:proofErr w:type="gramEnd"/>
      <w:r>
        <w:rPr>
          <w:rFonts w:ascii="Book Antiqua" w:hAnsi="Book Antiqua" w:cs="Arial"/>
        </w:rPr>
        <w:t xml:space="preserve"> amounted to a dependency over and above normal emotional ties.</w:t>
      </w:r>
      <w:r w:rsidR="00AA4635">
        <w:rPr>
          <w:rFonts w:ascii="Book Antiqua" w:hAnsi="Book Antiqua" w:cs="Arial"/>
        </w:rPr>
        <w:t xml:space="preserve"> Mr </w:t>
      </w:r>
      <w:proofErr w:type="spellStart"/>
      <w:r w:rsidR="00AA4635">
        <w:rPr>
          <w:rFonts w:ascii="Book Antiqua" w:hAnsi="Book Antiqua" w:cs="Arial"/>
        </w:rPr>
        <w:t>Diwnycz</w:t>
      </w:r>
      <w:proofErr w:type="spellEnd"/>
      <w:r w:rsidR="00AA4635">
        <w:rPr>
          <w:rFonts w:ascii="Book Antiqua" w:hAnsi="Book Antiqua" w:cs="Arial"/>
        </w:rPr>
        <w:t xml:space="preserve"> further argued that the Judge had erroneously allowed the appeal on the basis that having satisfied himself the Immigration Rules were met he then used article 8 </w:t>
      </w:r>
      <w:r w:rsidR="00184E1D">
        <w:rPr>
          <w:rFonts w:ascii="Book Antiqua" w:hAnsi="Book Antiqua" w:cs="Arial"/>
        </w:rPr>
        <w:t>as</w:t>
      </w:r>
      <w:r w:rsidR="00AA4635">
        <w:rPr>
          <w:rFonts w:ascii="Book Antiqua" w:hAnsi="Book Antiqua" w:cs="Arial"/>
        </w:rPr>
        <w:t xml:space="preserve"> a general dispensing power. The appellant had to show compelling circumstances such as to invoke a consideration under article 8 outside the Immigration Rules</w:t>
      </w:r>
      <w:r w:rsidR="0002631F">
        <w:rPr>
          <w:rFonts w:ascii="Book Antiqua" w:hAnsi="Book Antiqua" w:cs="Arial"/>
        </w:rPr>
        <w:t xml:space="preserve"> and there were no such compelling circumstances. </w:t>
      </w:r>
    </w:p>
    <w:p w:rsidR="00AA4635" w:rsidRDefault="00AA4635" w:rsidP="00180639">
      <w:pPr>
        <w:numPr>
          <w:ilvl w:val="0"/>
          <w:numId w:val="3"/>
        </w:numPr>
        <w:spacing w:before="240"/>
        <w:jc w:val="both"/>
        <w:rPr>
          <w:rFonts w:ascii="Book Antiqua" w:hAnsi="Book Antiqua" w:cs="Arial"/>
        </w:rPr>
      </w:pPr>
      <w:r>
        <w:rPr>
          <w:rFonts w:ascii="Book Antiqua" w:hAnsi="Book Antiqua" w:cs="Arial"/>
        </w:rPr>
        <w:t xml:space="preserve">Mr Hassan opposed the application and invited me to uphold the Judge’s decision. The Judge had given reasons why he viewed the relationship of grandparent and children as important. There was support for his approach in the decision of </w:t>
      </w:r>
      <w:r>
        <w:rPr>
          <w:rFonts w:ascii="Book Antiqua" w:hAnsi="Book Antiqua" w:cs="Arial"/>
          <w:u w:val="single"/>
        </w:rPr>
        <w:t>Kaur</w:t>
      </w:r>
      <w:r>
        <w:rPr>
          <w:rFonts w:ascii="Book Antiqua" w:hAnsi="Book Antiqua" w:cs="Arial"/>
        </w:rPr>
        <w:t xml:space="preserve"> and he invited the court to find that the Judge was entitled to conclude there was a </w:t>
      </w:r>
      <w:r>
        <w:rPr>
          <w:rFonts w:ascii="Book Antiqua" w:hAnsi="Book Antiqua" w:cs="Arial"/>
        </w:rPr>
        <w:lastRenderedPageBreak/>
        <w:t xml:space="preserve">“dependency over and above normal emotional ties” and that there were compelling circumstances enabling the appeal to be allowed under article 8 and outside the Immigration Rules. </w:t>
      </w:r>
    </w:p>
    <w:p w:rsidR="00AA4635" w:rsidRPr="00AA4635" w:rsidRDefault="00AA4635" w:rsidP="00AA4635">
      <w:pPr>
        <w:spacing w:before="240"/>
        <w:ind w:left="567"/>
        <w:jc w:val="both"/>
        <w:rPr>
          <w:rFonts w:ascii="Book Antiqua" w:hAnsi="Book Antiqua" w:cs="Arial"/>
        </w:rPr>
      </w:pPr>
      <w:r>
        <w:rPr>
          <w:rFonts w:ascii="Book Antiqua" w:hAnsi="Book Antiqua" w:cs="Arial"/>
          <w:b/>
          <w:u w:val="single"/>
        </w:rPr>
        <w:t>FINDINGS</w:t>
      </w:r>
    </w:p>
    <w:p w:rsidR="00180639" w:rsidRPr="00AA4635" w:rsidRDefault="00E07601" w:rsidP="00AA4635">
      <w:pPr>
        <w:numPr>
          <w:ilvl w:val="0"/>
          <w:numId w:val="3"/>
        </w:numPr>
        <w:spacing w:before="240"/>
        <w:jc w:val="both"/>
        <w:rPr>
          <w:rStyle w:val="Strong"/>
          <w:rFonts w:ascii="Book Antiqua" w:hAnsi="Book Antiqua" w:cs="Arial"/>
          <w:b w:val="0"/>
          <w:bCs w:val="0"/>
        </w:rPr>
      </w:pPr>
      <w:r w:rsidRPr="00180639">
        <w:rPr>
          <w:rFonts w:ascii="Book Antiqua" w:hAnsi="Book Antiqua" w:cs="Arial"/>
        </w:rPr>
        <w:t xml:space="preserve">The matter came before me on </w:t>
      </w:r>
      <w:r w:rsidR="00223EA7" w:rsidRPr="00180639">
        <w:rPr>
          <w:rFonts w:ascii="Book Antiqua" w:hAnsi="Book Antiqua" w:cs="Arial"/>
        </w:rPr>
        <w:t xml:space="preserve">the above-date. </w:t>
      </w:r>
      <w:r w:rsidR="00180639" w:rsidRPr="00180639">
        <w:rPr>
          <w:rFonts w:ascii="Book Antiqua" w:hAnsi="Book Antiqua" w:cs="Arial"/>
        </w:rPr>
        <w:t>I pointed out to the parties the recent decision</w:t>
      </w:r>
      <w:r w:rsidR="00AA4635">
        <w:rPr>
          <w:rFonts w:ascii="Book Antiqua" w:hAnsi="Book Antiqua" w:cs="Arial"/>
        </w:rPr>
        <w:t xml:space="preserve"> of</w:t>
      </w:r>
      <w:r w:rsidR="00180639" w:rsidRPr="00180639">
        <w:rPr>
          <w:rFonts w:ascii="Book Antiqua" w:hAnsi="Book Antiqua" w:cs="Arial"/>
        </w:rPr>
        <w:t xml:space="preserve"> </w:t>
      </w:r>
      <w:hyperlink r:id="rId8" w:history="1">
        <w:r w:rsidR="00180639" w:rsidRPr="00180639">
          <w:rPr>
            <w:rStyle w:val="Strong"/>
            <w:rFonts w:ascii="Book Antiqua" w:hAnsi="Book Antiqua"/>
            <w:b w:val="0"/>
            <w:iCs/>
            <w:u w:val="single"/>
            <w:bdr w:val="none" w:sz="0" w:space="0" w:color="auto" w:frame="1"/>
          </w:rPr>
          <w:t xml:space="preserve">Secretary of State for the Home Department v </w:t>
        </w:r>
        <w:proofErr w:type="spellStart"/>
        <w:r w:rsidR="00180639" w:rsidRPr="00180639">
          <w:rPr>
            <w:rStyle w:val="Strong"/>
            <w:rFonts w:ascii="Book Antiqua" w:hAnsi="Book Antiqua"/>
            <w:b w:val="0"/>
            <w:iCs/>
            <w:u w:val="single"/>
            <w:bdr w:val="none" w:sz="0" w:space="0" w:color="auto" w:frame="1"/>
          </w:rPr>
          <w:t>Onuorah</w:t>
        </w:r>
        <w:proofErr w:type="spellEnd"/>
        <w:r w:rsidR="00180639" w:rsidRPr="00180639">
          <w:rPr>
            <w:rStyle w:val="Strong"/>
            <w:rFonts w:ascii="Book Antiqua" w:hAnsi="Book Antiqua"/>
            <w:b w:val="0"/>
            <w:bdr w:val="none" w:sz="0" w:space="0" w:color="auto" w:frame="1"/>
          </w:rPr>
          <w:t xml:space="preserve"> [2017] EWCA </w:t>
        </w:r>
        <w:proofErr w:type="spellStart"/>
        <w:r w:rsidR="00180639" w:rsidRPr="00180639">
          <w:rPr>
            <w:rStyle w:val="Strong"/>
            <w:rFonts w:ascii="Book Antiqua" w:hAnsi="Book Antiqua"/>
            <w:b w:val="0"/>
            <w:bdr w:val="none" w:sz="0" w:space="0" w:color="auto" w:frame="1"/>
          </w:rPr>
          <w:t>Civ</w:t>
        </w:r>
        <w:proofErr w:type="spellEnd"/>
        <w:r w:rsidR="00180639" w:rsidRPr="00180639">
          <w:rPr>
            <w:rStyle w:val="Strong"/>
            <w:rFonts w:ascii="Book Antiqua" w:hAnsi="Book Antiqua"/>
            <w:b w:val="0"/>
            <w:bdr w:val="none" w:sz="0" w:space="0" w:color="auto" w:frame="1"/>
          </w:rPr>
          <w:t xml:space="preserve"> 1757</w:t>
        </w:r>
      </w:hyperlink>
      <w:r w:rsidR="00180639">
        <w:rPr>
          <w:rFonts w:ascii="Book Antiqua" w:hAnsi="Book Antiqua"/>
          <w:b/>
        </w:rPr>
        <w:t xml:space="preserve"> </w:t>
      </w:r>
      <w:r w:rsidR="00180639" w:rsidRPr="00180639">
        <w:rPr>
          <w:rFonts w:ascii="Book Antiqua" w:hAnsi="Book Antiqua"/>
        </w:rPr>
        <w:t>in which the Court of Appeal</w:t>
      </w:r>
      <w:r w:rsidR="00180639" w:rsidRPr="00180639">
        <w:rPr>
          <w:rFonts w:ascii="Book Antiqua" w:hAnsi="Book Antiqua"/>
          <w:b/>
        </w:rPr>
        <w:t xml:space="preserve"> </w:t>
      </w:r>
      <w:r w:rsidR="00180639" w:rsidRPr="00180639">
        <w:rPr>
          <w:rStyle w:val="Strong"/>
          <w:rFonts w:ascii="Book Antiqua" w:hAnsi="Book Antiqua"/>
          <w:b w:val="0"/>
          <w:color w:val="333333"/>
          <w:bdr w:val="none" w:sz="0" w:space="0" w:color="auto" w:frame="1"/>
          <w:shd w:val="clear" w:color="auto" w:fill="FFFFFF"/>
        </w:rPr>
        <w:t xml:space="preserve">unanimously held that short visits to the UK do not engage either family life or private life within the meaning </w:t>
      </w:r>
      <w:r w:rsidR="00180639" w:rsidRPr="00180639">
        <w:rPr>
          <w:rStyle w:val="Strong"/>
          <w:rFonts w:ascii="Book Antiqua" w:hAnsi="Book Antiqua"/>
          <w:b w:val="0"/>
          <w:bdr w:val="none" w:sz="0" w:space="0" w:color="auto" w:frame="1"/>
          <w:shd w:val="clear" w:color="auto" w:fill="FFFFFF"/>
        </w:rPr>
        <w:t>of </w:t>
      </w:r>
      <w:hyperlink r:id="rId9" w:history="1">
        <w:r w:rsidR="00180639" w:rsidRPr="00180639">
          <w:rPr>
            <w:rStyle w:val="Hyperlink"/>
            <w:rFonts w:ascii="Book Antiqua" w:hAnsi="Book Antiqua"/>
            <w:bCs/>
            <w:color w:val="auto"/>
            <w:u w:val="none"/>
            <w:bdr w:val="none" w:sz="0" w:space="0" w:color="auto" w:frame="1"/>
          </w:rPr>
          <w:t>article 8</w:t>
        </w:r>
      </w:hyperlink>
      <w:r w:rsidR="00180639" w:rsidRPr="00180639">
        <w:rPr>
          <w:rStyle w:val="Strong"/>
          <w:rFonts w:ascii="Book Antiqua" w:hAnsi="Book Antiqua"/>
          <w:b w:val="0"/>
          <w:color w:val="333333"/>
          <w:bdr w:val="none" w:sz="0" w:space="0" w:color="auto" w:frame="1"/>
          <w:shd w:val="clear" w:color="auto" w:fill="FFFFFF"/>
        </w:rPr>
        <w:t> </w:t>
      </w:r>
      <w:hyperlink r:id="rId10" w:history="1">
        <w:r w:rsidR="00180639" w:rsidRPr="00180639">
          <w:rPr>
            <w:rStyle w:val="Hyperlink"/>
            <w:rFonts w:ascii="Book Antiqua" w:hAnsi="Book Antiqua"/>
            <w:bCs/>
            <w:color w:val="auto"/>
            <w:u w:val="none"/>
            <w:bdr w:val="none" w:sz="0" w:space="0" w:color="auto" w:frame="1"/>
          </w:rPr>
          <w:t>ECHR</w:t>
        </w:r>
      </w:hyperlink>
      <w:r w:rsidR="00180639">
        <w:rPr>
          <w:rStyle w:val="Strong"/>
          <w:rFonts w:ascii="Book Antiqua" w:hAnsi="Book Antiqua"/>
          <w:bdr w:val="none" w:sz="0" w:space="0" w:color="auto" w:frame="1"/>
          <w:shd w:val="clear" w:color="auto" w:fill="FFFFFF"/>
        </w:rPr>
        <w:t xml:space="preserve">. </w:t>
      </w:r>
      <w:r w:rsidR="00AA4635">
        <w:rPr>
          <w:rStyle w:val="Strong"/>
          <w:rFonts w:ascii="Book Antiqua" w:hAnsi="Book Antiqua"/>
          <w:b w:val="0"/>
          <w:bdr w:val="none" w:sz="0" w:space="0" w:color="auto" w:frame="1"/>
          <w:shd w:val="clear" w:color="auto" w:fill="FFFFFF"/>
        </w:rPr>
        <w:t>I also have had rega</w:t>
      </w:r>
      <w:r w:rsidR="00AA4635" w:rsidRPr="00AA4635">
        <w:rPr>
          <w:rStyle w:val="Strong"/>
          <w:rFonts w:ascii="Book Antiqua" w:hAnsi="Book Antiqua"/>
          <w:b w:val="0"/>
          <w:bdr w:val="none" w:sz="0" w:space="0" w:color="auto" w:frame="1"/>
          <w:shd w:val="clear" w:color="auto" w:fill="FFFFFF"/>
        </w:rPr>
        <w:t xml:space="preserve">rd to </w:t>
      </w:r>
      <w:r w:rsidR="00AA4635" w:rsidRPr="00AA4635">
        <w:rPr>
          <w:rFonts w:ascii="Book Antiqua" w:hAnsi="Book Antiqua"/>
          <w:color w:val="000000"/>
          <w:u w:val="single"/>
        </w:rPr>
        <w:t xml:space="preserve">TZ (Pakistan) and PG (India) v The Secretary of State for the Home Department </w:t>
      </w:r>
      <w:r w:rsidR="00AA4635" w:rsidRPr="00AA4635">
        <w:rPr>
          <w:rFonts w:ascii="Book Antiqua" w:hAnsi="Book Antiqua"/>
          <w:color w:val="000000"/>
        </w:rPr>
        <w:t xml:space="preserve">[2018] EWCA </w:t>
      </w:r>
      <w:proofErr w:type="spellStart"/>
      <w:r w:rsidR="00AA4635" w:rsidRPr="00AA4635">
        <w:rPr>
          <w:rFonts w:ascii="Book Antiqua" w:hAnsi="Book Antiqua"/>
          <w:color w:val="000000"/>
        </w:rPr>
        <w:t>Civ</w:t>
      </w:r>
      <w:proofErr w:type="spellEnd"/>
      <w:r w:rsidR="00AA4635" w:rsidRPr="00AA4635">
        <w:rPr>
          <w:rFonts w:ascii="Book Antiqua" w:hAnsi="Book Antiqua"/>
          <w:color w:val="000000"/>
        </w:rPr>
        <w:t xml:space="preserve"> 1109</w:t>
      </w:r>
      <w:r w:rsidR="00AA4635">
        <w:rPr>
          <w:rStyle w:val="Strong"/>
          <w:rFonts w:ascii="Book Antiqua" w:hAnsi="Book Antiqua"/>
          <w:b w:val="0"/>
          <w:bdr w:val="none" w:sz="0" w:space="0" w:color="auto" w:frame="1"/>
          <w:shd w:val="clear" w:color="auto" w:fill="FFFFFF"/>
        </w:rPr>
        <w:t xml:space="preserve">. </w:t>
      </w:r>
    </w:p>
    <w:p w:rsidR="00AA4635" w:rsidRDefault="00AA4635" w:rsidP="00AA4635">
      <w:pPr>
        <w:numPr>
          <w:ilvl w:val="0"/>
          <w:numId w:val="3"/>
        </w:numPr>
        <w:spacing w:before="240"/>
        <w:jc w:val="both"/>
        <w:rPr>
          <w:rFonts w:ascii="Book Antiqua" w:hAnsi="Book Antiqua" w:cs="Arial"/>
        </w:rPr>
      </w:pPr>
      <w:r>
        <w:rPr>
          <w:rFonts w:ascii="Book Antiqua" w:hAnsi="Book Antiqua" w:cs="Arial"/>
        </w:rPr>
        <w:t xml:space="preserve">Judge </w:t>
      </w:r>
      <w:r w:rsidR="0002631F">
        <w:rPr>
          <w:rFonts w:ascii="Book Antiqua" w:hAnsi="Book Antiqua" w:cs="Arial"/>
        </w:rPr>
        <w:t xml:space="preserve">Herbert </w:t>
      </w:r>
      <w:r>
        <w:rPr>
          <w:rFonts w:ascii="Book Antiqua" w:hAnsi="Book Antiqua" w:cs="Arial"/>
        </w:rPr>
        <w:t xml:space="preserve">was tasked with dealing with a rehearing of an appeal against the respondent’s decision to refuse entry clearance </w:t>
      </w:r>
      <w:proofErr w:type="gramStart"/>
      <w:r>
        <w:rPr>
          <w:rFonts w:ascii="Book Antiqua" w:hAnsi="Book Antiqua" w:cs="Arial"/>
        </w:rPr>
        <w:t>for the purpose of</w:t>
      </w:r>
      <w:proofErr w:type="gramEnd"/>
      <w:r>
        <w:rPr>
          <w:rFonts w:ascii="Book Antiqua" w:hAnsi="Book Antiqua" w:cs="Arial"/>
        </w:rPr>
        <w:t xml:space="preserve"> a family visit on March 13, 2015. The first-named appellant wished to visit her son and his family</w:t>
      </w:r>
      <w:r w:rsidR="00425AD8">
        <w:rPr>
          <w:rFonts w:ascii="Book Antiqua" w:hAnsi="Book Antiqua" w:cs="Arial"/>
        </w:rPr>
        <w:t xml:space="preserve"> whereas the second-named appellant wished to visit her brother and his family.</w:t>
      </w:r>
    </w:p>
    <w:p w:rsidR="00AA4635" w:rsidRDefault="00425AD8" w:rsidP="00AA4635">
      <w:pPr>
        <w:numPr>
          <w:ilvl w:val="0"/>
          <w:numId w:val="3"/>
        </w:numPr>
        <w:spacing w:before="240"/>
        <w:jc w:val="both"/>
        <w:rPr>
          <w:rFonts w:ascii="Book Antiqua" w:hAnsi="Book Antiqua" w:cs="Arial"/>
        </w:rPr>
      </w:pPr>
      <w:r>
        <w:rPr>
          <w:rFonts w:ascii="Book Antiqua" w:hAnsi="Book Antiqua" w:cs="Arial"/>
        </w:rPr>
        <w:t xml:space="preserve">In refusing the applications the respondent was not satisfied that the appellants intended to leave the United Kingdom </w:t>
      </w:r>
      <w:proofErr w:type="gramStart"/>
      <w:r>
        <w:rPr>
          <w:rFonts w:ascii="Book Antiqua" w:hAnsi="Book Antiqua" w:cs="Arial"/>
        </w:rPr>
        <w:t>at the conclusion of</w:t>
      </w:r>
      <w:proofErr w:type="gramEnd"/>
      <w:r>
        <w:rPr>
          <w:rFonts w:ascii="Book Antiqua" w:hAnsi="Book Antiqua" w:cs="Arial"/>
        </w:rPr>
        <w:t xml:space="preserve"> their visit. </w:t>
      </w:r>
    </w:p>
    <w:p w:rsidR="00425AD8" w:rsidRDefault="00425AD8" w:rsidP="00AA4635">
      <w:pPr>
        <w:numPr>
          <w:ilvl w:val="0"/>
          <w:numId w:val="3"/>
        </w:numPr>
        <w:spacing w:before="240"/>
        <w:jc w:val="both"/>
        <w:rPr>
          <w:rFonts w:ascii="Book Antiqua" w:hAnsi="Book Antiqua" w:cs="Arial"/>
        </w:rPr>
      </w:pPr>
      <w:r>
        <w:rPr>
          <w:rFonts w:ascii="Book Antiqua" w:hAnsi="Book Antiqua" w:cs="Arial"/>
        </w:rPr>
        <w:t xml:space="preserve">The Judge heard evidence that the first-named appellant relied on her son for some financial support and during their regular contact he ensured that she took her daily medication and ensured that she was well. He was unable to travel to Bangladesh on a regular basis because he was self-employed and was not paid whilst on vacation. The Judge noted that both appellants had previously visited the United Kingdom and had stayed with family. The Judge placed significant weight on the relationship between a grandparent and grandchild and observed that unless she was granted entry clearance she would be unable to have the connection she desired with her grandchildren. </w:t>
      </w:r>
    </w:p>
    <w:p w:rsidR="00425AD8" w:rsidRPr="00AA4635" w:rsidRDefault="00425AD8" w:rsidP="00AA4635">
      <w:pPr>
        <w:numPr>
          <w:ilvl w:val="0"/>
          <w:numId w:val="3"/>
        </w:numPr>
        <w:spacing w:before="240"/>
        <w:jc w:val="both"/>
        <w:rPr>
          <w:rFonts w:ascii="Book Antiqua" w:hAnsi="Book Antiqua" w:cs="Arial"/>
        </w:rPr>
      </w:pPr>
      <w:r>
        <w:rPr>
          <w:rFonts w:ascii="Book Antiqua" w:hAnsi="Book Antiqua" w:cs="Arial"/>
        </w:rPr>
        <w:t>The Judge concluded that the Immigration Rules were met and that the appellant</w:t>
      </w:r>
      <w:r w:rsidR="0002631F">
        <w:rPr>
          <w:rFonts w:ascii="Book Antiqua" w:hAnsi="Book Antiqua" w:cs="Arial"/>
        </w:rPr>
        <w:t>s</w:t>
      </w:r>
      <w:r>
        <w:rPr>
          <w:rFonts w:ascii="Book Antiqua" w:hAnsi="Book Antiqua" w:cs="Arial"/>
        </w:rPr>
        <w:t xml:space="preserve"> had strong community ties in Bangladesh and that electronic means of communication were no substitute for grandparents and aunts with young children. The economic cost of taking a family to Bangladesh was far greater </w:t>
      </w:r>
      <w:r w:rsidR="0002631F">
        <w:rPr>
          <w:rFonts w:ascii="Book Antiqua" w:hAnsi="Book Antiqua" w:cs="Arial"/>
        </w:rPr>
        <w:t>than</w:t>
      </w:r>
      <w:r>
        <w:rPr>
          <w:rFonts w:ascii="Book Antiqua" w:hAnsi="Book Antiqua" w:cs="Arial"/>
        </w:rPr>
        <w:t xml:space="preserve"> the appellant</w:t>
      </w:r>
      <w:r w:rsidR="0002631F">
        <w:rPr>
          <w:rFonts w:ascii="Book Antiqua" w:hAnsi="Book Antiqua" w:cs="Arial"/>
        </w:rPr>
        <w:t>s</w:t>
      </w:r>
      <w:r>
        <w:rPr>
          <w:rFonts w:ascii="Book Antiqua" w:hAnsi="Book Antiqua" w:cs="Arial"/>
        </w:rPr>
        <w:t xml:space="preserve"> visiting the United Kingdom. </w:t>
      </w:r>
    </w:p>
    <w:p w:rsidR="00425AD8" w:rsidRPr="00425AD8" w:rsidRDefault="00A42B08" w:rsidP="006F5314">
      <w:pPr>
        <w:numPr>
          <w:ilvl w:val="0"/>
          <w:numId w:val="3"/>
        </w:numPr>
        <w:spacing w:before="240"/>
        <w:jc w:val="both"/>
        <w:rPr>
          <w:rFonts w:ascii="Book Antiqua" w:hAnsi="Book Antiqua" w:cs="Arial"/>
        </w:rPr>
      </w:pPr>
      <w:r>
        <w:rPr>
          <w:rFonts w:ascii="Book Antiqua" w:hAnsi="Book Antiqua"/>
        </w:rPr>
        <w:t>It is clear from the findings of fact made that the Judge formed the view that the appellants</w:t>
      </w:r>
      <w:r w:rsidR="0002631F">
        <w:rPr>
          <w:rFonts w:ascii="Book Antiqua" w:hAnsi="Book Antiqua"/>
        </w:rPr>
        <w:t>’</w:t>
      </w:r>
      <w:r>
        <w:rPr>
          <w:rFonts w:ascii="Book Antiqua" w:hAnsi="Book Antiqua"/>
        </w:rPr>
        <w:t xml:space="preserve"> entry clearance application</w:t>
      </w:r>
      <w:r w:rsidR="0002631F">
        <w:rPr>
          <w:rFonts w:ascii="Book Antiqua" w:hAnsi="Book Antiqua"/>
        </w:rPr>
        <w:t>s</w:t>
      </w:r>
      <w:r>
        <w:rPr>
          <w:rFonts w:ascii="Book Antiqua" w:hAnsi="Book Antiqua"/>
        </w:rPr>
        <w:t xml:space="preserve"> should have been allowed. The Judge said as much </w:t>
      </w:r>
      <w:r w:rsidR="0002631F">
        <w:rPr>
          <w:rFonts w:ascii="Book Antiqua" w:hAnsi="Book Antiqua"/>
        </w:rPr>
        <w:t>in</w:t>
      </w:r>
      <w:r>
        <w:rPr>
          <w:rFonts w:ascii="Book Antiqua" w:hAnsi="Book Antiqua"/>
        </w:rPr>
        <w:t xml:space="preserve"> paragraph </w:t>
      </w:r>
      <w:r w:rsidR="00425AD8">
        <w:rPr>
          <w:rFonts w:ascii="Book Antiqua" w:hAnsi="Book Antiqua"/>
        </w:rPr>
        <w:t>12</w:t>
      </w:r>
      <w:r>
        <w:rPr>
          <w:rFonts w:ascii="Book Antiqua" w:hAnsi="Book Antiqua"/>
        </w:rPr>
        <w:t xml:space="preserve"> of his decision. </w:t>
      </w:r>
    </w:p>
    <w:p w:rsidR="00425AD8" w:rsidRDefault="00425AD8" w:rsidP="006F5314">
      <w:pPr>
        <w:numPr>
          <w:ilvl w:val="0"/>
          <w:numId w:val="3"/>
        </w:numPr>
        <w:spacing w:before="240"/>
        <w:jc w:val="both"/>
        <w:rPr>
          <w:rFonts w:ascii="Book Antiqua" w:hAnsi="Book Antiqua" w:cs="Arial"/>
        </w:rPr>
      </w:pPr>
      <w:r>
        <w:rPr>
          <w:rFonts w:ascii="Book Antiqua" w:hAnsi="Book Antiqua" w:cs="Arial"/>
        </w:rPr>
        <w:t xml:space="preserve">The challenge to the Judge’s decision is that the Judge failed to identify why article 8 was engaged. The mere fact they are related is insufficient and Mr Hassan relies on the decision of </w:t>
      </w:r>
      <w:r>
        <w:rPr>
          <w:rFonts w:ascii="Book Antiqua" w:hAnsi="Book Antiqua" w:cs="Arial"/>
          <w:u w:val="single"/>
        </w:rPr>
        <w:t>Kaur</w:t>
      </w:r>
      <w:r>
        <w:rPr>
          <w:rFonts w:ascii="Book Antiqua" w:hAnsi="Book Antiqua" w:cs="Arial"/>
        </w:rPr>
        <w:t xml:space="preserve"> to support his argument that the Judge reached a finding that was open to him.</w:t>
      </w:r>
    </w:p>
    <w:p w:rsidR="004B7AA4" w:rsidRDefault="004B7AA4" w:rsidP="006F5314">
      <w:pPr>
        <w:numPr>
          <w:ilvl w:val="0"/>
          <w:numId w:val="3"/>
        </w:numPr>
        <w:spacing w:before="240"/>
        <w:jc w:val="both"/>
        <w:rPr>
          <w:rFonts w:ascii="Book Antiqua" w:hAnsi="Book Antiqua" w:cs="Arial"/>
        </w:rPr>
      </w:pPr>
      <w:r>
        <w:rPr>
          <w:rFonts w:ascii="Book Antiqua" w:hAnsi="Book Antiqua" w:cs="Arial"/>
        </w:rPr>
        <w:t xml:space="preserve">The Tribunal in </w:t>
      </w:r>
      <w:r>
        <w:rPr>
          <w:rFonts w:ascii="Book Antiqua" w:hAnsi="Book Antiqua" w:cs="Arial"/>
          <w:u w:val="single"/>
        </w:rPr>
        <w:t>Kaur</w:t>
      </w:r>
      <w:r>
        <w:rPr>
          <w:rFonts w:ascii="Book Antiqua" w:hAnsi="Book Antiqua" w:cs="Arial"/>
        </w:rPr>
        <w:t xml:space="preserve"> stated-</w:t>
      </w:r>
    </w:p>
    <w:p w:rsidR="004B7AA4" w:rsidRDefault="004B7AA4" w:rsidP="004B7AA4">
      <w:pPr>
        <w:ind w:left="567"/>
        <w:jc w:val="both"/>
        <w:rPr>
          <w:rFonts w:ascii="Book Antiqua" w:hAnsi="Book Antiqua"/>
          <w:i/>
        </w:rPr>
      </w:pPr>
    </w:p>
    <w:p w:rsidR="004B7AA4" w:rsidRPr="004B7AA4" w:rsidRDefault="004B7AA4" w:rsidP="004B7AA4">
      <w:pPr>
        <w:tabs>
          <w:tab w:val="left" w:pos="1134"/>
        </w:tabs>
        <w:ind w:left="1134" w:right="1133"/>
        <w:jc w:val="both"/>
        <w:rPr>
          <w:rFonts w:ascii="Book Antiqua" w:hAnsi="Book Antiqua"/>
          <w:sz w:val="22"/>
          <w:szCs w:val="22"/>
        </w:rPr>
      </w:pPr>
      <w:r>
        <w:rPr>
          <w:rFonts w:ascii="Book Antiqua" w:hAnsi="Book Antiqua"/>
          <w:sz w:val="22"/>
          <w:szCs w:val="22"/>
        </w:rPr>
        <w:lastRenderedPageBreak/>
        <w:t>“</w:t>
      </w:r>
      <w:r w:rsidRPr="004B7AA4">
        <w:rPr>
          <w:rFonts w:ascii="Book Antiqua" w:hAnsi="Book Antiqua"/>
          <w:sz w:val="22"/>
          <w:szCs w:val="22"/>
        </w:rPr>
        <w:t xml:space="preserve">In visit appeals the Article 8 decision on an appeal cannot be made in a vacuum.  Whilst judges only have jurisdiction to decide whether the decision is unlawful under s.6 of the Human Rights Act 1998 (or shows unlawful discrimination) (see </w:t>
      </w:r>
      <w:r w:rsidRPr="004B7AA4">
        <w:rPr>
          <w:rFonts w:ascii="Book Antiqua" w:hAnsi="Book Antiqua"/>
          <w:sz w:val="22"/>
          <w:szCs w:val="22"/>
          <w:u w:val="single"/>
        </w:rPr>
        <w:t>Mostafa (Article 8 in entry clearance)</w:t>
      </w:r>
      <w:r w:rsidRPr="004B7AA4">
        <w:rPr>
          <w:rFonts w:ascii="Book Antiqua" w:hAnsi="Book Antiqua"/>
          <w:b/>
          <w:sz w:val="22"/>
          <w:szCs w:val="22"/>
        </w:rPr>
        <w:t xml:space="preserve"> </w:t>
      </w:r>
      <w:r w:rsidRPr="004B7AA4">
        <w:rPr>
          <w:rFonts w:ascii="Book Antiqua" w:hAnsi="Book Antiqua"/>
          <w:sz w:val="22"/>
          <w:szCs w:val="22"/>
        </w:rPr>
        <w:t>[2015] UKUT 00112 (IAC</w:t>
      </w:r>
      <w:r w:rsidRPr="004B7AA4">
        <w:rPr>
          <w:rFonts w:ascii="Book Antiqua" w:hAnsi="Book Antiqua"/>
          <w:b/>
          <w:sz w:val="22"/>
          <w:szCs w:val="22"/>
        </w:rPr>
        <w:t>)</w:t>
      </w:r>
      <w:r w:rsidRPr="004B7AA4">
        <w:rPr>
          <w:rFonts w:ascii="Book Antiqua" w:hAnsi="Book Antiqua"/>
          <w:sz w:val="22"/>
          <w:szCs w:val="22"/>
        </w:rPr>
        <w:t xml:space="preserve"> and </w:t>
      </w:r>
      <w:r w:rsidRPr="004B7AA4">
        <w:rPr>
          <w:rFonts w:ascii="Book Antiqua" w:hAnsi="Book Antiqua"/>
          <w:sz w:val="22"/>
          <w:szCs w:val="22"/>
          <w:u w:val="single"/>
        </w:rPr>
        <w:t>Adjei (visit visas – Article 8)</w:t>
      </w:r>
      <w:r w:rsidRPr="004B7AA4">
        <w:rPr>
          <w:rFonts w:ascii="Book Antiqua" w:hAnsi="Book Antiqua"/>
          <w:b/>
          <w:sz w:val="22"/>
          <w:szCs w:val="22"/>
        </w:rPr>
        <w:t xml:space="preserve"> </w:t>
      </w:r>
      <w:r w:rsidRPr="004B7AA4">
        <w:rPr>
          <w:rFonts w:ascii="Book Antiqua" w:hAnsi="Book Antiqua"/>
          <w:sz w:val="22"/>
          <w:szCs w:val="22"/>
        </w:rPr>
        <w:t>[2015] UKUT 0261 (IAC)), the starting-point for deciding that must be the state of the evidence about the appellant’s ability to meet the requirements of paragraph 41 of the immigration rules.</w:t>
      </w:r>
    </w:p>
    <w:p w:rsidR="004B7AA4" w:rsidRPr="004B7AA4" w:rsidRDefault="004B7AA4" w:rsidP="004B7AA4">
      <w:pPr>
        <w:tabs>
          <w:tab w:val="left" w:pos="1134"/>
          <w:tab w:val="left" w:pos="2520"/>
        </w:tabs>
        <w:ind w:left="1134" w:right="1133"/>
        <w:rPr>
          <w:sz w:val="22"/>
          <w:szCs w:val="22"/>
        </w:rPr>
      </w:pPr>
    </w:p>
    <w:p w:rsidR="004B7AA4" w:rsidRPr="004B7AA4" w:rsidRDefault="004B7AA4" w:rsidP="004B7AA4">
      <w:pPr>
        <w:pStyle w:val="parag"/>
        <w:tabs>
          <w:tab w:val="clear" w:pos="567"/>
          <w:tab w:val="left" w:pos="1134"/>
        </w:tabs>
        <w:ind w:left="1134" w:right="1133" w:firstLine="0"/>
        <w:rPr>
          <w:sz w:val="22"/>
          <w:szCs w:val="22"/>
        </w:rPr>
      </w:pPr>
      <w:r w:rsidRPr="004B7AA4">
        <w:rPr>
          <w:sz w:val="22"/>
          <w:szCs w:val="22"/>
        </w:rPr>
        <w:t xml:space="preserve">The restriction in visitor cases of grounds of appeal to human rights does not mean that judges are relieved of their ordinary duties of fact-finding or that they must approach these in a qualitatively different way.  Where relevant to the Article 8 assessment, disputes as to the facts must be resolved by </w:t>
      </w:r>
      <w:proofErr w:type="gramStart"/>
      <w:r w:rsidRPr="004B7AA4">
        <w:rPr>
          <w:sz w:val="22"/>
          <w:szCs w:val="22"/>
        </w:rPr>
        <w:t>taking into account</w:t>
      </w:r>
      <w:proofErr w:type="gramEnd"/>
      <w:r w:rsidRPr="004B7AA4">
        <w:rPr>
          <w:sz w:val="22"/>
          <w:szCs w:val="22"/>
        </w:rPr>
        <w:t xml:space="preserve"> the evidence on both sides: see </w:t>
      </w:r>
      <w:r w:rsidRPr="004B7AA4">
        <w:rPr>
          <w:sz w:val="22"/>
          <w:szCs w:val="22"/>
          <w:u w:val="single"/>
        </w:rPr>
        <w:t>Adjei</w:t>
      </w:r>
      <w:r w:rsidRPr="004B7AA4">
        <w:rPr>
          <w:sz w:val="22"/>
          <w:szCs w:val="22"/>
        </w:rPr>
        <w:t xml:space="preserve"> at [10] bearing in mind that the burden of proof rests on the appellant.</w:t>
      </w:r>
    </w:p>
    <w:p w:rsidR="004B7AA4" w:rsidRPr="004B7AA4" w:rsidRDefault="004B7AA4" w:rsidP="004B7AA4">
      <w:pPr>
        <w:tabs>
          <w:tab w:val="left" w:pos="1134"/>
          <w:tab w:val="left" w:pos="2520"/>
        </w:tabs>
        <w:ind w:left="1134" w:right="1133"/>
        <w:rPr>
          <w:sz w:val="22"/>
          <w:szCs w:val="22"/>
        </w:rPr>
      </w:pPr>
    </w:p>
    <w:p w:rsidR="004B7AA4" w:rsidRPr="00425AD8" w:rsidRDefault="004B7AA4" w:rsidP="004B7AA4">
      <w:pPr>
        <w:tabs>
          <w:tab w:val="left" w:pos="1134"/>
        </w:tabs>
        <w:spacing w:before="240"/>
        <w:ind w:left="1134" w:right="1133"/>
        <w:jc w:val="both"/>
        <w:rPr>
          <w:rFonts w:ascii="Book Antiqua" w:hAnsi="Book Antiqua" w:cs="Arial"/>
        </w:rPr>
      </w:pPr>
      <w:r w:rsidRPr="004B7AA4">
        <w:rPr>
          <w:rFonts w:ascii="Book Antiqua" w:hAnsi="Book Antiqua"/>
          <w:sz w:val="22"/>
          <w:szCs w:val="22"/>
        </w:rPr>
        <w:t>Unless an appellant can show that there are individual interests at stake covered by Article 8 “of a particularly pressing nature” so as to give rise to a “strong claim that compelling circumstances may exist to jus</w:t>
      </w:r>
      <w:r w:rsidRPr="004B7AA4">
        <w:rPr>
          <w:rStyle w:val="paragChar"/>
          <w:sz w:val="22"/>
          <w:szCs w:val="22"/>
        </w:rPr>
        <w:t>t</w:t>
      </w:r>
      <w:r w:rsidRPr="004B7AA4">
        <w:rPr>
          <w:rFonts w:ascii="Book Antiqua" w:hAnsi="Book Antiqua"/>
          <w:sz w:val="22"/>
          <w:szCs w:val="22"/>
        </w:rPr>
        <w:t xml:space="preserve">ify the grant of LTE [Leave to Enter] outside the rules”: (see </w:t>
      </w:r>
      <w:r w:rsidRPr="004B7AA4">
        <w:rPr>
          <w:rFonts w:ascii="Book Antiqua" w:hAnsi="Book Antiqua"/>
          <w:sz w:val="22"/>
          <w:szCs w:val="22"/>
          <w:u w:val="single"/>
        </w:rPr>
        <w:t>SS (Congo)</w:t>
      </w:r>
      <w:r w:rsidRPr="004B7AA4">
        <w:rPr>
          <w:rFonts w:ascii="Book Antiqua" w:hAnsi="Book Antiqua"/>
          <w:sz w:val="22"/>
          <w:szCs w:val="22"/>
        </w:rPr>
        <w:t xml:space="preserve"> [2015] EWCA </w:t>
      </w:r>
      <w:proofErr w:type="spellStart"/>
      <w:r w:rsidRPr="004B7AA4">
        <w:rPr>
          <w:rFonts w:ascii="Book Antiqua" w:hAnsi="Book Antiqua"/>
          <w:sz w:val="22"/>
          <w:szCs w:val="22"/>
        </w:rPr>
        <w:t>Civ</w:t>
      </w:r>
      <w:proofErr w:type="spellEnd"/>
      <w:r w:rsidRPr="004B7AA4">
        <w:rPr>
          <w:rFonts w:ascii="Book Antiqua" w:hAnsi="Book Antiqua"/>
          <w:sz w:val="22"/>
          <w:szCs w:val="22"/>
        </w:rPr>
        <w:t xml:space="preserve"> 387 at [40] and [56]) he or she is exceedingly unlikely to succeed.  That proposition must also hold good in visitor appeals.</w:t>
      </w:r>
      <w:r>
        <w:rPr>
          <w:rFonts w:ascii="Book Antiqua" w:hAnsi="Book Antiqua"/>
          <w:sz w:val="22"/>
          <w:szCs w:val="22"/>
        </w:rPr>
        <w:t>”</w:t>
      </w:r>
    </w:p>
    <w:p w:rsidR="0002631F" w:rsidRDefault="004B7AA4" w:rsidP="006F5314">
      <w:pPr>
        <w:numPr>
          <w:ilvl w:val="0"/>
          <w:numId w:val="3"/>
        </w:numPr>
        <w:spacing w:before="240"/>
        <w:jc w:val="both"/>
        <w:rPr>
          <w:rFonts w:ascii="Book Antiqua" w:hAnsi="Book Antiqua" w:cs="Arial"/>
        </w:rPr>
      </w:pPr>
      <w:r>
        <w:rPr>
          <w:rFonts w:ascii="Book Antiqua" w:hAnsi="Book Antiqua" w:cs="Arial"/>
        </w:rPr>
        <w:t>In considering whether there has been an error in law I start from the position</w:t>
      </w:r>
      <w:r w:rsidR="0002631F">
        <w:rPr>
          <w:rFonts w:ascii="Book Antiqua" w:hAnsi="Book Antiqua" w:cs="Arial"/>
        </w:rPr>
        <w:t>,</w:t>
      </w:r>
      <w:r>
        <w:rPr>
          <w:rFonts w:ascii="Book Antiqua" w:hAnsi="Book Antiqua" w:cs="Arial"/>
        </w:rPr>
        <w:t xml:space="preserve"> outlined in </w:t>
      </w:r>
      <w:r>
        <w:rPr>
          <w:rFonts w:ascii="Book Antiqua" w:hAnsi="Book Antiqua" w:cs="Arial"/>
          <w:u w:val="single"/>
        </w:rPr>
        <w:t>Kaur</w:t>
      </w:r>
      <w:r w:rsidR="0002631F">
        <w:rPr>
          <w:rFonts w:ascii="Book Antiqua" w:hAnsi="Book Antiqua" w:cs="Arial"/>
        </w:rPr>
        <w:t xml:space="preserve">, </w:t>
      </w:r>
      <w:r>
        <w:rPr>
          <w:rFonts w:ascii="Book Antiqua" w:hAnsi="Book Antiqua" w:cs="Arial"/>
        </w:rPr>
        <w:t xml:space="preserve">that the starting point is the appellants’ ability to meet the requirements of the Immigration Rules. </w:t>
      </w:r>
    </w:p>
    <w:p w:rsidR="0002631F" w:rsidRDefault="004B7AA4" w:rsidP="006F5314">
      <w:pPr>
        <w:numPr>
          <w:ilvl w:val="0"/>
          <w:numId w:val="3"/>
        </w:numPr>
        <w:spacing w:before="240"/>
        <w:jc w:val="both"/>
        <w:rPr>
          <w:rFonts w:ascii="Book Antiqua" w:hAnsi="Book Antiqua" w:cs="Arial"/>
        </w:rPr>
      </w:pPr>
      <w:r>
        <w:rPr>
          <w:rFonts w:ascii="Book Antiqua" w:hAnsi="Book Antiqua" w:cs="Arial"/>
        </w:rPr>
        <w:t>In the current appeal</w:t>
      </w:r>
      <w:r w:rsidR="0002631F">
        <w:rPr>
          <w:rFonts w:ascii="Book Antiqua" w:hAnsi="Book Antiqua" w:cs="Arial"/>
        </w:rPr>
        <w:t>s</w:t>
      </w:r>
      <w:r>
        <w:rPr>
          <w:rFonts w:ascii="Book Antiqua" w:hAnsi="Book Antiqua" w:cs="Arial"/>
        </w:rPr>
        <w:t xml:space="preserve"> before me</w:t>
      </w:r>
      <w:r w:rsidR="0002631F">
        <w:rPr>
          <w:rFonts w:ascii="Book Antiqua" w:hAnsi="Book Antiqua" w:cs="Arial"/>
        </w:rPr>
        <w:t xml:space="preserve">, </w:t>
      </w:r>
      <w:r>
        <w:rPr>
          <w:rFonts w:ascii="Book Antiqua" w:hAnsi="Book Antiqua" w:cs="Arial"/>
        </w:rPr>
        <w:t xml:space="preserve">Judge Herbert concluded that the Rules were met. Reliance is placed </w:t>
      </w:r>
      <w:r w:rsidR="0002631F">
        <w:rPr>
          <w:rFonts w:ascii="Book Antiqua" w:hAnsi="Book Antiqua" w:cs="Arial"/>
        </w:rPr>
        <w:t xml:space="preserve">by Mr Hassan </w:t>
      </w:r>
      <w:r>
        <w:rPr>
          <w:rFonts w:ascii="Book Antiqua" w:hAnsi="Book Antiqua" w:cs="Arial"/>
        </w:rPr>
        <w:t xml:space="preserve">on what the Tribunal stated at paragraphs 38 and 39 of the </w:t>
      </w:r>
      <w:r>
        <w:rPr>
          <w:rFonts w:ascii="Book Antiqua" w:hAnsi="Book Antiqua" w:cs="Arial"/>
          <w:u w:val="single"/>
        </w:rPr>
        <w:t>Kaur</w:t>
      </w:r>
      <w:r>
        <w:rPr>
          <w:rFonts w:ascii="Book Antiqua" w:hAnsi="Book Antiqua" w:cs="Arial"/>
        </w:rPr>
        <w:t xml:space="preserve"> decision. </w:t>
      </w:r>
    </w:p>
    <w:p w:rsidR="004B7AA4" w:rsidRPr="004B7AA4" w:rsidRDefault="004B7AA4" w:rsidP="006F5314">
      <w:pPr>
        <w:numPr>
          <w:ilvl w:val="0"/>
          <w:numId w:val="3"/>
        </w:numPr>
        <w:spacing w:before="240"/>
        <w:jc w:val="both"/>
        <w:rPr>
          <w:rFonts w:ascii="Book Antiqua" w:hAnsi="Book Antiqua" w:cs="Arial"/>
        </w:rPr>
      </w:pPr>
      <w:r>
        <w:rPr>
          <w:rFonts w:ascii="Book Antiqua" w:hAnsi="Book Antiqua" w:cs="Arial"/>
        </w:rPr>
        <w:t xml:space="preserve">Mr Hassan submitted that the Tribunal in </w:t>
      </w:r>
      <w:r>
        <w:rPr>
          <w:rFonts w:ascii="Book Antiqua" w:hAnsi="Book Antiqua" w:cs="Arial"/>
          <w:u w:val="single"/>
        </w:rPr>
        <w:t>Mostafa</w:t>
      </w:r>
      <w:r>
        <w:rPr>
          <w:rFonts w:ascii="Book Antiqua" w:hAnsi="Book Antiqua" w:cs="Arial"/>
        </w:rPr>
        <w:t xml:space="preserve"> did not rule out human rights appeals in entry clearance applications for people other than married couples and argued that the Judge was entitled to find the relationship between the first-named appellant’s grandchildren and the first named appellant was sufficient to engage article 8 because she played a considerable part in their family life. He further argued, relying on </w:t>
      </w:r>
      <w:r>
        <w:rPr>
          <w:rFonts w:ascii="Book Antiqua" w:hAnsi="Book Antiqua" w:cs="Arial"/>
          <w:u w:val="single"/>
        </w:rPr>
        <w:t>Kaur</w:t>
      </w:r>
      <w:r>
        <w:rPr>
          <w:rFonts w:ascii="Book Antiqua" w:hAnsi="Book Antiqua" w:cs="Arial"/>
        </w:rPr>
        <w:t>, that ties between an elderly grandmother and her son/grandchildren could fall within the scope of article 8 ECHR.</w:t>
      </w:r>
    </w:p>
    <w:p w:rsidR="004B7AA4" w:rsidRDefault="00431EB3" w:rsidP="006F5314">
      <w:pPr>
        <w:numPr>
          <w:ilvl w:val="0"/>
          <w:numId w:val="3"/>
        </w:numPr>
        <w:spacing w:before="240"/>
        <w:jc w:val="both"/>
        <w:rPr>
          <w:rFonts w:ascii="Book Antiqua" w:hAnsi="Book Antiqua" w:cs="Arial"/>
        </w:rPr>
      </w:pPr>
      <w:r>
        <w:rPr>
          <w:rFonts w:ascii="Book Antiqua" w:hAnsi="Book Antiqua" w:cs="Arial"/>
        </w:rPr>
        <w:t>Permission to appeal was given on the basis that the Judge had failed to explain how these circumstances amounted to “a dependency over and above normal emotional ties”.</w:t>
      </w:r>
    </w:p>
    <w:p w:rsidR="00431EB3" w:rsidRDefault="00431EB3" w:rsidP="006F5314">
      <w:pPr>
        <w:numPr>
          <w:ilvl w:val="0"/>
          <w:numId w:val="3"/>
        </w:numPr>
        <w:spacing w:before="240"/>
        <w:jc w:val="both"/>
        <w:rPr>
          <w:rFonts w:ascii="Book Antiqua" w:hAnsi="Book Antiqua" w:cs="Arial"/>
        </w:rPr>
      </w:pPr>
      <w:r>
        <w:rPr>
          <w:rFonts w:ascii="Book Antiqua" w:hAnsi="Book Antiqua" w:cs="Arial"/>
        </w:rPr>
        <w:t xml:space="preserve">The Judge appears to have fallen into the same trap that Judge Macintosh fell into namely he satisfied himself that the Rules were met and although he attempted to give reasons why their circumstances amounted to “a dependency over and above normal emotional ties” </w:t>
      </w:r>
      <w:r w:rsidR="0002631F">
        <w:rPr>
          <w:rFonts w:ascii="Book Antiqua" w:hAnsi="Book Antiqua" w:cs="Arial"/>
        </w:rPr>
        <w:t xml:space="preserve">I am satisfied </w:t>
      </w:r>
      <w:r>
        <w:rPr>
          <w:rFonts w:ascii="Book Antiqua" w:hAnsi="Book Antiqua" w:cs="Arial"/>
        </w:rPr>
        <w:t xml:space="preserve">that when the decision is read </w:t>
      </w:r>
      <w:proofErr w:type="gramStart"/>
      <w:r>
        <w:rPr>
          <w:rFonts w:ascii="Book Antiqua" w:hAnsi="Book Antiqua" w:cs="Arial"/>
        </w:rPr>
        <w:t>as a whole there</w:t>
      </w:r>
      <w:proofErr w:type="gramEnd"/>
      <w:r>
        <w:rPr>
          <w:rFonts w:ascii="Book Antiqua" w:hAnsi="Book Antiqua" w:cs="Arial"/>
        </w:rPr>
        <w:t xml:space="preserve"> is very little, if anything, to support </w:t>
      </w:r>
      <w:r w:rsidR="0002631F">
        <w:rPr>
          <w:rFonts w:ascii="Book Antiqua" w:hAnsi="Book Antiqua" w:cs="Arial"/>
        </w:rPr>
        <w:t xml:space="preserve">his </w:t>
      </w:r>
      <w:r>
        <w:rPr>
          <w:rFonts w:ascii="Book Antiqua" w:hAnsi="Book Antiqua" w:cs="Arial"/>
        </w:rPr>
        <w:t xml:space="preserve">conclusion. </w:t>
      </w:r>
    </w:p>
    <w:p w:rsidR="00431EB3" w:rsidRDefault="00431EB3" w:rsidP="006F5314">
      <w:pPr>
        <w:numPr>
          <w:ilvl w:val="0"/>
          <w:numId w:val="3"/>
        </w:numPr>
        <w:spacing w:before="240"/>
        <w:jc w:val="both"/>
        <w:rPr>
          <w:rFonts w:ascii="Book Antiqua" w:hAnsi="Book Antiqua" w:cs="Arial"/>
        </w:rPr>
      </w:pPr>
      <w:r>
        <w:rPr>
          <w:rFonts w:ascii="Book Antiqua" w:hAnsi="Book Antiqua" w:cs="Arial"/>
        </w:rPr>
        <w:lastRenderedPageBreak/>
        <w:t xml:space="preserve">Dealing with the first-named appellant’s case the Judge appears to have allowed the appeal because the first-named appellant’s son regularly speaks to her, provides financial support and it is not practical for </w:t>
      </w:r>
      <w:r w:rsidR="0002631F">
        <w:rPr>
          <w:rFonts w:ascii="Book Antiqua" w:hAnsi="Book Antiqua" w:cs="Arial"/>
        </w:rPr>
        <w:t xml:space="preserve">him </w:t>
      </w:r>
      <w:r>
        <w:rPr>
          <w:rFonts w:ascii="Book Antiqua" w:hAnsi="Book Antiqua" w:cs="Arial"/>
        </w:rPr>
        <w:t xml:space="preserve">to visit his mother in Bangladesh. Those reasons do not amount to a dependency over and above normal emotional ties. They in fact would apply to any family who are separated because they live in different countries. </w:t>
      </w:r>
    </w:p>
    <w:p w:rsidR="00431EB3" w:rsidRDefault="00431EB3" w:rsidP="006F5314">
      <w:pPr>
        <w:numPr>
          <w:ilvl w:val="0"/>
          <w:numId w:val="3"/>
        </w:numPr>
        <w:spacing w:before="240"/>
        <w:jc w:val="both"/>
        <w:rPr>
          <w:rFonts w:ascii="Book Antiqua" w:hAnsi="Book Antiqua" w:cs="Arial"/>
        </w:rPr>
      </w:pPr>
      <w:proofErr w:type="gramStart"/>
      <w:r>
        <w:rPr>
          <w:rFonts w:ascii="Book Antiqua" w:hAnsi="Book Antiqua" w:cs="Arial"/>
        </w:rPr>
        <w:t>With regard to</w:t>
      </w:r>
      <w:proofErr w:type="gramEnd"/>
      <w:r>
        <w:rPr>
          <w:rFonts w:ascii="Book Antiqua" w:hAnsi="Book Antiqua" w:cs="Arial"/>
        </w:rPr>
        <w:t xml:space="preserve"> the second-named appellant there is even less evidence of dependency. The Judge’s decision fails to address her claim effectively tagging the granting of her appeal on the back of her mother’s case.</w:t>
      </w:r>
    </w:p>
    <w:p w:rsidR="00A42B08" w:rsidRPr="006D0473" w:rsidRDefault="006B1B9F" w:rsidP="006F5314">
      <w:pPr>
        <w:numPr>
          <w:ilvl w:val="0"/>
          <w:numId w:val="3"/>
        </w:numPr>
        <w:spacing w:before="240"/>
        <w:jc w:val="both"/>
        <w:rPr>
          <w:rFonts w:ascii="Book Antiqua" w:hAnsi="Book Antiqua" w:cs="Arial"/>
        </w:rPr>
      </w:pPr>
      <w:r>
        <w:rPr>
          <w:rFonts w:ascii="Book Antiqua" w:hAnsi="Book Antiqua" w:cs="Arial"/>
        </w:rPr>
        <w:t xml:space="preserve">The Court of Appeal in </w:t>
      </w:r>
      <w:hyperlink r:id="rId11" w:history="1">
        <w:r w:rsidRPr="00180639">
          <w:rPr>
            <w:rStyle w:val="Strong"/>
            <w:rFonts w:ascii="Book Antiqua" w:hAnsi="Book Antiqua"/>
            <w:b w:val="0"/>
            <w:iCs/>
            <w:u w:val="single"/>
            <w:bdr w:val="none" w:sz="0" w:space="0" w:color="auto" w:frame="1"/>
          </w:rPr>
          <w:t xml:space="preserve">Secretary of State for the Home Department v </w:t>
        </w:r>
        <w:proofErr w:type="spellStart"/>
        <w:r w:rsidRPr="00180639">
          <w:rPr>
            <w:rStyle w:val="Strong"/>
            <w:rFonts w:ascii="Book Antiqua" w:hAnsi="Book Antiqua"/>
            <w:b w:val="0"/>
            <w:iCs/>
            <w:u w:val="single"/>
            <w:bdr w:val="none" w:sz="0" w:space="0" w:color="auto" w:frame="1"/>
          </w:rPr>
          <w:t>Onuorah</w:t>
        </w:r>
        <w:proofErr w:type="spellEnd"/>
        <w:r w:rsidRPr="00180639">
          <w:rPr>
            <w:rStyle w:val="Strong"/>
            <w:rFonts w:ascii="Book Antiqua" w:hAnsi="Book Antiqua"/>
            <w:b w:val="0"/>
            <w:bdr w:val="none" w:sz="0" w:space="0" w:color="auto" w:frame="1"/>
          </w:rPr>
          <w:t xml:space="preserve"> [2017] EWCA </w:t>
        </w:r>
        <w:proofErr w:type="spellStart"/>
        <w:r w:rsidRPr="00180639">
          <w:rPr>
            <w:rStyle w:val="Strong"/>
            <w:rFonts w:ascii="Book Antiqua" w:hAnsi="Book Antiqua"/>
            <w:b w:val="0"/>
            <w:bdr w:val="none" w:sz="0" w:space="0" w:color="auto" w:frame="1"/>
          </w:rPr>
          <w:t>Civ</w:t>
        </w:r>
        <w:proofErr w:type="spellEnd"/>
        <w:r w:rsidRPr="00180639">
          <w:rPr>
            <w:rStyle w:val="Strong"/>
            <w:rFonts w:ascii="Book Antiqua" w:hAnsi="Book Antiqua"/>
            <w:b w:val="0"/>
            <w:bdr w:val="none" w:sz="0" w:space="0" w:color="auto" w:frame="1"/>
          </w:rPr>
          <w:t xml:space="preserve"> 1757</w:t>
        </w:r>
      </w:hyperlink>
      <w:r w:rsidRPr="006B1B9F">
        <w:rPr>
          <w:rFonts w:ascii="Book Antiqua" w:hAnsi="Book Antiqua"/>
          <w:b/>
        </w:rPr>
        <w:t xml:space="preserve"> </w:t>
      </w:r>
      <w:r w:rsidRPr="006B1B9F">
        <w:rPr>
          <w:rFonts w:ascii="Book Antiqua" w:hAnsi="Book Antiqua"/>
        </w:rPr>
        <w:t xml:space="preserve">made clear at paragraph 35, “… the question whether there is "family life" for the purpose of Article 8 is a logically prior question and cannot depend on the purpose for which an application for entry clearance is made. Secondly, the shortness of the proposed visit is, if anything, an indication that the refusal of leave to enter did not involve any want of respect for the Respondent's family life </w:t>
      </w:r>
      <w:proofErr w:type="gramStart"/>
      <w:r w:rsidRPr="006B1B9F">
        <w:rPr>
          <w:rFonts w:ascii="Book Antiqua" w:hAnsi="Book Antiqua"/>
        </w:rPr>
        <w:t>for the purpose of</w:t>
      </w:r>
      <w:proofErr w:type="gramEnd"/>
      <w:r w:rsidRPr="006B1B9F">
        <w:rPr>
          <w:rFonts w:ascii="Book Antiqua" w:hAnsi="Book Antiqua"/>
        </w:rPr>
        <w:t xml:space="preserve"> Article 8</w:t>
      </w:r>
      <w:r>
        <w:rPr>
          <w:rFonts w:ascii="Book Antiqua" w:hAnsi="Book Antiqua"/>
        </w:rPr>
        <w:t>.”</w:t>
      </w:r>
    </w:p>
    <w:p w:rsidR="006D0473" w:rsidRPr="006B1B9F" w:rsidRDefault="006D0473" w:rsidP="006F5314">
      <w:pPr>
        <w:numPr>
          <w:ilvl w:val="0"/>
          <w:numId w:val="3"/>
        </w:numPr>
        <w:spacing w:before="240"/>
        <w:jc w:val="both"/>
        <w:rPr>
          <w:rFonts w:ascii="Book Antiqua" w:hAnsi="Book Antiqua" w:cs="Arial"/>
        </w:rPr>
      </w:pPr>
      <w:r>
        <w:rPr>
          <w:rFonts w:ascii="Book Antiqua" w:hAnsi="Book Antiqua" w:cs="Arial"/>
        </w:rPr>
        <w:t xml:space="preserve">The Court of Appeal in </w:t>
      </w:r>
      <w:r w:rsidR="005A2EDB">
        <w:rPr>
          <w:rFonts w:ascii="Book Antiqua" w:hAnsi="Book Antiqua" w:cs="Arial"/>
          <w:u w:val="single"/>
        </w:rPr>
        <w:t>Entry Cleara</w:t>
      </w:r>
      <w:r w:rsidR="005A2EDB" w:rsidRPr="005A2EDB">
        <w:rPr>
          <w:rFonts w:ascii="Book Antiqua" w:hAnsi="Book Antiqua" w:cs="Arial"/>
          <w:u w:val="single"/>
        </w:rPr>
        <w:t xml:space="preserve">nce Officer and </w:t>
      </w:r>
      <w:proofErr w:type="spellStart"/>
      <w:r w:rsidR="005A2EDB" w:rsidRPr="005A2EDB">
        <w:rPr>
          <w:rFonts w:ascii="Book Antiqua" w:hAnsi="Book Antiqua" w:cs="Arial"/>
          <w:u w:val="single"/>
        </w:rPr>
        <w:t>Kopoi</w:t>
      </w:r>
      <w:proofErr w:type="spellEnd"/>
      <w:r w:rsidR="005A2EDB" w:rsidRPr="005A2EDB">
        <w:rPr>
          <w:rFonts w:ascii="Book Antiqua" w:hAnsi="Book Antiqua" w:cs="Arial"/>
        </w:rPr>
        <w:t xml:space="preserve"> [2017] EWCA 1511 made clear at paragraph 30 “… </w:t>
      </w:r>
      <w:bookmarkStart w:id="1" w:name="para30"/>
      <w:r w:rsidR="005A2EDB" w:rsidRPr="005A2EDB">
        <w:rPr>
          <w:rFonts w:ascii="Book Antiqua" w:hAnsi="Book Antiqua"/>
          <w:color w:val="000000"/>
        </w:rPr>
        <w:t>the shortness of the proposed visit in the present case is a yet further indication that the refusal of leave to enter did not involve any want of respect for anyone's family life for the purposes of Article 8. A three</w:t>
      </w:r>
      <w:r w:rsidR="005A2EDB">
        <w:rPr>
          <w:rFonts w:ascii="Book Antiqua" w:hAnsi="Book Antiqua"/>
          <w:color w:val="000000"/>
        </w:rPr>
        <w:t>-</w:t>
      </w:r>
      <w:r w:rsidR="005A2EDB" w:rsidRPr="005A2EDB">
        <w:rPr>
          <w:rFonts w:ascii="Book Antiqua" w:hAnsi="Book Antiqua"/>
          <w:color w:val="000000"/>
        </w:rPr>
        <w:t>week visit would not involve a significant contribution to "family life" in the sense in which that term is used in Article 8. Of course, it would often be nice for family members to meet up and visit in this way. But a short visit of this kind will not establish a relationship between any of the individuals concerned of support going beyond normal emotional ties, even if there were a positive obligation under Article 8 (which there is not) to allow a person to enter the UK to try to develop a "family life" which does not currently exist.</w:t>
      </w:r>
      <w:bookmarkEnd w:id="1"/>
      <w:r w:rsidR="005A2EDB" w:rsidRPr="005A2EDB">
        <w:rPr>
          <w:rFonts w:ascii="Book Antiqua" w:hAnsi="Book Antiqua"/>
          <w:color w:val="000000"/>
        </w:rPr>
        <w:t>”</w:t>
      </w:r>
    </w:p>
    <w:p w:rsidR="006B1B9F" w:rsidRDefault="006B1B9F" w:rsidP="006F5314">
      <w:pPr>
        <w:numPr>
          <w:ilvl w:val="0"/>
          <w:numId w:val="3"/>
        </w:numPr>
        <w:spacing w:before="240"/>
        <w:jc w:val="both"/>
        <w:rPr>
          <w:rFonts w:ascii="Book Antiqua" w:hAnsi="Book Antiqua" w:cs="Arial"/>
        </w:rPr>
      </w:pPr>
      <w:r>
        <w:rPr>
          <w:rFonts w:ascii="Book Antiqua" w:hAnsi="Book Antiqua" w:cs="Arial"/>
        </w:rPr>
        <w:t xml:space="preserve">In other words, the Judge erred by </w:t>
      </w:r>
      <w:r w:rsidR="00184E1D">
        <w:rPr>
          <w:rFonts w:ascii="Book Antiqua" w:hAnsi="Book Antiqua" w:cs="Arial"/>
        </w:rPr>
        <w:t xml:space="preserve">erroneously finding article 8(1) was </w:t>
      </w:r>
      <w:r>
        <w:rPr>
          <w:rFonts w:ascii="Book Antiqua" w:hAnsi="Book Antiqua" w:cs="Arial"/>
        </w:rPr>
        <w:t>engage</w:t>
      </w:r>
      <w:r w:rsidR="00184E1D">
        <w:rPr>
          <w:rFonts w:ascii="Book Antiqua" w:hAnsi="Book Antiqua" w:cs="Arial"/>
        </w:rPr>
        <w:t>d</w:t>
      </w:r>
      <w:r>
        <w:rPr>
          <w:rFonts w:ascii="Book Antiqua" w:hAnsi="Book Antiqua" w:cs="Arial"/>
        </w:rPr>
        <w:t>. The Court of Appeal has made clear that family life does not depend on the purpose of the visit</w:t>
      </w:r>
      <w:r w:rsidR="00184E1D">
        <w:rPr>
          <w:rFonts w:ascii="Book Antiqua" w:hAnsi="Book Antiqua" w:cs="Arial"/>
        </w:rPr>
        <w:t xml:space="preserve"> and because of the nature of the respective relationships there had to be a dependency over and above normal emotional ties and although the Judge suggested there were I find his approach erroneous in both instances.</w:t>
      </w:r>
    </w:p>
    <w:p w:rsidR="00077B4F" w:rsidRPr="00184E1D" w:rsidRDefault="00184E1D" w:rsidP="006F5314">
      <w:pPr>
        <w:numPr>
          <w:ilvl w:val="0"/>
          <w:numId w:val="3"/>
        </w:numPr>
        <w:spacing w:before="240"/>
        <w:jc w:val="both"/>
        <w:rPr>
          <w:rFonts w:ascii="Book Antiqua" w:hAnsi="Book Antiqua" w:cs="Arial"/>
        </w:rPr>
      </w:pPr>
      <w:r>
        <w:rPr>
          <w:rFonts w:ascii="Book Antiqua" w:hAnsi="Book Antiqua" w:cs="Arial"/>
        </w:rPr>
        <w:t xml:space="preserve">Even if article 8(1) had been demonstrated the appellant still had to demonstrate compelling evidence </w:t>
      </w:r>
      <w:proofErr w:type="gramStart"/>
      <w:r>
        <w:rPr>
          <w:rFonts w:ascii="Book Antiqua" w:hAnsi="Book Antiqua" w:cs="Arial"/>
        </w:rPr>
        <w:t>in light of</w:t>
      </w:r>
      <w:proofErr w:type="gramEnd"/>
      <w:r>
        <w:rPr>
          <w:rFonts w:ascii="Book Antiqua" w:hAnsi="Book Antiqua" w:cs="Arial"/>
        </w:rPr>
        <w:t xml:space="preserve"> the recent decision of </w:t>
      </w:r>
      <w:r w:rsidRPr="00AA4635">
        <w:rPr>
          <w:rFonts w:ascii="Book Antiqua" w:hAnsi="Book Antiqua"/>
          <w:color w:val="000000"/>
          <w:u w:val="single"/>
        </w:rPr>
        <w:t xml:space="preserve">TZ (Pakistan) and PG (India) v The Secretary of State for the Home Department </w:t>
      </w:r>
      <w:r w:rsidRPr="00AA4635">
        <w:rPr>
          <w:rFonts w:ascii="Book Antiqua" w:hAnsi="Book Antiqua"/>
          <w:color w:val="000000"/>
        </w:rPr>
        <w:t xml:space="preserve">[2018] EWCA </w:t>
      </w:r>
      <w:proofErr w:type="spellStart"/>
      <w:r w:rsidRPr="00AA4635">
        <w:rPr>
          <w:rFonts w:ascii="Book Antiqua" w:hAnsi="Book Antiqua"/>
          <w:color w:val="000000"/>
        </w:rPr>
        <w:t>Civ</w:t>
      </w:r>
      <w:proofErr w:type="spellEnd"/>
      <w:r w:rsidRPr="00AA4635">
        <w:rPr>
          <w:rFonts w:ascii="Book Antiqua" w:hAnsi="Book Antiqua"/>
          <w:color w:val="000000"/>
        </w:rPr>
        <w:t xml:space="preserve"> 1109</w:t>
      </w:r>
      <w:r>
        <w:rPr>
          <w:rFonts w:ascii="Book Antiqua" w:hAnsi="Book Antiqua"/>
          <w:color w:val="000000"/>
        </w:rPr>
        <w:t xml:space="preserve"> in which the Court of Appeal confirmed </w:t>
      </w:r>
      <w:r w:rsidRPr="00184E1D">
        <w:rPr>
          <w:rFonts w:ascii="Book Antiqua" w:hAnsi="Book Antiqua"/>
          <w:color w:val="000000"/>
        </w:rPr>
        <w:t>the Secretary of State is entitled to apply a test within the Rules and a test of exceptional circumstances as described outside the Rules</w:t>
      </w:r>
      <w:r>
        <w:rPr>
          <w:rFonts w:ascii="Book Antiqua" w:hAnsi="Book Antiqua"/>
          <w:color w:val="000000"/>
        </w:rPr>
        <w:t>. This had not been demonstrated in this appeal.</w:t>
      </w:r>
    </w:p>
    <w:p w:rsidR="00184E1D" w:rsidRPr="00062947" w:rsidRDefault="00184E1D" w:rsidP="006F5314">
      <w:pPr>
        <w:numPr>
          <w:ilvl w:val="0"/>
          <w:numId w:val="3"/>
        </w:numPr>
        <w:spacing w:before="240"/>
        <w:jc w:val="both"/>
        <w:rPr>
          <w:rFonts w:ascii="Book Antiqua" w:hAnsi="Book Antiqua" w:cs="Arial"/>
        </w:rPr>
      </w:pPr>
      <w:r>
        <w:rPr>
          <w:rFonts w:ascii="Book Antiqua" w:hAnsi="Book Antiqua" w:cs="Arial"/>
        </w:rPr>
        <w:t xml:space="preserve">I indicated to the representatives that in the event I found an error in law </w:t>
      </w:r>
      <w:r w:rsidR="0002631F">
        <w:rPr>
          <w:rFonts w:ascii="Book Antiqua" w:hAnsi="Book Antiqua" w:cs="Arial"/>
        </w:rPr>
        <w:t>that</w:t>
      </w:r>
      <w:r>
        <w:rPr>
          <w:rFonts w:ascii="Book Antiqua" w:hAnsi="Book Antiqua" w:cs="Arial"/>
        </w:rPr>
        <w:t xml:space="preserve"> I would proceed to remake the decision based on the evidence before me </w:t>
      </w:r>
      <w:r w:rsidR="0002631F">
        <w:rPr>
          <w:rFonts w:ascii="Book Antiqua" w:hAnsi="Book Antiqua" w:cs="Arial"/>
        </w:rPr>
        <w:t xml:space="preserve">as </w:t>
      </w:r>
      <w:r>
        <w:rPr>
          <w:rFonts w:ascii="Book Antiqua" w:hAnsi="Book Antiqua" w:cs="Arial"/>
        </w:rPr>
        <w:t xml:space="preserve">this was not a case that should be </w:t>
      </w:r>
      <w:proofErr w:type="gramStart"/>
      <w:r>
        <w:rPr>
          <w:rFonts w:ascii="Book Antiqua" w:hAnsi="Book Antiqua" w:cs="Arial"/>
        </w:rPr>
        <w:t>returned back</w:t>
      </w:r>
      <w:proofErr w:type="gramEnd"/>
      <w:r>
        <w:rPr>
          <w:rFonts w:ascii="Book Antiqua" w:hAnsi="Book Antiqua" w:cs="Arial"/>
        </w:rPr>
        <w:t xml:space="preserve"> to the First-tier Tribunal as this had already happened hence the second round of appeals.</w:t>
      </w:r>
      <w:r w:rsidR="0002631F">
        <w:rPr>
          <w:rFonts w:ascii="Book Antiqua" w:hAnsi="Book Antiqua" w:cs="Arial"/>
        </w:rPr>
        <w:t xml:space="preserve"> Both representatives agreed with this approach. </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lastRenderedPageBreak/>
        <w:t>D</w:t>
      </w:r>
      <w:r w:rsidR="009C37C7" w:rsidRPr="009C37C7">
        <w:rPr>
          <w:rFonts w:ascii="Book Antiqua" w:hAnsi="Book Antiqua" w:cs="Arial"/>
          <w:b/>
          <w:u w:val="single"/>
        </w:rPr>
        <w:t xml:space="preserve">ECISION </w:t>
      </w:r>
    </w:p>
    <w:p w:rsidR="00483687" w:rsidRDefault="009C37C7" w:rsidP="00911478">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r w:rsidR="00483687">
        <w:rPr>
          <w:rFonts w:ascii="Book Antiqua" w:hAnsi="Book Antiqua" w:cs="Arial"/>
        </w:rPr>
        <w:t>I set aside the decision</w:t>
      </w:r>
      <w:r w:rsidR="00184E1D">
        <w:rPr>
          <w:rFonts w:ascii="Book Antiqua" w:hAnsi="Book Antiqua" w:cs="Arial"/>
        </w:rPr>
        <w:t xml:space="preserve"> and I dismiss the appeals.</w:t>
      </w:r>
    </w:p>
    <w:p w:rsidR="00184E1D" w:rsidRDefault="00184E1D"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184E1D">
        <w:rPr>
          <w:rFonts w:ascii="Book Antiqua" w:hAnsi="Book Antiqua" w:cs="Arial"/>
        </w:rPr>
        <w:t>07/06</w:t>
      </w:r>
      <w:r w:rsidR="00483687">
        <w:rPr>
          <w:rFonts w:ascii="Book Antiqua" w:hAnsi="Book Antiqua" w:cs="Arial"/>
        </w:rPr>
        <w:t>/2018</w:t>
      </w:r>
    </w:p>
    <w:p w:rsidR="00864126" w:rsidRDefault="00864126" w:rsidP="00864126">
      <w:pPr>
        <w:tabs>
          <w:tab w:val="left" w:pos="2520"/>
        </w:tabs>
        <w:jc w:val="both"/>
        <w:rPr>
          <w:rFonts w:ascii="Book Antiqua" w:hAnsi="Book Antiqua" w:cs="Arial"/>
        </w:rPr>
      </w:pPr>
    </w:p>
    <w:p w:rsidR="00F90160" w:rsidRDefault="0017318F"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2D5431"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6F5314" w:rsidRDefault="006F5314" w:rsidP="001558E1">
      <w:pPr>
        <w:tabs>
          <w:tab w:val="left" w:pos="2520"/>
        </w:tabs>
        <w:jc w:val="both"/>
        <w:rPr>
          <w:rFonts w:ascii="Book Antiqua" w:hAnsi="Book Antiqua" w:cs="Arial"/>
        </w:rPr>
      </w:pPr>
    </w:p>
    <w:p w:rsidR="006F5314" w:rsidRDefault="006F5314" w:rsidP="001558E1">
      <w:pPr>
        <w:tabs>
          <w:tab w:val="left" w:pos="2520"/>
        </w:tabs>
        <w:jc w:val="both"/>
        <w:rPr>
          <w:rFonts w:ascii="Book Antiqua" w:hAnsi="Book Antiqua" w:cs="Arial"/>
          <w:b/>
        </w:rPr>
      </w:pPr>
      <w:r>
        <w:rPr>
          <w:rFonts w:ascii="Book Antiqua" w:hAnsi="Book Antiqua" w:cs="Arial"/>
          <w:b/>
          <w:u w:val="single"/>
        </w:rPr>
        <w:t>TO THE RESPONDENT</w:t>
      </w:r>
    </w:p>
    <w:p w:rsidR="006F5314" w:rsidRDefault="006F5314" w:rsidP="001558E1">
      <w:pPr>
        <w:tabs>
          <w:tab w:val="left" w:pos="2520"/>
        </w:tabs>
        <w:jc w:val="both"/>
        <w:rPr>
          <w:rFonts w:ascii="Book Antiqua" w:hAnsi="Book Antiqua" w:cs="Arial"/>
        </w:rPr>
      </w:pPr>
      <w:r w:rsidRPr="006F5314">
        <w:rPr>
          <w:rFonts w:ascii="Book Antiqua" w:hAnsi="Book Antiqua" w:cs="Arial"/>
          <w:b/>
          <w:u w:val="single"/>
        </w:rPr>
        <w:t>FEE AWARD</w:t>
      </w:r>
    </w:p>
    <w:p w:rsidR="006F5314" w:rsidRDefault="006F5314" w:rsidP="001558E1">
      <w:pPr>
        <w:tabs>
          <w:tab w:val="left" w:pos="2520"/>
        </w:tabs>
        <w:jc w:val="both"/>
        <w:rPr>
          <w:rFonts w:ascii="Book Antiqua" w:hAnsi="Book Antiqua" w:cs="Arial"/>
        </w:rPr>
      </w:pPr>
    </w:p>
    <w:p w:rsidR="006F5314" w:rsidRDefault="006F5314" w:rsidP="001558E1">
      <w:pPr>
        <w:tabs>
          <w:tab w:val="left" w:pos="2520"/>
        </w:tabs>
        <w:jc w:val="both"/>
        <w:rPr>
          <w:rFonts w:ascii="Book Antiqua" w:hAnsi="Book Antiqua" w:cs="Arial"/>
        </w:rPr>
      </w:pPr>
      <w:r>
        <w:rPr>
          <w:rFonts w:ascii="Book Antiqua" w:hAnsi="Book Antiqua" w:cs="Arial"/>
        </w:rPr>
        <w:t>I do not make a fee award because I have dismissed the appeal</w:t>
      </w:r>
      <w:r w:rsidR="00184E1D">
        <w:rPr>
          <w:rFonts w:ascii="Book Antiqua" w:hAnsi="Book Antiqua" w:cs="Arial"/>
        </w:rPr>
        <w:t>s.</w:t>
      </w:r>
      <w:r>
        <w:rPr>
          <w:rFonts w:ascii="Book Antiqua" w:hAnsi="Book Antiqua" w:cs="Arial"/>
        </w:rPr>
        <w:t xml:space="preserve"> </w:t>
      </w:r>
    </w:p>
    <w:p w:rsidR="006F5314" w:rsidRDefault="006F5314" w:rsidP="001558E1">
      <w:pPr>
        <w:tabs>
          <w:tab w:val="left" w:pos="2520"/>
        </w:tabs>
        <w:jc w:val="both"/>
        <w:rPr>
          <w:rFonts w:ascii="Book Antiqua" w:hAnsi="Book Antiqua" w:cs="Arial"/>
        </w:rPr>
      </w:pPr>
    </w:p>
    <w:p w:rsidR="006F5314" w:rsidRDefault="006F5314" w:rsidP="001558E1">
      <w:pPr>
        <w:tabs>
          <w:tab w:val="left" w:pos="2520"/>
        </w:tabs>
        <w:jc w:val="both"/>
        <w:rPr>
          <w:rFonts w:ascii="Book Antiqua" w:hAnsi="Book Antiqua" w:cs="Arial"/>
        </w:rPr>
      </w:pPr>
    </w:p>
    <w:p w:rsidR="006F5314" w:rsidRPr="00F5664C" w:rsidRDefault="006F5314" w:rsidP="006F5314">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184E1D">
        <w:rPr>
          <w:rFonts w:ascii="Book Antiqua" w:hAnsi="Book Antiqua" w:cs="Arial"/>
        </w:rPr>
        <w:t>07</w:t>
      </w:r>
      <w:r>
        <w:rPr>
          <w:rFonts w:ascii="Book Antiqua" w:hAnsi="Book Antiqua" w:cs="Arial"/>
        </w:rPr>
        <w:t>/</w:t>
      </w:r>
      <w:r w:rsidR="00184E1D">
        <w:rPr>
          <w:rFonts w:ascii="Book Antiqua" w:hAnsi="Book Antiqua" w:cs="Arial"/>
        </w:rPr>
        <w:t>06</w:t>
      </w:r>
      <w:r>
        <w:rPr>
          <w:rFonts w:ascii="Book Antiqua" w:hAnsi="Book Antiqua" w:cs="Arial"/>
        </w:rPr>
        <w:t>/2018</w:t>
      </w:r>
    </w:p>
    <w:p w:rsidR="006F5314" w:rsidRDefault="006F5314" w:rsidP="006F5314">
      <w:pPr>
        <w:tabs>
          <w:tab w:val="left" w:pos="2520"/>
        </w:tabs>
        <w:jc w:val="both"/>
        <w:rPr>
          <w:rFonts w:ascii="Book Antiqua" w:hAnsi="Book Antiqua" w:cs="Arial"/>
        </w:rPr>
      </w:pPr>
    </w:p>
    <w:p w:rsidR="006F5314" w:rsidRDefault="0017318F" w:rsidP="006F5314">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864126" w:rsidRPr="002D5431" w:rsidRDefault="006F5314" w:rsidP="00077B4F">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r w:rsidR="002D5431">
        <w:rPr>
          <w:rFonts w:ascii="Book Antiqua" w:hAnsi="Book Antiqua" w:cs="Arial"/>
        </w:rPr>
        <w:tab/>
      </w:r>
    </w:p>
    <w:sectPr w:rsidR="00864126" w:rsidRPr="002D5431" w:rsidSect="00E84903">
      <w:headerReference w:type="default" r:id="rId13"/>
      <w:footerReference w:type="default" r:id="rId14"/>
      <w:headerReference w:type="first" r:id="rId15"/>
      <w:footerReference w:type="first" r:id="rId16"/>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BCC" w:rsidRDefault="008B4BCC">
      <w:r>
        <w:separator/>
      </w:r>
    </w:p>
  </w:endnote>
  <w:endnote w:type="continuationSeparator" w:id="0">
    <w:p w:rsidR="008B4BCC" w:rsidRDefault="008B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Pr="00E84903" w:rsidRDefault="006E7B1D" w:rsidP="00593795">
    <w:pPr>
      <w:pStyle w:val="Footer"/>
      <w:jc w:val="center"/>
      <w:rPr>
        <w:rFonts w:ascii="Book Antiqua" w:hAnsi="Book Antiqua" w:cs="Arial"/>
      </w:rPr>
    </w:pPr>
    <w:r w:rsidRPr="00E84903">
      <w:rPr>
        <w:rStyle w:val="PageNumber"/>
        <w:rFonts w:ascii="Book Antiqua" w:hAnsi="Book Antiqua" w:cs="Arial"/>
      </w:rPr>
      <w:fldChar w:fldCharType="begin"/>
    </w:r>
    <w:r w:rsidRPr="00E84903">
      <w:rPr>
        <w:rStyle w:val="PageNumber"/>
        <w:rFonts w:ascii="Book Antiqua" w:hAnsi="Book Antiqua" w:cs="Arial"/>
      </w:rPr>
      <w:instrText xml:space="preserve"> PAGE </w:instrText>
    </w:r>
    <w:r w:rsidRPr="00E84903">
      <w:rPr>
        <w:rStyle w:val="PageNumber"/>
        <w:rFonts w:ascii="Book Antiqua" w:hAnsi="Book Antiqua" w:cs="Arial"/>
      </w:rPr>
      <w:fldChar w:fldCharType="separate"/>
    </w:r>
    <w:r w:rsidR="00DD0485">
      <w:rPr>
        <w:rStyle w:val="PageNumber"/>
        <w:rFonts w:ascii="Book Antiqua" w:hAnsi="Book Antiqua" w:cs="Arial"/>
        <w:noProof/>
      </w:rPr>
      <w:t>6</w:t>
    </w:r>
    <w:r w:rsidRPr="00E8490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Pr="00F5664C" w:rsidRDefault="006E7B1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BCC" w:rsidRDefault="008B4BCC">
      <w:r>
        <w:separator/>
      </w:r>
    </w:p>
  </w:footnote>
  <w:footnote w:type="continuationSeparator" w:id="0">
    <w:p w:rsidR="008B4BCC" w:rsidRDefault="008B4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903" w:rsidRDefault="006E7B1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33F58">
      <w:rPr>
        <w:rFonts w:ascii="Book Antiqua" w:hAnsi="Book Antiqua" w:cs="Arial"/>
        <w:sz w:val="16"/>
        <w:szCs w:val="16"/>
      </w:rPr>
      <w:t>VA</w:t>
    </w:r>
    <w:r w:rsidRPr="00D97AF0">
      <w:rPr>
        <w:rFonts w:ascii="Book Antiqua" w:hAnsi="Book Antiqua" w:cs="Arial"/>
        <w:sz w:val="16"/>
        <w:szCs w:val="16"/>
      </w:rPr>
      <w:t>/</w:t>
    </w:r>
    <w:r w:rsidR="00733F58">
      <w:rPr>
        <w:rFonts w:ascii="Book Antiqua" w:hAnsi="Book Antiqua" w:cs="Arial"/>
        <w:sz w:val="16"/>
        <w:szCs w:val="16"/>
      </w:rPr>
      <w:t>02535</w:t>
    </w:r>
    <w:r>
      <w:rPr>
        <w:rFonts w:ascii="Book Antiqua" w:hAnsi="Book Antiqua" w:cs="Arial"/>
        <w:sz w:val="16"/>
        <w:szCs w:val="16"/>
      </w:rPr>
      <w:t>/201</w:t>
    </w:r>
    <w:r w:rsidR="00733F58">
      <w:rPr>
        <w:rFonts w:ascii="Book Antiqua" w:hAnsi="Book Antiqua" w:cs="Arial"/>
        <w:sz w:val="16"/>
        <w:szCs w:val="16"/>
      </w:rPr>
      <w:t>5</w:t>
    </w:r>
    <w:r w:rsidR="006445AC">
      <w:rPr>
        <w:rFonts w:ascii="Book Antiqua" w:hAnsi="Book Antiqua" w:cs="Arial"/>
        <w:sz w:val="16"/>
        <w:szCs w:val="16"/>
      </w:rPr>
      <w:t xml:space="preserve"> </w:t>
    </w:r>
  </w:p>
  <w:p w:rsidR="006E7B1D" w:rsidRDefault="0017318F"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 xml:space="preserve"> </w:t>
    </w:r>
    <w:r w:rsidR="006445AC" w:rsidRPr="006445AC">
      <w:rPr>
        <w:rFonts w:ascii="Book Antiqua" w:hAnsi="Book Antiqua" w:cs="Arial"/>
        <w:sz w:val="16"/>
        <w:szCs w:val="16"/>
      </w:rPr>
      <w:t>VA/02534/2015</w:t>
    </w:r>
  </w:p>
  <w:p w:rsidR="00E84903" w:rsidRPr="00D97AF0" w:rsidRDefault="00E8490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B1D" w:rsidRPr="00F5664C" w:rsidRDefault="006E7B1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8"/>
  </w:num>
  <w:num w:numId="10">
    <w:abstractNumId w:val="19"/>
  </w:num>
  <w:num w:numId="11">
    <w:abstractNumId w:val="18"/>
  </w:num>
  <w:num w:numId="12">
    <w:abstractNumId w:val="1"/>
  </w:num>
  <w:num w:numId="13">
    <w:abstractNumId w:val="17"/>
  </w:num>
  <w:num w:numId="14">
    <w:abstractNumId w:val="0"/>
  </w:num>
  <w:num w:numId="15">
    <w:abstractNumId w:val="5"/>
  </w:num>
  <w:num w:numId="16">
    <w:abstractNumId w:val="7"/>
  </w:num>
  <w:num w:numId="17">
    <w:abstractNumId w:val="15"/>
  </w:num>
  <w:num w:numId="18">
    <w:abstractNumId w:val="11"/>
  </w:num>
  <w:num w:numId="19">
    <w:abstractNumId w:val="12"/>
  </w:num>
  <w:num w:numId="20">
    <w:abstractNumId w:val="20"/>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36C2"/>
    <w:rsid w:val="0000577C"/>
    <w:rsid w:val="0000778D"/>
    <w:rsid w:val="0002631F"/>
    <w:rsid w:val="00033D3D"/>
    <w:rsid w:val="000369F5"/>
    <w:rsid w:val="00060A81"/>
    <w:rsid w:val="00062947"/>
    <w:rsid w:val="00071A7E"/>
    <w:rsid w:val="000746C0"/>
    <w:rsid w:val="00074D1D"/>
    <w:rsid w:val="00077323"/>
    <w:rsid w:val="00077B4F"/>
    <w:rsid w:val="00087037"/>
    <w:rsid w:val="00087B4B"/>
    <w:rsid w:val="00092580"/>
    <w:rsid w:val="00095513"/>
    <w:rsid w:val="000A32A2"/>
    <w:rsid w:val="000D257C"/>
    <w:rsid w:val="000D5D94"/>
    <w:rsid w:val="000E010C"/>
    <w:rsid w:val="000E483B"/>
    <w:rsid w:val="00106A5E"/>
    <w:rsid w:val="001165A7"/>
    <w:rsid w:val="00117F86"/>
    <w:rsid w:val="00122E2E"/>
    <w:rsid w:val="0014289A"/>
    <w:rsid w:val="00151BB7"/>
    <w:rsid w:val="001526DB"/>
    <w:rsid w:val="001558E1"/>
    <w:rsid w:val="001655EA"/>
    <w:rsid w:val="00167D3A"/>
    <w:rsid w:val="0017318F"/>
    <w:rsid w:val="00180639"/>
    <w:rsid w:val="00184E1D"/>
    <w:rsid w:val="00186F53"/>
    <w:rsid w:val="00191176"/>
    <w:rsid w:val="00197BB7"/>
    <w:rsid w:val="001A1E2C"/>
    <w:rsid w:val="001A2421"/>
    <w:rsid w:val="001B67F3"/>
    <w:rsid w:val="001C1452"/>
    <w:rsid w:val="001E12F7"/>
    <w:rsid w:val="001F2716"/>
    <w:rsid w:val="001F4596"/>
    <w:rsid w:val="001F4C3C"/>
    <w:rsid w:val="0020133A"/>
    <w:rsid w:val="002015AA"/>
    <w:rsid w:val="00207617"/>
    <w:rsid w:val="00223EA7"/>
    <w:rsid w:val="00254D56"/>
    <w:rsid w:val="0027148D"/>
    <w:rsid w:val="00283659"/>
    <w:rsid w:val="00284E94"/>
    <w:rsid w:val="002865D5"/>
    <w:rsid w:val="00291D5E"/>
    <w:rsid w:val="002A16FD"/>
    <w:rsid w:val="002A1EC1"/>
    <w:rsid w:val="002A2720"/>
    <w:rsid w:val="002A2AFF"/>
    <w:rsid w:val="002A5F30"/>
    <w:rsid w:val="002B3060"/>
    <w:rsid w:val="002B46AE"/>
    <w:rsid w:val="002C4E73"/>
    <w:rsid w:val="002D4DC0"/>
    <w:rsid w:val="002D5431"/>
    <w:rsid w:val="002D68BF"/>
    <w:rsid w:val="002F05A0"/>
    <w:rsid w:val="00305FBC"/>
    <w:rsid w:val="003208D4"/>
    <w:rsid w:val="0033030E"/>
    <w:rsid w:val="00334945"/>
    <w:rsid w:val="0033509F"/>
    <w:rsid w:val="00336CBF"/>
    <w:rsid w:val="00337EBB"/>
    <w:rsid w:val="00343030"/>
    <w:rsid w:val="003546C8"/>
    <w:rsid w:val="0035753A"/>
    <w:rsid w:val="00364F67"/>
    <w:rsid w:val="003756EF"/>
    <w:rsid w:val="00376F8F"/>
    <w:rsid w:val="00392D87"/>
    <w:rsid w:val="00395DE5"/>
    <w:rsid w:val="003A5739"/>
    <w:rsid w:val="003A7CF2"/>
    <w:rsid w:val="003B1E77"/>
    <w:rsid w:val="003B669C"/>
    <w:rsid w:val="003B7242"/>
    <w:rsid w:val="003C0DF3"/>
    <w:rsid w:val="003C0FE8"/>
    <w:rsid w:val="003C5CE5"/>
    <w:rsid w:val="003D3D7D"/>
    <w:rsid w:val="003E267B"/>
    <w:rsid w:val="003E36BE"/>
    <w:rsid w:val="003E4B44"/>
    <w:rsid w:val="003E7CD1"/>
    <w:rsid w:val="00402B9E"/>
    <w:rsid w:val="00423932"/>
    <w:rsid w:val="004249CB"/>
    <w:rsid w:val="00425AD8"/>
    <w:rsid w:val="00431EB3"/>
    <w:rsid w:val="00437A98"/>
    <w:rsid w:val="0044127D"/>
    <w:rsid w:val="00442A49"/>
    <w:rsid w:val="004448DB"/>
    <w:rsid w:val="00446C9A"/>
    <w:rsid w:val="00456521"/>
    <w:rsid w:val="00465231"/>
    <w:rsid w:val="00477193"/>
    <w:rsid w:val="00483687"/>
    <w:rsid w:val="004852B5"/>
    <w:rsid w:val="0048547A"/>
    <w:rsid w:val="00490CFA"/>
    <w:rsid w:val="004A0EB5"/>
    <w:rsid w:val="004A1848"/>
    <w:rsid w:val="004B7003"/>
    <w:rsid w:val="004B7270"/>
    <w:rsid w:val="004B7AA4"/>
    <w:rsid w:val="004D0B09"/>
    <w:rsid w:val="004D25FF"/>
    <w:rsid w:val="004D65C0"/>
    <w:rsid w:val="004F5B34"/>
    <w:rsid w:val="00502F93"/>
    <w:rsid w:val="00507FEC"/>
    <w:rsid w:val="00510F0E"/>
    <w:rsid w:val="005121D1"/>
    <w:rsid w:val="00516E48"/>
    <w:rsid w:val="005414DE"/>
    <w:rsid w:val="00541C31"/>
    <w:rsid w:val="00541D19"/>
    <w:rsid w:val="005479E1"/>
    <w:rsid w:val="005570FD"/>
    <w:rsid w:val="005575EA"/>
    <w:rsid w:val="005640E3"/>
    <w:rsid w:val="00564626"/>
    <w:rsid w:val="00564C2A"/>
    <w:rsid w:val="0057790C"/>
    <w:rsid w:val="00582B2E"/>
    <w:rsid w:val="00593795"/>
    <w:rsid w:val="00593C19"/>
    <w:rsid w:val="0059769C"/>
    <w:rsid w:val="00597BA8"/>
    <w:rsid w:val="005A28B9"/>
    <w:rsid w:val="005A2EDB"/>
    <w:rsid w:val="005A6567"/>
    <w:rsid w:val="005A75FF"/>
    <w:rsid w:val="005B4942"/>
    <w:rsid w:val="005B7789"/>
    <w:rsid w:val="005C3A83"/>
    <w:rsid w:val="005C6EC4"/>
    <w:rsid w:val="005D3079"/>
    <w:rsid w:val="005E3F47"/>
    <w:rsid w:val="00603CDF"/>
    <w:rsid w:val="006059EF"/>
    <w:rsid w:val="00622725"/>
    <w:rsid w:val="00640E14"/>
    <w:rsid w:val="00641A27"/>
    <w:rsid w:val="006445AC"/>
    <w:rsid w:val="0064774D"/>
    <w:rsid w:val="0065791C"/>
    <w:rsid w:val="00660394"/>
    <w:rsid w:val="00677176"/>
    <w:rsid w:val="00690A43"/>
    <w:rsid w:val="00690B8A"/>
    <w:rsid w:val="006A206A"/>
    <w:rsid w:val="006A5EDB"/>
    <w:rsid w:val="006B1B9F"/>
    <w:rsid w:val="006B5ED1"/>
    <w:rsid w:val="006D0473"/>
    <w:rsid w:val="006D1DFA"/>
    <w:rsid w:val="006D506B"/>
    <w:rsid w:val="006D5949"/>
    <w:rsid w:val="006D6384"/>
    <w:rsid w:val="006D79F6"/>
    <w:rsid w:val="006E325D"/>
    <w:rsid w:val="006E3C90"/>
    <w:rsid w:val="006E40CB"/>
    <w:rsid w:val="006E6873"/>
    <w:rsid w:val="006E7B1D"/>
    <w:rsid w:val="006F08DA"/>
    <w:rsid w:val="006F5314"/>
    <w:rsid w:val="00702A57"/>
    <w:rsid w:val="00704B61"/>
    <w:rsid w:val="00705827"/>
    <w:rsid w:val="007164CA"/>
    <w:rsid w:val="00716AAB"/>
    <w:rsid w:val="00722B7F"/>
    <w:rsid w:val="00732E1B"/>
    <w:rsid w:val="00733F58"/>
    <w:rsid w:val="0073705C"/>
    <w:rsid w:val="007418C8"/>
    <w:rsid w:val="00742A8D"/>
    <w:rsid w:val="00744B61"/>
    <w:rsid w:val="00747412"/>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D39B9"/>
    <w:rsid w:val="008061FC"/>
    <w:rsid w:val="0081272A"/>
    <w:rsid w:val="008303B8"/>
    <w:rsid w:val="00833DCE"/>
    <w:rsid w:val="00836A93"/>
    <w:rsid w:val="00841581"/>
    <w:rsid w:val="00842418"/>
    <w:rsid w:val="008533FC"/>
    <w:rsid w:val="00853D3F"/>
    <w:rsid w:val="00864126"/>
    <w:rsid w:val="0086440F"/>
    <w:rsid w:val="0086492E"/>
    <w:rsid w:val="0087166E"/>
    <w:rsid w:val="00871D34"/>
    <w:rsid w:val="008A5F40"/>
    <w:rsid w:val="008B270C"/>
    <w:rsid w:val="008B4BCC"/>
    <w:rsid w:val="008C3D3D"/>
    <w:rsid w:val="008D4131"/>
    <w:rsid w:val="008E65DE"/>
    <w:rsid w:val="008F1932"/>
    <w:rsid w:val="008F294D"/>
    <w:rsid w:val="00905FD6"/>
    <w:rsid w:val="00911478"/>
    <w:rsid w:val="00916A58"/>
    <w:rsid w:val="00921062"/>
    <w:rsid w:val="0093083E"/>
    <w:rsid w:val="009451FF"/>
    <w:rsid w:val="009503A2"/>
    <w:rsid w:val="009553DD"/>
    <w:rsid w:val="00955B0E"/>
    <w:rsid w:val="00966B05"/>
    <w:rsid w:val="00966ECF"/>
    <w:rsid w:val="009727A3"/>
    <w:rsid w:val="00974D37"/>
    <w:rsid w:val="009820F9"/>
    <w:rsid w:val="00987774"/>
    <w:rsid w:val="009936D5"/>
    <w:rsid w:val="009A11E8"/>
    <w:rsid w:val="009A43A1"/>
    <w:rsid w:val="009C2F51"/>
    <w:rsid w:val="009C37C7"/>
    <w:rsid w:val="009C5D3A"/>
    <w:rsid w:val="009D1549"/>
    <w:rsid w:val="009E4E62"/>
    <w:rsid w:val="009F5220"/>
    <w:rsid w:val="009F7C4D"/>
    <w:rsid w:val="00A01A21"/>
    <w:rsid w:val="00A01E09"/>
    <w:rsid w:val="00A11BBB"/>
    <w:rsid w:val="00A15234"/>
    <w:rsid w:val="00A15A28"/>
    <w:rsid w:val="00A201AB"/>
    <w:rsid w:val="00A25C94"/>
    <w:rsid w:val="00A31C8B"/>
    <w:rsid w:val="00A42B08"/>
    <w:rsid w:val="00A54733"/>
    <w:rsid w:val="00A842B8"/>
    <w:rsid w:val="00A845DC"/>
    <w:rsid w:val="00A9518D"/>
    <w:rsid w:val="00A97AEE"/>
    <w:rsid w:val="00AA4472"/>
    <w:rsid w:val="00AA4635"/>
    <w:rsid w:val="00AB3C99"/>
    <w:rsid w:val="00AB4CC5"/>
    <w:rsid w:val="00AC5CF6"/>
    <w:rsid w:val="00AC7862"/>
    <w:rsid w:val="00AD217D"/>
    <w:rsid w:val="00AF21DA"/>
    <w:rsid w:val="00B144FA"/>
    <w:rsid w:val="00B16F58"/>
    <w:rsid w:val="00B17DFA"/>
    <w:rsid w:val="00B21A7C"/>
    <w:rsid w:val="00B225A0"/>
    <w:rsid w:val="00B30648"/>
    <w:rsid w:val="00B3226D"/>
    <w:rsid w:val="00B322F4"/>
    <w:rsid w:val="00B3498C"/>
    <w:rsid w:val="00B3524D"/>
    <w:rsid w:val="00B40F69"/>
    <w:rsid w:val="00B41E09"/>
    <w:rsid w:val="00B45242"/>
    <w:rsid w:val="00B46616"/>
    <w:rsid w:val="00B54032"/>
    <w:rsid w:val="00B57A65"/>
    <w:rsid w:val="00B60E41"/>
    <w:rsid w:val="00B610E3"/>
    <w:rsid w:val="00B61205"/>
    <w:rsid w:val="00B617C4"/>
    <w:rsid w:val="00B626FA"/>
    <w:rsid w:val="00B62B27"/>
    <w:rsid w:val="00B66D87"/>
    <w:rsid w:val="00B7040A"/>
    <w:rsid w:val="00B729E6"/>
    <w:rsid w:val="00B76C2C"/>
    <w:rsid w:val="00B76EBC"/>
    <w:rsid w:val="00B808A4"/>
    <w:rsid w:val="00B947BF"/>
    <w:rsid w:val="00B96FA0"/>
    <w:rsid w:val="00BA35A4"/>
    <w:rsid w:val="00BA39E9"/>
    <w:rsid w:val="00BB2AA8"/>
    <w:rsid w:val="00BC0238"/>
    <w:rsid w:val="00BC68C0"/>
    <w:rsid w:val="00BD4196"/>
    <w:rsid w:val="00BE2210"/>
    <w:rsid w:val="00BE4FE1"/>
    <w:rsid w:val="00BE57DB"/>
    <w:rsid w:val="00BF1366"/>
    <w:rsid w:val="00BF22CA"/>
    <w:rsid w:val="00C139A6"/>
    <w:rsid w:val="00C26032"/>
    <w:rsid w:val="00C265B0"/>
    <w:rsid w:val="00C321B5"/>
    <w:rsid w:val="00C345E1"/>
    <w:rsid w:val="00C37D67"/>
    <w:rsid w:val="00C42C62"/>
    <w:rsid w:val="00C5263A"/>
    <w:rsid w:val="00C54587"/>
    <w:rsid w:val="00C5652A"/>
    <w:rsid w:val="00C672E4"/>
    <w:rsid w:val="00C74D85"/>
    <w:rsid w:val="00C80361"/>
    <w:rsid w:val="00C8281B"/>
    <w:rsid w:val="00C9551E"/>
    <w:rsid w:val="00C977BA"/>
    <w:rsid w:val="00CA5339"/>
    <w:rsid w:val="00CB6E35"/>
    <w:rsid w:val="00CD4902"/>
    <w:rsid w:val="00CD4A69"/>
    <w:rsid w:val="00CD761B"/>
    <w:rsid w:val="00CE1A46"/>
    <w:rsid w:val="00CF253F"/>
    <w:rsid w:val="00CF4FCD"/>
    <w:rsid w:val="00CF56B4"/>
    <w:rsid w:val="00CF7E22"/>
    <w:rsid w:val="00D00F1C"/>
    <w:rsid w:val="00D20F09"/>
    <w:rsid w:val="00D21594"/>
    <w:rsid w:val="00D22636"/>
    <w:rsid w:val="00D2391F"/>
    <w:rsid w:val="00D24AD7"/>
    <w:rsid w:val="00D27EC6"/>
    <w:rsid w:val="00D40FD9"/>
    <w:rsid w:val="00D42256"/>
    <w:rsid w:val="00D44088"/>
    <w:rsid w:val="00D53769"/>
    <w:rsid w:val="00D637C9"/>
    <w:rsid w:val="00D67604"/>
    <w:rsid w:val="00D73572"/>
    <w:rsid w:val="00D74CFD"/>
    <w:rsid w:val="00D85C13"/>
    <w:rsid w:val="00D91BE3"/>
    <w:rsid w:val="00D94AFC"/>
    <w:rsid w:val="00D97AF0"/>
    <w:rsid w:val="00DA3B27"/>
    <w:rsid w:val="00DB70AE"/>
    <w:rsid w:val="00DB7231"/>
    <w:rsid w:val="00DC186A"/>
    <w:rsid w:val="00DC7975"/>
    <w:rsid w:val="00DD0485"/>
    <w:rsid w:val="00DD07FC"/>
    <w:rsid w:val="00DD5071"/>
    <w:rsid w:val="00DD5C39"/>
    <w:rsid w:val="00DE26AF"/>
    <w:rsid w:val="00DE714E"/>
    <w:rsid w:val="00DE7DB7"/>
    <w:rsid w:val="00E00A0A"/>
    <w:rsid w:val="00E07601"/>
    <w:rsid w:val="00E07F57"/>
    <w:rsid w:val="00E352ED"/>
    <w:rsid w:val="00E4586A"/>
    <w:rsid w:val="00E50456"/>
    <w:rsid w:val="00E50BCE"/>
    <w:rsid w:val="00E61292"/>
    <w:rsid w:val="00E649A1"/>
    <w:rsid w:val="00E76309"/>
    <w:rsid w:val="00E77C4D"/>
    <w:rsid w:val="00E81D01"/>
    <w:rsid w:val="00E82D7A"/>
    <w:rsid w:val="00E84903"/>
    <w:rsid w:val="00E90C08"/>
    <w:rsid w:val="00EA0F11"/>
    <w:rsid w:val="00EA4F85"/>
    <w:rsid w:val="00EB62BE"/>
    <w:rsid w:val="00EC7BD3"/>
    <w:rsid w:val="00ED48D9"/>
    <w:rsid w:val="00EE1BF0"/>
    <w:rsid w:val="00EE45D8"/>
    <w:rsid w:val="00EF63DD"/>
    <w:rsid w:val="00F004CD"/>
    <w:rsid w:val="00F12507"/>
    <w:rsid w:val="00F1757E"/>
    <w:rsid w:val="00F229EB"/>
    <w:rsid w:val="00F22EDA"/>
    <w:rsid w:val="00F26555"/>
    <w:rsid w:val="00F3224D"/>
    <w:rsid w:val="00F33E0E"/>
    <w:rsid w:val="00F3723B"/>
    <w:rsid w:val="00F42F8D"/>
    <w:rsid w:val="00F472AE"/>
    <w:rsid w:val="00F5664C"/>
    <w:rsid w:val="00F64613"/>
    <w:rsid w:val="00F72B81"/>
    <w:rsid w:val="00F7382F"/>
    <w:rsid w:val="00F77A3E"/>
    <w:rsid w:val="00F77EEB"/>
    <w:rsid w:val="00F86626"/>
    <w:rsid w:val="00F90160"/>
    <w:rsid w:val="00F9182B"/>
    <w:rsid w:val="00F94876"/>
    <w:rsid w:val="00FA069B"/>
    <w:rsid w:val="00FB050B"/>
    <w:rsid w:val="00FB7E80"/>
    <w:rsid w:val="00FE0AC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8290B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uiPriority w:val="22"/>
    <w:qFormat/>
    <w:rsid w:val="002A16FD"/>
    <w:rPr>
      <w:b/>
      <w:bCs/>
    </w:rPr>
  </w:style>
  <w:style w:type="paragraph" w:customStyle="1" w:styleId="parag">
    <w:name w:val="parag"/>
    <w:basedOn w:val="Normal"/>
    <w:link w:val="paragChar"/>
    <w:rsid w:val="004B7AA4"/>
    <w:pPr>
      <w:tabs>
        <w:tab w:val="left" w:pos="567"/>
      </w:tabs>
      <w:ind w:left="567" w:hanging="567"/>
      <w:jc w:val="both"/>
    </w:pPr>
    <w:rPr>
      <w:rFonts w:ascii="Book Antiqua" w:hAnsi="Book Antiqua"/>
    </w:rPr>
  </w:style>
  <w:style w:type="character" w:customStyle="1" w:styleId="paragChar">
    <w:name w:val="parag Char"/>
    <w:link w:val="parag"/>
    <w:rsid w:val="004B7AA4"/>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17/1757.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ailii.org/ew/cases/EWCA/Civ/2017/1757.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echr.coe.int/Documents/Convention_ENG.pdf" TargetMode="External"/><Relationship Id="rId4" Type="http://schemas.openxmlformats.org/officeDocument/2006/relationships/webSettings" Target="webSettings.xml"/><Relationship Id="rId9" Type="http://schemas.openxmlformats.org/officeDocument/2006/relationships/hyperlink" Target="https://www.legislation.gov.uk/ukpga/1998/42/schedule/1/part/I/chapter/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2253</Words>
  <Characters>11557</Characters>
  <Application>Microsoft Office Word</Application>
  <DocSecurity>0</DocSecurity>
  <Lines>96</Lines>
  <Paragraphs>27</Paragraphs>
  <ScaleCrop>false</ScaleCrop>
  <Company/>
  <LinksUpToDate>false</LinksUpToDate>
  <CharactersWithSpaces>13783</CharactersWithSpaces>
  <SharedDoc>false</SharedDoc>
  <HLinks>
    <vt:vector size="24" baseType="variant">
      <vt:variant>
        <vt:i4>7602295</vt:i4>
      </vt:variant>
      <vt:variant>
        <vt:i4>9</vt:i4>
      </vt:variant>
      <vt:variant>
        <vt:i4>0</vt:i4>
      </vt:variant>
      <vt:variant>
        <vt:i4>5</vt:i4>
      </vt:variant>
      <vt:variant>
        <vt:lpwstr>http://www.bailii.org/ew/cases/EWCA/Civ/2017/1757.html</vt:lpwstr>
      </vt:variant>
      <vt:variant>
        <vt:lpwstr/>
      </vt:variant>
      <vt:variant>
        <vt:i4>4718629</vt:i4>
      </vt:variant>
      <vt:variant>
        <vt:i4>6</vt:i4>
      </vt:variant>
      <vt:variant>
        <vt:i4>0</vt:i4>
      </vt:variant>
      <vt:variant>
        <vt:i4>5</vt:i4>
      </vt:variant>
      <vt:variant>
        <vt:lpwstr>http://www.echr.coe.int/Documents/Convention_ENG.pdf</vt:lpwstr>
      </vt:variant>
      <vt:variant>
        <vt:lpwstr/>
      </vt:variant>
      <vt:variant>
        <vt:i4>1704027</vt:i4>
      </vt:variant>
      <vt:variant>
        <vt:i4>3</vt:i4>
      </vt:variant>
      <vt:variant>
        <vt:i4>0</vt:i4>
      </vt:variant>
      <vt:variant>
        <vt:i4>5</vt:i4>
      </vt:variant>
      <vt:variant>
        <vt:lpwstr>https://www.legislation.gov.uk/ukpga/1998/42/schedule/1/part/I/chapter/7</vt:lpwstr>
      </vt:variant>
      <vt:variant>
        <vt:lpwstr/>
      </vt:variant>
      <vt:variant>
        <vt:i4>7602295</vt:i4>
      </vt:variant>
      <vt:variant>
        <vt:i4>0</vt:i4>
      </vt:variant>
      <vt:variant>
        <vt:i4>0</vt:i4>
      </vt:variant>
      <vt:variant>
        <vt:i4>5</vt:i4>
      </vt:variant>
      <vt:variant>
        <vt:lpwstr>http://www.bailii.org/ew/cases/EWCA/Civ/2017/1757.html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2018-07-09T13:20:00Z</dcterms:created>
  <dcterms:modified xsi:type="dcterms:W3CDTF">2018-07-09T13:20:00Z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