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left"/>
      </w:pPr>
      <w:r>
        <w:rPr>
          <w:rFonts w:ascii="Georgia" w:cs="Georgia" w:eastAsia="Georgia" w:hAnsi="Georgia"/>
          <w:color w:val="141413"/>
          <w:sz w:val="56"/>
          <w:szCs w:val="56"/>
        </w:rPr>
        <w:t xml:space="preserve">CLAUDE CODE</w:t>
      </w:r>
    </w:p>
    <w:p>
      <w:pPr>
        <w:spacing w:after="80"/>
        <w:jc w:val="left"/>
      </w:pPr>
      <w:r>
        <w:rPr>
          <w:rFonts w:ascii="Georgia" w:cs="Georgia" w:eastAsia="Georgia" w:hAnsi="Georgia"/>
          <w:color w:val="D97757"/>
          <w:sz w:val="56"/>
          <w:szCs w:val="56"/>
        </w:rPr>
        <w:t xml:space="preserve">BASECAMP</w:t>
      </w:r>
    </w:p>
    <w:p>
      <w:pPr>
        <w:pBdr>
          <w:bottom w:val="single" w:color="D97757" w:sz="4" w:space="1"/>
        </w:pBdr>
        <w:spacing w:after="300"/>
      </w:pPr>
    </w:p>
    <w:p>
      <w:pPr>
        <w:spacing w:after="80"/>
      </w:pPr>
      <w:r>
        <w:rPr>
          <w:rFonts w:ascii="Georgia" w:cs="Georgia" w:eastAsia="Georgia" w:hAnsi="Georgia"/>
          <w:color w:val="555550"/>
          <w:sz w:val="32"/>
          <w:szCs w:val="32"/>
        </w:rPr>
        <w:t xml:space="preserve">Curriculum Plan</w:t>
      </w:r>
    </w:p>
    <w:p>
      <w:pPr>
        <w:spacing w:after="400"/>
      </w:pPr>
      <w:r>
        <w:rPr>
          <w:rFonts w:ascii="Arial" w:cs="Arial" w:eastAsia="Arial" w:hAnsi="Arial"/>
          <w:color w:val="555550"/>
          <w:sz w:val="22"/>
          <w:szCs w:val="22"/>
        </w:rPr>
        <w:t xml:space="preserve">A five-day structured onboarding track for GTM teams — PE Pre-Sales, PE Post-Sales, Solutions Architects, and Applied Research — building from first install to job-ready customer engagements.</w:t>
      </w:r>
    </w:p>
    <w:p>
      <w:pPr>
        <w:spacing w:after="160"/>
      </w:pPr>
      <w:r>
        <w:rPr>
          <w:rFonts w:ascii="Arial" w:cs="Arial" w:eastAsia="Arial" w:hAnsi="Arial"/>
          <w:b/>
          <w:bCs/>
          <w:color w:val="555550"/>
          <w:sz w:val="22"/>
          <w:szCs w:val="22"/>
        </w:rPr>
        <w:t xml:space="preserve">Prepared by: </w:t>
      </w:r>
      <w:r>
        <w:rPr>
          <w:rFonts w:ascii="Arial" w:cs="Arial" w:eastAsia="Arial" w:hAnsi="Arial"/>
          <w:color w:val="555550"/>
          <w:sz w:val="22"/>
          <w:szCs w:val="22"/>
        </w:rPr>
        <w:t xml:space="preserve">Alex Murray</w:t>
      </w:r>
    </w:p>
    <w:p>
      <w:pPr>
        <w:spacing w:after="160"/>
      </w:pPr>
      <w:r>
        <w:rPr>
          <w:rFonts w:ascii="Arial" w:cs="Arial" w:eastAsia="Arial" w:hAnsi="Arial"/>
          <w:b/>
          <w:bCs/>
          <w:color w:val="555550"/>
          <w:sz w:val="22"/>
          <w:szCs w:val="22"/>
        </w:rPr>
        <w:t xml:space="preserve">Role: </w:t>
      </w:r>
      <w:r>
        <w:rPr>
          <w:rFonts w:ascii="Arial" w:cs="Arial" w:eastAsia="Arial" w:hAnsi="Arial"/>
          <w:color w:val="555550"/>
          <w:sz w:val="22"/>
          <w:szCs w:val="22"/>
        </w:rPr>
        <w:t xml:space="preserve">Technical Productivity Manager candidate</w:t>
      </w:r>
    </w:p>
    <w:p>
      <w:pPr>
        <w:spacing w:after="160"/>
      </w:pPr>
      <w:r>
        <w:rPr>
          <w:rFonts w:ascii="Arial" w:cs="Arial" w:eastAsia="Arial" w:hAnsi="Arial"/>
          <w:b/>
          <w:bCs/>
          <w:color w:val="555550"/>
          <w:sz w:val="22"/>
          <w:szCs w:val="22"/>
        </w:rPr>
        <w:t xml:space="preserve">Format: </w:t>
      </w:r>
      <w:r>
        <w:rPr>
          <w:rFonts w:ascii="Arial" w:cs="Arial" w:eastAsia="Arial" w:hAnsi="Arial"/>
          <w:color w:val="555550"/>
          <w:sz w:val="22"/>
          <w:szCs w:val="22"/>
        </w:rPr>
        <w:t xml:space="preserve">Interactive web application + facilitator guides + reference materials</w:t>
      </w:r>
    </w:p>
    <w:p>
      <w:r>
        <w:br w:type="page"/>
      </w:r>
    </w:p>
    <w:p>
      <w:pPr>
        <w:pStyle w:val="Heading1"/>
        <w:pBdr>
          <w:bottom w:val="single" w:color="D97757" w:sz="2" w:space="8"/>
        </w:pBdr>
        <w:spacing w:after="200" w:before="360"/>
      </w:pPr>
      <w:r>
        <w:rPr>
          <w:rFonts w:ascii="Georgia" w:cs="Georgia" w:eastAsia="Georgia" w:hAnsi="Georgia"/>
          <w:b/>
          <w:bCs/>
          <w:color w:val="141413"/>
          <w:sz w:val="32"/>
          <w:szCs w:val="32"/>
        </w:rPr>
        <w:t xml:space="preserve">1. Curriculum Arc</w:t>
      </w:r>
    </w:p>
    <w:p>
      <w:pPr>
        <w:spacing w:after="160"/>
      </w:pPr>
      <w:r>
        <w:rPr>
          <w:rFonts w:ascii="Arial" w:cs="Arial" w:eastAsia="Arial" w:hAnsi="Arial"/>
          <w:color w:val="555550"/>
          <w:sz w:val="22"/>
          <w:szCs w:val="22"/>
        </w:rPr>
        <w:t xml:space="preserve">Basecamp is a five-day, progressive curriculum where each day builds on the one before it. The program follows a deliberate arc: from individual tool proficiency (Days 1–3) to customer-facing skills (Day 4) to integrated performance under pressure (Day 5). Every session produces a concrete artifact the learner uses in the field.</w:t>
      </w:r>
    </w:p>
    <w:p>
      <w:pPr>
        <w:pStyle w:val="Heading2"/>
        <w:spacing w:after="160" w:before="280"/>
      </w:pPr>
      <w:r>
        <w:rPr>
          <w:rFonts w:ascii="Georgia" w:cs="Georgia" w:eastAsia="Georgia" w:hAnsi="Georgia"/>
          <w:b/>
          <w:bCs/>
          <w:color w:val="141413"/>
          <w:sz w:val="26"/>
          <w:szCs w:val="26"/>
        </w:rPr>
        <w:t xml:space="preserve">Sequence and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3000"/>
        <w:gridCol w:w="3000"/>
      </w:tblGrid>
      <w:tr>
        <w:tc>
          <w:tcPr>
            <w:tcW w:type="dxa" w:w="1200"/>
            <w:tcBorders>
              <w:top w:val="single" w:color="E8E6DC" w:sz="1"/>
              <w:left w:val="single" w:color="E8E6DC" w:sz="1"/>
              <w:bottom w:val="single" w:color="E8E6DC" w:sz="1"/>
              <w:right w:val="single" w:color="E8E6D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Day</w:t>
            </w:r>
          </w:p>
        </w:tc>
        <w:tc>
          <w:tcPr>
            <w:tcW w:type="dxa" w:w="2160"/>
            <w:tcBorders>
              <w:top w:val="single" w:color="E8E6DC" w:sz="1"/>
              <w:left w:val="single" w:color="E8E6DC" w:sz="1"/>
              <w:bottom w:val="single" w:color="E8E6DC" w:sz="1"/>
              <w:right w:val="single" w:color="E8E6D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3000"/>
            <w:tcBorders>
              <w:top w:val="single" w:color="E8E6DC" w:sz="1"/>
              <w:left w:val="single" w:color="E8E6DC" w:sz="1"/>
              <w:bottom w:val="single" w:color="E8E6DC" w:sz="1"/>
              <w:right w:val="single" w:color="E8E6D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Core Focus</w:t>
            </w:r>
          </w:p>
        </w:tc>
        <w:tc>
          <w:tcPr>
            <w:tcW w:type="dxa" w:w="3000"/>
            <w:tcBorders>
              <w:top w:val="single" w:color="E8E6DC" w:sz="1"/>
              <w:left w:val="single" w:color="E8E6DC" w:sz="1"/>
              <w:bottom w:val="single" w:color="E8E6DC" w:sz="1"/>
              <w:right w:val="single" w:color="E8E6DC" w:sz="1"/>
            </w:tcBorders>
            <w:shd w:fill="D97757" w:val="clear"/>
            <w:tcMar>
              <w:top w:type="dxa" w:w="100"/>
              <w:left w:type="dxa" w:w="140"/>
              <w:bottom w:type="dxa" w:w="100"/>
              <w:right w:type="dxa" w:w="140"/>
            </w:tcMar>
          </w:tcPr>
          <w:p>
            <w:r>
              <w:rPr>
                <w:rFonts w:ascii="Arial" w:cs="Arial" w:eastAsia="Arial" w:hAnsi="Arial"/>
                <w:b/>
                <w:bCs/>
                <w:color w:val="FFFFFF"/>
                <w:sz w:val="20"/>
                <w:szCs w:val="20"/>
              </w:rPr>
              <w:t xml:space="preserve">Artifact Produced</w:t>
            </w:r>
          </w:p>
        </w:tc>
      </w:tr>
      <w:tr>
        <w:tc>
          <w:tcPr>
            <w:tcW w:type="dxa" w:w="12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b/>
                <w:bCs/>
                <w:color w:val="141413"/>
                <w:sz w:val="20"/>
                <w:szCs w:val="20"/>
              </w:rPr>
              <w:t xml:space="preserve">Day 1</w:t>
            </w:r>
          </w:p>
        </w:tc>
        <w:tc>
          <w:tcPr>
            <w:tcW w:type="dxa" w:w="21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141413"/>
                <w:sz w:val="20"/>
                <w:szCs w:val="20"/>
              </w:rPr>
              <w:t xml:space="preserve">First Contact</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Install, navigate, complete a first agentic task in terminal and IDE</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Working install + first agentic task recording + client talking points</w:t>
            </w:r>
          </w:p>
        </w:tc>
      </w:tr>
      <w:tr>
        <w:tc>
          <w:tcPr>
            <w:tcW w:type="dxa" w:w="12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b/>
                <w:bCs/>
                <w:color w:val="141413"/>
                <w:sz w:val="20"/>
                <w:szCs w:val="20"/>
              </w:rPr>
              <w:t xml:space="preserve">Day 2</w:t>
            </w:r>
          </w:p>
        </w:tc>
        <w:tc>
          <w:tcPr>
            <w:tcW w:type="dxa" w:w="21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141413"/>
                <w:sz w:val="20"/>
                <w:szCs w:val="20"/>
              </w:rPr>
              <w:t xml:space="preserve">Prompt Craft</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CLAUDE.md authoring, session management, Plan Mode, prompt patterns</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CLAUDE.md template library + prompt pattern cheat sheet + before/after comparison</w:t>
            </w:r>
          </w:p>
        </w:tc>
      </w:tr>
      <w:tr>
        <w:tc>
          <w:tcPr>
            <w:tcW w:type="dxa" w:w="12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b/>
                <w:bCs/>
                <w:color w:val="141413"/>
                <w:sz w:val="20"/>
                <w:szCs w:val="20"/>
              </w:rPr>
              <w:t xml:space="preserve">Day 3</w:t>
            </w:r>
          </w:p>
        </w:tc>
        <w:tc>
          <w:tcPr>
            <w:tcW w:type="dxa" w:w="21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141413"/>
                <w:sz w:val="20"/>
                <w:szCs w:val="20"/>
              </w:rPr>
              <w:t xml:space="preserve">Extend &amp; Customize</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Hooks, MCP servers, slash commands, Agent SDK, composed workflows</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Custom hook + MCP server + slash command + integration architecture</w:t>
            </w:r>
          </w:p>
        </w:tc>
      </w:tr>
      <w:tr>
        <w:tc>
          <w:tcPr>
            <w:tcW w:type="dxa" w:w="12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b/>
                <w:bCs/>
                <w:color w:val="141413"/>
                <w:sz w:val="20"/>
                <w:szCs w:val="20"/>
              </w:rPr>
              <w:t xml:space="preserve">Day 4</w:t>
            </w:r>
          </w:p>
        </w:tc>
        <w:tc>
          <w:tcPr>
            <w:tcW w:type="dxa" w:w="21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141413"/>
                <w:sz w:val="20"/>
                <w:szCs w:val="20"/>
              </w:rPr>
              <w:t xml:space="preserve">Customer Scenarios</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Security objections, deployment architecture, cost/ROI, competitive positioning</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Security FAQ + deployment template + competitive battlecard + demo scripts</w:t>
            </w:r>
          </w:p>
        </w:tc>
      </w:tr>
      <w:tr>
        <w:tc>
          <w:tcPr>
            <w:tcW w:type="dxa" w:w="12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b/>
                <w:bCs/>
                <w:color w:val="141413"/>
                <w:sz w:val="20"/>
                <w:szCs w:val="20"/>
              </w:rPr>
              <w:t xml:space="preserve">Day 5</w:t>
            </w:r>
          </w:p>
        </w:tc>
        <w:tc>
          <w:tcPr>
            <w:tcW w:type="dxa" w:w="21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141413"/>
                <w:sz w:val="20"/>
                <w:szCs w:val="20"/>
              </w:rPr>
              <w:t xml:space="preserve">Ship It (Capstone)</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Blind brief → working demo → peer-reviewed presentation</w:t>
            </w:r>
          </w:p>
        </w:tc>
        <w:tc>
          <w:tcPr>
            <w:tcW w:type="dxa" w:w="30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Client-tailored capstone presentation + working demo + peer feedback</w:t>
            </w:r>
          </w:p>
        </w:tc>
      </w:tr>
    </w:tbl>
    <w:p>
      <w:pPr>
        <w:spacing w:after="120"/>
      </w:pPr>
    </w:p>
    <w:p>
      <w:pPr>
        <w:pStyle w:val="Heading2"/>
        <w:spacing w:after="160" w:before="280"/>
      </w:pPr>
      <w:r>
        <w:rPr>
          <w:rFonts w:ascii="Georgia" w:cs="Georgia" w:eastAsia="Georgia" w:hAnsi="Georgia"/>
          <w:b/>
          <w:bCs/>
          <w:color w:val="141413"/>
          <w:sz w:val="26"/>
          <w:szCs w:val="26"/>
        </w:rPr>
        <w:t xml:space="preserve">How Each Session Builds on the Last</w:t>
      </w:r>
    </w:p>
    <w:p>
      <w:pPr>
        <w:spacing w:after="160"/>
      </w:pPr>
      <w:r>
        <w:rPr>
          <w:rFonts w:ascii="Arial" w:cs="Arial" w:eastAsia="Arial" w:hAnsi="Arial"/>
          <w:color w:val="555550"/>
          <w:sz w:val="22"/>
          <w:szCs w:val="22"/>
        </w:rPr>
        <w:t xml:space="preserve">The curriculum uses a scaffolded dependency chain. Each day’s skills are prerequisites for the next:</w:t>
      </w:r>
    </w:p>
    <w:p>
      <w:pPr>
        <w:pStyle w:val="ListParagraph"/>
        <w:numPr>
          <w:ilvl w:val="0"/>
          <w:numId w:val="2"/>
        </w:numPr>
        <w:spacing w:after="80"/>
      </w:pPr>
      <w:r>
        <w:rPr>
          <w:rFonts w:ascii="Arial" w:cs="Arial" w:eastAsia="Arial" w:hAnsi="Arial"/>
          <w:color w:val="555550"/>
          <w:sz w:val="22"/>
          <w:szCs w:val="22"/>
        </w:rPr>
        <w:t xml:space="preserve">Day 1 → Day 2: You must have Claude Code installed and understand the agentic loop before you can learn to steer it with CLAUDE.md and prompt patterns.</w:t>
      </w:r>
    </w:p>
    <w:p>
      <w:pPr>
        <w:pStyle w:val="ListParagraph"/>
        <w:numPr>
          <w:ilvl w:val="0"/>
          <w:numId w:val="2"/>
        </w:numPr>
        <w:spacing w:after="80"/>
      </w:pPr>
      <w:r>
        <w:rPr>
          <w:rFonts w:ascii="Arial" w:cs="Arial" w:eastAsia="Arial" w:hAnsi="Arial"/>
          <w:color w:val="555550"/>
          <w:sz w:val="22"/>
          <w:szCs w:val="22"/>
        </w:rPr>
        <w:t xml:space="preserve">Day 2 → Day 3: CLAUDE.md conventions and prompt craft are prerequisites for hooks (which enforce conventions) and MCP (which extends Claude’s capabilities). Without Day 2’s mental model, hooks and MCP are just configuration files.</w:t>
      </w:r>
    </w:p>
    <w:p>
      <w:pPr>
        <w:pStyle w:val="ListParagraph"/>
        <w:numPr>
          <w:ilvl w:val="0"/>
          <w:numId w:val="2"/>
        </w:numPr>
        <w:spacing w:after="80"/>
      </w:pPr>
      <w:r>
        <w:rPr>
          <w:rFonts w:ascii="Arial" w:cs="Arial" w:eastAsia="Arial" w:hAnsi="Arial"/>
          <w:color w:val="555550"/>
          <w:sz w:val="22"/>
          <w:szCs w:val="22"/>
        </w:rPr>
        <w:t xml:space="preserve">Day 3 → Day 4: Technical depth in the product (Days 1–3) gives you the credibility to handle security objections, architecture questions, and competitive positioning. You can’t answer a CISO’s questions about sandboxing if you’ve never configured a hook.</w:t>
      </w:r>
    </w:p>
    <w:p>
      <w:pPr>
        <w:pStyle w:val="ListParagraph"/>
        <w:numPr>
          <w:ilvl w:val="0"/>
          <w:numId w:val="2"/>
        </w:numPr>
        <w:spacing w:after="80"/>
      </w:pPr>
      <w:r>
        <w:rPr>
          <w:rFonts w:ascii="Arial" w:cs="Arial" w:eastAsia="Arial" w:hAnsi="Arial"/>
          <w:color w:val="555550"/>
          <w:sz w:val="22"/>
          <w:szCs w:val="22"/>
        </w:rPr>
        <w:t xml:space="preserve">Day 4 → Day 5: The capstone integrates everything. You receive a blind brief and must install, configure, build, and present — drawing on every prior day. Day 4’s customer conversation practice gives you the presentation and objection-handling skills the capstone requires.</w:t>
      </w:r>
    </w:p>
    <w:p>
      <w:pPr>
        <w:pStyle w:val="Heading2"/>
        <w:spacing w:after="160" w:before="280"/>
      </w:pPr>
      <w:r>
        <w:rPr>
          <w:rFonts w:ascii="Georgia" w:cs="Georgia" w:eastAsia="Georgia" w:hAnsi="Georgia"/>
          <w:b/>
          <w:bCs/>
          <w:color w:val="141413"/>
          <w:sz w:val="26"/>
          <w:szCs w:val="26"/>
        </w:rPr>
        <w:t xml:space="preserve">Competency Milestones</w:t>
      </w:r>
    </w:p>
    <w:p>
      <w:pPr>
        <w:spacing w:after="160"/>
      </w:pPr>
      <w:r>
        <w:rPr>
          <w:rFonts w:ascii="Arial" w:cs="Arial" w:eastAsia="Arial" w:hAnsi="Arial"/>
          <w:color w:val="555550"/>
          <w:sz w:val="22"/>
          <w:szCs w:val="22"/>
        </w:rPr>
        <w:t xml:space="preserve">The program tracks progress through two systems:</w:t>
      </w:r>
    </w:p>
    <w:p>
      <w:pPr>
        <w:pStyle w:val="ListParagraph"/>
        <w:numPr>
          <w:ilvl w:val="0"/>
          <w:numId w:val="2"/>
        </w:numPr>
        <w:spacing w:after="80"/>
      </w:pPr>
      <w:r>
        <w:rPr>
          <w:rFonts w:ascii="Arial" w:cs="Arial" w:eastAsia="Arial" w:hAnsi="Arial"/>
          <w:color w:val="555550"/>
          <w:sz w:val="22"/>
          <w:szCs w:val="22"/>
        </w:rPr>
        <w:t xml:space="preserve">Credentials (10 total): Earned by completing module exercises. Examples include CLI Navigation, Prompt Architecture, MCP Integration, Competitive Positioning, and Live Demo Delivery. These are visible on the hub page as collectible badges.</w:t>
      </w:r>
    </w:p>
    <w:p>
      <w:pPr>
        <w:pStyle w:val="ListParagraph"/>
        <w:numPr>
          <w:ilvl w:val="0"/>
          <w:numId w:val="2"/>
        </w:numPr>
        <w:spacing w:after="80"/>
      </w:pPr>
      <w:r>
        <w:rPr>
          <w:rFonts w:ascii="Arial" w:cs="Arial" w:eastAsia="Arial" w:hAnsi="Arial"/>
          <w:color w:val="555550"/>
          <w:sz w:val="22"/>
          <w:szCs w:val="22"/>
        </w:rPr>
        <w:t xml:space="preserve">Knowledge Checkpoints: Two reflection questions per module that test recall and application. Self-scored with expandable hints.</w:t>
      </w:r>
    </w:p>
    <w:p>
      <w:pPr>
        <w:spacing w:after="160"/>
      </w:pPr>
      <w:r>
        <w:rPr>
          <w:rFonts w:ascii="Arial" w:cs="Arial" w:eastAsia="Arial" w:hAnsi="Arial"/>
          <w:color w:val="555550"/>
          <w:sz w:val="22"/>
          <w:szCs w:val="22"/>
        </w:rPr>
        <w:t xml:space="preserve">The credential system provides a sense of progression and makes competency gaps visible. A learner who has all Day 1–3 badges but is missing Competitive Positioning knows exactly what to review before a customer conversation.</w:t>
      </w:r>
    </w:p>
    <w:p>
      <w:r>
        <w:br w:type="page"/>
      </w:r>
    </w:p>
    <w:p>
      <w:pPr>
        <w:pStyle w:val="Heading1"/>
        <w:pBdr>
          <w:bottom w:val="single" w:color="D97757" w:sz="2" w:space="8"/>
        </w:pBdr>
        <w:spacing w:after="200" w:before="360"/>
      </w:pPr>
      <w:r>
        <w:rPr>
          <w:rFonts w:ascii="Georgia" w:cs="Georgia" w:eastAsia="Georgia" w:hAnsi="Georgia"/>
          <w:b/>
          <w:bCs/>
          <w:color w:val="141413"/>
          <w:sz w:val="32"/>
          <w:szCs w:val="32"/>
        </w:rPr>
        <w:t xml:space="preserve">2. Audience Differentiation</w:t>
      </w:r>
    </w:p>
    <w:p>
      <w:pPr>
        <w:spacing w:after="160"/>
      </w:pPr>
      <w:r>
        <w:rPr>
          <w:rFonts w:ascii="Arial" w:cs="Arial" w:eastAsia="Arial" w:hAnsi="Arial"/>
          <w:color w:val="555550"/>
          <w:sz w:val="22"/>
          <w:szCs w:val="22"/>
        </w:rPr>
        <w:t xml:space="preserve">Basecamp serves four roles with significantly different customer touchpoints, technical depths, and success metrics. The curriculum handles this through a shared-foundation / role-specific-breakout model.</w:t>
      </w:r>
    </w:p>
    <w:p>
      <w:pPr>
        <w:pStyle w:val="Heading2"/>
        <w:spacing w:after="160" w:before="280"/>
      </w:pPr>
      <w:r>
        <w:rPr>
          <w:rFonts w:ascii="Georgia" w:cs="Georgia" w:eastAsia="Georgia" w:hAnsi="Georgia"/>
          <w:b/>
          <w:bCs/>
          <w:color w:val="141413"/>
          <w:sz w:val="26"/>
          <w:szCs w:val="26"/>
        </w:rPr>
        <w:t xml:space="preserve">Shared Sessions (Days 1–3)</w:t>
      </w:r>
    </w:p>
    <w:p>
      <w:pPr>
        <w:spacing w:after="160"/>
      </w:pPr>
      <w:r>
        <w:rPr>
          <w:rFonts w:ascii="Arial" w:cs="Arial" w:eastAsia="Arial" w:hAnsi="Arial"/>
          <w:color w:val="555550"/>
          <w:sz w:val="22"/>
          <w:szCs w:val="22"/>
        </w:rPr>
        <w:t xml:space="preserve">Days 1–3 are shared across all roles. Every participant builds the same technical foundation on Claude Code — install, CLAUDE.md, prompt craft, hooks, MCP, and composed workflows. This is intentional:</w:t>
      </w:r>
    </w:p>
    <w:p>
      <w:pPr>
        <w:pStyle w:val="ListParagraph"/>
        <w:numPr>
          <w:ilvl w:val="0"/>
          <w:numId w:val="2"/>
        </w:numPr>
        <w:spacing w:after="80"/>
      </w:pPr>
      <w:r>
        <w:rPr>
          <w:rFonts w:ascii="Arial" w:cs="Arial" w:eastAsia="Arial" w:hAnsi="Arial"/>
          <w:color w:val="555550"/>
          <w:sz w:val="22"/>
          <w:szCs w:val="22"/>
        </w:rPr>
        <w:t xml:space="preserve">Credibility requires depth. A Pre-Sales PE who can’t explain hooks loses the room when a customer asks about guardrails. An SA who has never written a CLAUDE.md can’t design an adoption strategy. Shared technical foundations ensure everyone can go deep when the conversation demands it.</w:t>
      </w:r>
    </w:p>
    <w:p>
      <w:pPr>
        <w:pStyle w:val="ListParagraph"/>
        <w:numPr>
          <w:ilvl w:val="0"/>
          <w:numId w:val="2"/>
        </w:numPr>
        <w:spacing w:after="80"/>
      </w:pPr>
      <w:r>
        <w:rPr>
          <w:rFonts w:ascii="Arial" w:cs="Arial" w:eastAsia="Arial" w:hAnsi="Arial"/>
          <w:color w:val="555550"/>
          <w:sz w:val="22"/>
          <w:szCs w:val="22"/>
        </w:rPr>
        <w:t xml:space="preserve">Cross-role learning. When a Pre-Sales PE and a Post-Sales PE work through the same lab, they develop shared vocabulary and see each other’s perspectives. The Pre-Sales PE learns what the handoff looks like; the Post-Sales PE learns what was promised.</w:t>
      </w:r>
    </w:p>
    <w:p>
      <w:pPr>
        <w:pStyle w:val="Heading2"/>
        <w:spacing w:after="160" w:before="280"/>
      </w:pPr>
      <w:r>
        <w:rPr>
          <w:rFonts w:ascii="Georgia" w:cs="Georgia" w:eastAsia="Georgia" w:hAnsi="Georgia"/>
          <w:b/>
          <w:bCs/>
          <w:color w:val="141413"/>
          <w:sz w:val="26"/>
          <w:szCs w:val="26"/>
        </w:rPr>
        <w:t xml:space="preserve">Role-Specific Differentiation</w:t>
      </w:r>
    </w:p>
    <w:p>
      <w:pPr>
        <w:spacing w:after="160"/>
      </w:pPr>
      <w:r>
        <w:rPr>
          <w:rFonts w:ascii="Arial" w:cs="Arial" w:eastAsia="Arial" w:hAnsi="Arial"/>
          <w:color w:val="555550"/>
          <w:sz w:val="22"/>
          <w:szCs w:val="22"/>
        </w:rPr>
        <w:t xml:space="preserve">Differentiation happens in three ways:</w:t>
      </w:r>
    </w:p>
    <w:p>
      <w:pPr>
        <w:spacing w:after="40"/>
      </w:pPr>
    </w:p>
    <w:p>
      <w:pPr>
        <w:pStyle w:val="Heading3"/>
        <w:spacing w:after="120" w:before="200"/>
      </w:pPr>
      <w:r>
        <w:rPr>
          <w:rFonts w:ascii="Georgia" w:cs="Georgia" w:eastAsia="Georgia" w:hAnsi="Georgia"/>
          <w:b/>
          <w:bCs/>
          <w:color w:val="555550"/>
          <w:sz w:val="22"/>
          <w:szCs w:val="22"/>
        </w:rPr>
        <w:t xml:space="preserve">1. Role-specific competency outcomes (all modules)</w:t>
      </w:r>
    </w:p>
    <w:p>
      <w:pPr>
        <w:spacing w:after="160"/>
      </w:pPr>
      <w:r>
        <w:rPr>
          <w:rFonts w:ascii="Arial" w:cs="Arial" w:eastAsia="Arial" w:hAnsi="Arial"/>
          <w:color w:val="555550"/>
          <w:sz w:val="22"/>
          <w:szCs w:val="22"/>
        </w:rPr>
        <w:t xml:space="preserve">Every module defines a different competency target for each role. For example, Day 2 (Prompt Craft):</w:t>
      </w:r>
    </w:p>
    <w:p>
      <w:pPr>
        <w:pStyle w:val="ListParagraph"/>
        <w:numPr>
          <w:ilvl w:val="0"/>
          <w:numId w:val="2"/>
        </w:numPr>
        <w:spacing w:after="80"/>
      </w:pPr>
      <w:r>
        <w:rPr>
          <w:rFonts w:ascii="Arial" w:cs="Arial" w:eastAsia="Arial" w:hAnsi="Arial"/>
          <w:color w:val="555550"/>
          <w:sz w:val="22"/>
          <w:szCs w:val="22"/>
        </w:rPr>
        <w:t xml:space="preserve">PE Pre-Sales: Write a CLAUDE.md for a prospect’s repo during a live evaluation, showing how context transforms output quality.</w:t>
      </w:r>
    </w:p>
    <w:p>
      <w:pPr>
        <w:pStyle w:val="ListParagraph"/>
        <w:numPr>
          <w:ilvl w:val="0"/>
          <w:numId w:val="2"/>
        </w:numPr>
        <w:spacing w:after="80"/>
      </w:pPr>
      <w:r>
        <w:rPr>
          <w:rFonts w:ascii="Arial" w:cs="Arial" w:eastAsia="Arial" w:hAnsi="Arial"/>
          <w:color w:val="555550"/>
          <w:sz w:val="22"/>
          <w:szCs w:val="22"/>
        </w:rPr>
        <w:t xml:space="preserve">PE Post-Sales: Pair-program with a customer engineering team to author CLAUDE.md files tailored to their codebase and CI/CD pipeline.</w:t>
      </w:r>
    </w:p>
    <w:p>
      <w:pPr>
        <w:pStyle w:val="ListParagraph"/>
        <w:numPr>
          <w:ilvl w:val="0"/>
          <w:numId w:val="2"/>
        </w:numPr>
        <w:spacing w:after="80"/>
      </w:pPr>
      <w:r>
        <w:rPr>
          <w:rFonts w:ascii="Arial" w:cs="Arial" w:eastAsia="Arial" w:hAnsi="Arial"/>
          <w:color w:val="555550"/>
          <w:sz w:val="22"/>
          <w:szCs w:val="22"/>
        </w:rPr>
        <w:t xml:space="preserve">Solutions Architect: Design a CLAUDE.md strategy for a multi-team engineering org — root-level standards, team-level overrides, integration patterns.</w:t>
      </w:r>
    </w:p>
    <w:p>
      <w:pPr>
        <w:pStyle w:val="ListParagraph"/>
        <w:numPr>
          <w:ilvl w:val="0"/>
          <w:numId w:val="2"/>
        </w:numPr>
        <w:spacing w:after="80"/>
      </w:pPr>
      <w:r>
        <w:rPr>
          <w:rFonts w:ascii="Arial" w:cs="Arial" w:eastAsia="Arial" w:hAnsi="Arial"/>
          <w:color w:val="555550"/>
          <w:sz w:val="22"/>
          <w:szCs w:val="22"/>
        </w:rPr>
        <w:t xml:space="preserve">Applied Research: Evaluate how CLAUDE.md content affects model reasoning quality and build evaluation harnesses to measure impact.</w:t>
      </w:r>
    </w:p>
    <w:p>
      <w:pPr>
        <w:spacing w:after="160"/>
      </w:pPr>
      <w:r>
        <w:rPr>
          <w:rFonts w:ascii="Arial" w:cs="Arial" w:eastAsia="Arial" w:hAnsi="Arial"/>
          <w:color w:val="555550"/>
          <w:sz w:val="22"/>
          <w:szCs w:val="22"/>
        </w:rPr>
        <w:t xml:space="preserve">The same exercise (writing a CLAUDE.md) produces different competency outcomes depending on what the learner focuses on. The facilitator highlights these distinctions during the live session.</w:t>
      </w:r>
    </w:p>
    <w:p>
      <w:pPr>
        <w:spacing w:after="40"/>
      </w:pPr>
    </w:p>
    <w:p>
      <w:pPr>
        <w:pStyle w:val="Heading3"/>
        <w:spacing w:after="120" w:before="200"/>
      </w:pPr>
      <w:r>
        <w:rPr>
          <w:rFonts w:ascii="Georgia" w:cs="Georgia" w:eastAsia="Georgia" w:hAnsi="Georgia"/>
          <w:b/>
          <w:bCs/>
          <w:color w:val="555550"/>
          <w:sz w:val="22"/>
          <w:szCs w:val="22"/>
        </w:rPr>
        <w:t xml:space="preserve">2. Role-specific breakouts (Day 4)</w:t>
      </w:r>
    </w:p>
    <w:p>
      <w:pPr>
        <w:spacing w:after="160"/>
      </w:pPr>
      <w:r>
        <w:rPr>
          <w:rFonts w:ascii="Arial" w:cs="Arial" w:eastAsia="Arial" w:hAnsi="Arial"/>
          <w:color w:val="555550"/>
          <w:sz w:val="22"/>
          <w:szCs w:val="22"/>
        </w:rPr>
        <w:t xml:space="preserve">Day 4 is the primary role-divergence day. The three customer scenarios (security CISO, VP of Engineering, Copilot skeptic) are weighted differently by role:</w:t>
      </w:r>
    </w:p>
    <w:p>
      <w:pPr>
        <w:pStyle w:val="ListParagraph"/>
        <w:numPr>
          <w:ilvl w:val="0"/>
          <w:numId w:val="2"/>
        </w:numPr>
        <w:spacing w:after="80"/>
      </w:pPr>
      <w:r>
        <w:rPr>
          <w:rFonts w:ascii="Arial" w:cs="Arial" w:eastAsia="Arial" w:hAnsi="Arial"/>
          <w:color w:val="555550"/>
          <w:sz w:val="22"/>
          <w:szCs w:val="22"/>
        </w:rPr>
        <w:t xml:space="preserve">PE Pre-Sales: Focus on the competitive positioning scenario. Practice the honest differentiation pitch.</w:t>
      </w:r>
    </w:p>
    <w:p>
      <w:pPr>
        <w:pStyle w:val="ListParagraph"/>
        <w:numPr>
          <w:ilvl w:val="0"/>
          <w:numId w:val="2"/>
        </w:numPr>
        <w:spacing w:after="80"/>
      </w:pPr>
      <w:r>
        <w:rPr>
          <w:rFonts w:ascii="Arial" w:cs="Arial" w:eastAsia="Arial" w:hAnsi="Arial"/>
          <w:color w:val="555550"/>
          <w:sz w:val="22"/>
          <w:szCs w:val="22"/>
        </w:rPr>
        <w:t xml:space="preserve">PE Post-Sales: Focus on the deployment architecture scenario. Practice scoping and estimating real implementations.</w:t>
      </w:r>
    </w:p>
    <w:p>
      <w:pPr>
        <w:pStyle w:val="ListParagraph"/>
        <w:numPr>
          <w:ilvl w:val="0"/>
          <w:numId w:val="2"/>
        </w:numPr>
        <w:spacing w:after="80"/>
      </w:pPr>
      <w:r>
        <w:rPr>
          <w:rFonts w:ascii="Arial" w:cs="Arial" w:eastAsia="Arial" w:hAnsi="Arial"/>
          <w:color w:val="555550"/>
          <w:sz w:val="22"/>
          <w:szCs w:val="22"/>
        </w:rPr>
        <w:t xml:space="preserve">Solutions Architects: All three scenarios equally weighted. Practice the full customer conversation spectrum.</w:t>
      </w:r>
    </w:p>
    <w:p>
      <w:pPr>
        <w:pStyle w:val="ListParagraph"/>
        <w:numPr>
          <w:ilvl w:val="0"/>
          <w:numId w:val="2"/>
        </w:numPr>
        <w:spacing w:after="80"/>
      </w:pPr>
      <w:r>
        <w:rPr>
          <w:rFonts w:ascii="Arial" w:cs="Arial" w:eastAsia="Arial" w:hAnsi="Arial"/>
          <w:color w:val="555550"/>
          <w:sz w:val="22"/>
          <w:szCs w:val="22"/>
        </w:rPr>
        <w:t xml:space="preserve">Applied Research: Focus on the technical depth of what Claude Code can and can’t do. Practice honest capability assessment.</w:t>
      </w:r>
    </w:p>
    <w:p>
      <w:pPr>
        <w:spacing w:after="40"/>
      </w:pPr>
    </w:p>
    <w:p>
      <w:pPr>
        <w:pStyle w:val="Heading3"/>
        <w:spacing w:after="120" w:before="200"/>
      </w:pPr>
      <w:r>
        <w:rPr>
          <w:rFonts w:ascii="Georgia" w:cs="Georgia" w:eastAsia="Georgia" w:hAnsi="Georgia"/>
          <w:b/>
          <w:bCs/>
          <w:color w:val="555550"/>
          <w:sz w:val="22"/>
          <w:szCs w:val="22"/>
        </w:rPr>
        <w:t xml:space="preserve">3. Capstone brief selection (Day 5)</w:t>
      </w:r>
    </w:p>
    <w:p>
      <w:pPr>
        <w:spacing w:after="160"/>
      </w:pPr>
      <w:r>
        <w:rPr>
          <w:rFonts w:ascii="Arial" w:cs="Arial" w:eastAsia="Arial" w:hAnsi="Arial"/>
          <w:color w:val="555550"/>
          <w:sz w:val="22"/>
          <w:szCs w:val="22"/>
        </w:rPr>
        <w:t xml:space="preserve">Capstone briefs are matched to role. A Pre-Sales PE receives a brief that requires a compelling demo and clear next-steps ask. A Post-Sales PE receives a brief that requires a working implementation and handoff documentation. An SA receives a brief that requires an adoption strategy with architecture diagrams and ROI estimates.</w:t>
      </w:r>
    </w:p>
    <w:p>
      <w:pPr>
        <w:pStyle w:val="Heading2"/>
        <w:spacing w:after="160" w:before="280"/>
      </w:pPr>
      <w:r>
        <w:rPr>
          <w:rFonts w:ascii="Georgia" w:cs="Georgia" w:eastAsia="Georgia" w:hAnsi="Georgia"/>
          <w:b/>
          <w:bCs/>
          <w:color w:val="141413"/>
          <w:sz w:val="26"/>
          <w:szCs w:val="26"/>
        </w:rPr>
        <w:t xml:space="preserve">Handling Varying Technical Depth</w:t>
      </w:r>
    </w:p>
    <w:p>
      <w:pPr>
        <w:spacing w:after="160"/>
      </w:pPr>
      <w:r>
        <w:rPr>
          <w:rFonts w:ascii="Arial" w:cs="Arial" w:eastAsia="Arial" w:hAnsi="Arial"/>
          <w:color w:val="555550"/>
          <w:sz w:val="22"/>
          <w:szCs w:val="22"/>
        </w:rPr>
        <w:t xml:space="preserve">The cohort will include people who write code daily (Applied Research) and people who haven’t opened a terminal in months (some Pre-Sales PEs). Three design choices address this:</w:t>
      </w:r>
    </w:p>
    <w:p>
      <w:pPr>
        <w:pStyle w:val="ListParagraph"/>
        <w:numPr>
          <w:ilvl w:val="0"/>
          <w:numId w:val="2"/>
        </w:numPr>
        <w:spacing w:after="80"/>
      </w:pPr>
      <w:r>
        <w:rPr>
          <w:rFonts w:ascii="Arial" w:cs="Arial" w:eastAsia="Arial" w:hAnsi="Arial"/>
          <w:color w:val="555550"/>
          <w:sz w:val="22"/>
          <w:szCs w:val="22"/>
        </w:rPr>
        <w:t xml:space="preserve">Simplify toggle: Every content page has a “Simplify” button that swaps technical language for plain-English explanations. Technical terms are defined inline. This lets less technical participants keep up without slowing down the room.</w:t>
      </w:r>
    </w:p>
    <w:p>
      <w:pPr>
        <w:pStyle w:val="ListParagraph"/>
        <w:numPr>
          <w:ilvl w:val="0"/>
          <w:numId w:val="2"/>
        </w:numPr>
        <w:spacing w:after="80"/>
      </w:pPr>
      <w:r>
        <w:rPr>
          <w:rFonts w:ascii="Arial" w:cs="Arial" w:eastAsia="Arial" w:hAnsi="Arial"/>
          <w:color w:val="555550"/>
          <w:sz w:val="22"/>
          <w:szCs w:val="22"/>
        </w:rPr>
        <w:t xml:space="preserve">Contextual exercises: Steps are tagged by context (terminal, VS Code, Claude, browser). Participants who are comfortable in the terminal can move faster; those who need more guidance can follow the explicit commands.</w:t>
      </w:r>
    </w:p>
    <w:p>
      <w:pPr>
        <w:pStyle w:val="ListParagraph"/>
        <w:numPr>
          <w:ilvl w:val="0"/>
          <w:numId w:val="2"/>
        </w:numPr>
        <w:spacing w:after="80"/>
      </w:pPr>
      <w:r>
        <w:rPr>
          <w:rFonts w:ascii="Arial" w:cs="Arial" w:eastAsia="Arial" w:hAnsi="Arial"/>
          <w:color w:val="555550"/>
          <w:sz w:val="22"/>
          <w:szCs w:val="22"/>
        </w:rPr>
        <w:t xml:space="preserve">Facilitator guide pacing notes: The facilitator guide for each module includes pacing advice for mixed-depth rooms — which steps to narrate slowly, which to skip for advanced groups, and when to pair technical with non-technical participants.</w:t>
      </w:r>
    </w:p>
    <w:p>
      <w:r>
        <w:br w:type="page"/>
      </w:r>
    </w:p>
    <w:p>
      <w:pPr>
        <w:pStyle w:val="Heading1"/>
        <w:pBdr>
          <w:bottom w:val="single" w:color="D97757" w:sz="2" w:space="8"/>
        </w:pBdr>
        <w:spacing w:after="200" w:before="360"/>
      </w:pPr>
      <w:r>
        <w:rPr>
          <w:rFonts w:ascii="Georgia" w:cs="Georgia" w:eastAsia="Georgia" w:hAnsi="Georgia"/>
          <w:b/>
          <w:bCs/>
          <w:color w:val="141413"/>
          <w:sz w:val="32"/>
          <w:szCs w:val="32"/>
        </w:rPr>
        <w:t xml:space="preserve">3. Learning Modalities</w:t>
      </w:r>
    </w:p>
    <w:p>
      <w:pPr>
        <w:spacing w:after="160"/>
      </w:pPr>
      <w:r>
        <w:rPr>
          <w:rFonts w:ascii="Arial" w:cs="Arial" w:eastAsia="Arial" w:hAnsi="Arial"/>
          <w:color w:val="555550"/>
          <w:sz w:val="22"/>
          <w:szCs w:val="22"/>
        </w:rPr>
        <w:t xml:space="preserve">Each module uses a deliberate mix of live instruction, hands-on labs, and self-paced materials. The ratio shifts across the week as learners build independence.</w:t>
      </w:r>
    </w:p>
    <w:p>
      <w:pPr>
        <w:pStyle w:val="Heading2"/>
        <w:spacing w:after="160" w:before="280"/>
      </w:pPr>
      <w:r>
        <w:rPr>
          <w:rFonts w:ascii="Georgia" w:cs="Georgia" w:eastAsia="Georgia" w:hAnsi="Georgia"/>
          <w:b/>
          <w:bCs/>
          <w:color w:val="141413"/>
          <w:sz w:val="26"/>
          <w:szCs w:val="26"/>
        </w:rPr>
        <w:t xml:space="preserve">Modality Breakdown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560"/>
        <w:gridCol w:w="1800"/>
        <w:gridCol w:w="2400"/>
      </w:tblGrid>
      <w:tr>
        <w:tc>
          <w:tcPr>
            <w:tcW w:type="dxa" w:w="1800"/>
            <w:tcBorders>
              <w:top w:val="single" w:color="E8E6DC" w:sz="1"/>
              <w:left w:val="single" w:color="E8E6DC" w:sz="1"/>
              <w:bottom w:val="single" w:color="E8E6DC" w:sz="1"/>
              <w:right w:val="single" w:color="E8E6DC" w:sz="1"/>
            </w:tcBorders>
            <w:shd w:fill="6A9BCC"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1800"/>
            <w:tcBorders>
              <w:top w:val="single" w:color="E8E6DC" w:sz="1"/>
              <w:left w:val="single" w:color="E8E6DC" w:sz="1"/>
              <w:bottom w:val="single" w:color="E8E6DC" w:sz="1"/>
              <w:right w:val="single" w:color="E8E6DC" w:sz="1"/>
            </w:tcBorders>
            <w:shd w:fill="6A9BCC" w:val="clear"/>
            <w:tcMar>
              <w:top w:type="dxa" w:w="100"/>
              <w:left w:type="dxa" w:w="140"/>
              <w:bottom w:type="dxa" w:w="100"/>
              <w:right w:type="dxa" w:w="140"/>
            </w:tcMar>
          </w:tcPr>
          <w:p>
            <w:r>
              <w:rPr>
                <w:rFonts w:ascii="Arial" w:cs="Arial" w:eastAsia="Arial" w:hAnsi="Arial"/>
                <w:b/>
                <w:bCs/>
                <w:color w:val="FFFFFF"/>
                <w:sz w:val="20"/>
                <w:szCs w:val="20"/>
              </w:rPr>
              <w:t xml:space="preserve">Live</w:t>
            </w:r>
          </w:p>
        </w:tc>
        <w:tc>
          <w:tcPr>
            <w:tcW w:type="dxa" w:w="1560"/>
            <w:tcBorders>
              <w:top w:val="single" w:color="E8E6DC" w:sz="1"/>
              <w:left w:val="single" w:color="E8E6DC" w:sz="1"/>
              <w:bottom w:val="single" w:color="E8E6DC" w:sz="1"/>
              <w:right w:val="single" w:color="E8E6DC" w:sz="1"/>
            </w:tcBorders>
            <w:shd w:fill="6A9BCC" w:val="clear"/>
            <w:tcMar>
              <w:top w:type="dxa" w:w="100"/>
              <w:left w:type="dxa" w:w="140"/>
              <w:bottom w:type="dxa" w:w="100"/>
              <w:right w:type="dxa" w:w="140"/>
            </w:tcMar>
          </w:tcPr>
          <w:p>
            <w:r>
              <w:rPr>
                <w:rFonts w:ascii="Arial" w:cs="Arial" w:eastAsia="Arial" w:hAnsi="Arial"/>
                <w:b/>
                <w:bCs/>
                <w:color w:val="FFFFFF"/>
                <w:sz w:val="20"/>
                <w:szCs w:val="20"/>
              </w:rPr>
              <w:t xml:space="preserve">Lab</w:t>
            </w:r>
          </w:p>
        </w:tc>
        <w:tc>
          <w:tcPr>
            <w:tcW w:type="dxa" w:w="1800"/>
            <w:tcBorders>
              <w:top w:val="single" w:color="E8E6DC" w:sz="1"/>
              <w:left w:val="single" w:color="E8E6DC" w:sz="1"/>
              <w:bottom w:val="single" w:color="E8E6DC" w:sz="1"/>
              <w:right w:val="single" w:color="E8E6DC" w:sz="1"/>
            </w:tcBorders>
            <w:shd w:fill="6A9BCC" w:val="clear"/>
            <w:tcMar>
              <w:top w:type="dxa" w:w="100"/>
              <w:left w:type="dxa" w:w="140"/>
              <w:bottom w:type="dxa" w:w="100"/>
              <w:right w:type="dxa" w:w="140"/>
            </w:tcMar>
          </w:tcPr>
          <w:p>
            <w:r>
              <w:rPr>
                <w:rFonts w:ascii="Arial" w:cs="Arial" w:eastAsia="Arial" w:hAnsi="Arial"/>
                <w:b/>
                <w:bCs/>
                <w:color w:val="FFFFFF"/>
                <w:sz w:val="20"/>
                <w:szCs w:val="20"/>
              </w:rPr>
              <w:t xml:space="preserve">Self-Paced</w:t>
            </w:r>
          </w:p>
        </w:tc>
        <w:tc>
          <w:tcPr>
            <w:tcW w:type="dxa" w:w="2400"/>
            <w:tcBorders>
              <w:top w:val="single" w:color="E8E6DC" w:sz="1"/>
              <w:left w:val="single" w:color="E8E6DC" w:sz="1"/>
              <w:bottom w:val="single" w:color="E8E6DC" w:sz="1"/>
              <w:right w:val="single" w:color="E8E6DC" w:sz="1"/>
            </w:tcBorders>
            <w:shd w:fill="6A9BCC" w:val="clear"/>
            <w:tcMar>
              <w:top w:type="dxa" w:w="100"/>
              <w:left w:type="dxa" w:w="140"/>
              <w:bottom w:type="dxa" w:w="100"/>
              <w:right w:type="dxa" w:w="140"/>
            </w:tcMar>
          </w:tcPr>
          <w:p>
            <w:r>
              <w:rPr>
                <w:rFonts w:ascii="Arial" w:cs="Arial" w:eastAsia="Arial" w:hAnsi="Arial"/>
                <w:b/>
                <w:bCs/>
                <w:color w:val="FFFFFF"/>
                <w:sz w:val="20"/>
                <w:szCs w:val="20"/>
              </w:rPr>
              <w:t xml:space="preserve">Total</w:t>
            </w:r>
          </w:p>
        </w:tc>
      </w:tr>
      <w:tr>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Day 1: First Contact</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45 min</w:t>
            </w:r>
          </w:p>
        </w:tc>
        <w:tc>
          <w:tcPr>
            <w:tcW w:type="dxa" w:w="15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45 min</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30 min pre-work</w:t>
            </w:r>
          </w:p>
        </w:tc>
        <w:tc>
          <w:tcPr>
            <w:tcW w:type="dxa" w:w="24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~2 hrs</w:t>
            </w:r>
          </w:p>
        </w:tc>
      </w:tr>
      <w:tr>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Day 2: Prompt Craft</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60 min</w:t>
            </w:r>
          </w:p>
        </w:tc>
        <w:tc>
          <w:tcPr>
            <w:tcW w:type="dxa" w:w="15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60 min</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30 min pre-work</w:t>
            </w:r>
          </w:p>
        </w:tc>
        <w:tc>
          <w:tcPr>
            <w:tcW w:type="dxa" w:w="24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~2.5 hrs</w:t>
            </w:r>
          </w:p>
        </w:tc>
      </w:tr>
      <w:tr>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Day 3: Extend</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45 min</w:t>
            </w:r>
          </w:p>
        </w:tc>
        <w:tc>
          <w:tcPr>
            <w:tcW w:type="dxa" w:w="15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75 min</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45 min pre-work</w:t>
            </w:r>
          </w:p>
        </w:tc>
        <w:tc>
          <w:tcPr>
            <w:tcW w:type="dxa" w:w="24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~2.75 hrs</w:t>
            </w:r>
          </w:p>
        </w:tc>
      </w:tr>
      <w:tr>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Day 4: Scenarios</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90 min</w:t>
            </w:r>
          </w:p>
        </w:tc>
        <w:tc>
          <w:tcPr>
            <w:tcW w:type="dxa" w:w="15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30 min</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None</w:t>
            </w:r>
          </w:p>
        </w:tc>
        <w:tc>
          <w:tcPr>
            <w:tcW w:type="dxa" w:w="24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~2 hrs</w:t>
            </w:r>
          </w:p>
        </w:tc>
      </w:tr>
      <w:tr>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Day 5: Capstone</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120 min</w:t>
            </w:r>
          </w:p>
        </w:tc>
        <w:tc>
          <w:tcPr>
            <w:tcW w:type="dxa" w:w="156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Integrated</w:t>
            </w:r>
          </w:p>
        </w:tc>
        <w:tc>
          <w:tcPr>
            <w:tcW w:type="dxa" w:w="18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None</w:t>
            </w:r>
          </w:p>
        </w:tc>
        <w:tc>
          <w:tcPr>
            <w:tcW w:type="dxa" w:w="2400"/>
            <w:tcBorders>
              <w:top w:val="single" w:color="E8E6DC" w:sz="1"/>
              <w:left w:val="single" w:color="E8E6DC" w:sz="1"/>
              <w:bottom w:val="single" w:color="E8E6DC" w:sz="1"/>
              <w:right w:val="single" w:color="E8E6DC" w:sz="1"/>
            </w:tcBorders>
            <w:tcMar>
              <w:top w:type="dxa" w:w="100"/>
              <w:left w:type="dxa" w:w="140"/>
              <w:bottom w:type="dxa" w:w="100"/>
              <w:right w:type="dxa" w:w="140"/>
            </w:tcMar>
          </w:tcPr>
          <w:p>
            <w:r>
              <w:rPr>
                <w:rFonts w:ascii="Arial" w:cs="Arial" w:eastAsia="Arial" w:hAnsi="Arial"/>
                <w:color w:val="555550"/>
                <w:sz w:val="20"/>
                <w:szCs w:val="20"/>
              </w:rPr>
              <w:t xml:space="preserve">~2 hrs</w:t>
            </w:r>
          </w:p>
        </w:tc>
      </w:tr>
    </w:tbl>
    <w:p>
      <w:pPr>
        <w:spacing w:after="120"/>
      </w:pPr>
    </w:p>
    <w:p>
      <w:pPr>
        <w:pStyle w:val="Heading2"/>
        <w:spacing w:after="160" w:before="280"/>
      </w:pPr>
      <w:r>
        <w:rPr>
          <w:rFonts w:ascii="Georgia" w:cs="Georgia" w:eastAsia="Georgia" w:hAnsi="Georgia"/>
          <w:b/>
          <w:bCs/>
          <w:color w:val="141413"/>
          <w:sz w:val="26"/>
          <w:szCs w:val="26"/>
        </w:rPr>
        <w:t xml:space="preserve">Live Instruction</w:t>
      </w:r>
    </w:p>
    <w:p>
      <w:pPr>
        <w:spacing w:after="160"/>
      </w:pPr>
      <w:r>
        <w:rPr>
          <w:rFonts w:ascii="Arial" w:cs="Arial" w:eastAsia="Arial" w:hAnsi="Arial"/>
          <w:color w:val="555550"/>
          <w:sz w:val="22"/>
          <w:szCs w:val="22"/>
        </w:rPr>
        <w:t xml:space="preserve">Live sessions are facilitator-led and focus on demonstration, narration, and discussion — never lecture. The facilitator guide for each module includes:</w:t>
      </w:r>
    </w:p>
    <w:p>
      <w:pPr>
        <w:pStyle w:val="ListParagraph"/>
        <w:numPr>
          <w:ilvl w:val="0"/>
          <w:numId w:val="2"/>
        </w:numPr>
        <w:spacing w:after="80"/>
      </w:pPr>
      <w:r>
        <w:rPr>
          <w:rFonts w:ascii="Arial" w:cs="Arial" w:eastAsia="Arial" w:hAnsi="Arial"/>
          <w:color w:val="555550"/>
          <w:sz w:val="22"/>
          <w:szCs w:val="22"/>
        </w:rPr>
        <w:t xml:space="preserve">Timed segments with narration scripts (what to say as you demo, word for word)</w:t>
      </w:r>
    </w:p>
    <w:p>
      <w:pPr>
        <w:pStyle w:val="ListParagraph"/>
        <w:numPr>
          <w:ilvl w:val="0"/>
          <w:numId w:val="2"/>
        </w:numPr>
        <w:spacing w:after="80"/>
      </w:pPr>
      <w:r>
        <w:rPr>
          <w:rFonts w:ascii="Arial" w:cs="Arial" w:eastAsia="Arial" w:hAnsi="Arial"/>
          <w:color w:val="555550"/>
          <w:sz w:val="22"/>
          <w:szCs w:val="22"/>
        </w:rPr>
        <w:t xml:space="preserve">Setup checklists (repos to clone, tools to pre-install, backup plans)</w:t>
      </w:r>
    </w:p>
    <w:p>
      <w:pPr>
        <w:pStyle w:val="ListParagraph"/>
        <w:numPr>
          <w:ilvl w:val="0"/>
          <w:numId w:val="2"/>
        </w:numPr>
        <w:spacing w:after="80"/>
      </w:pPr>
      <w:r>
        <w:rPr>
          <w:rFonts w:ascii="Arial" w:cs="Arial" w:eastAsia="Arial" w:hAnsi="Arial"/>
          <w:color w:val="555550"/>
          <w:sz w:val="22"/>
          <w:szCs w:val="22"/>
        </w:rPr>
        <w:t xml:space="preserve">Key moments to highlight (e.g., “When Claude self-corrects after a test failure — don’t skip this, it’s the most powerful demo moment”)</w:t>
      </w:r>
    </w:p>
    <w:p>
      <w:pPr>
        <w:pStyle w:val="ListParagraph"/>
        <w:numPr>
          <w:ilvl w:val="0"/>
          <w:numId w:val="2"/>
        </w:numPr>
        <w:spacing w:after="80"/>
      </w:pPr>
      <w:r>
        <w:rPr>
          <w:rFonts w:ascii="Arial" w:cs="Arial" w:eastAsia="Arial" w:hAnsi="Arial"/>
          <w:color w:val="555550"/>
          <w:sz w:val="22"/>
          <w:szCs w:val="22"/>
        </w:rPr>
        <w:t xml:space="preserve">Pacing notes for mixed-depth rooms</w:t>
      </w:r>
    </w:p>
    <w:p>
      <w:pPr>
        <w:spacing w:after="160"/>
      </w:pPr>
      <w:r>
        <w:rPr>
          <w:rFonts w:ascii="Arial" w:cs="Arial" w:eastAsia="Arial" w:hAnsi="Arial"/>
          <w:color w:val="555550"/>
          <w:sz w:val="22"/>
          <w:szCs w:val="22"/>
        </w:rPr>
        <w:t xml:space="preserve">Live sessions follow the “I do, we do, you do” progression: facilitator demos first, then the group works together on a guided exercise, then individuals tackle the lab independently.</w:t>
      </w:r>
    </w:p>
    <w:p>
      <w:pPr>
        <w:pStyle w:val="Heading2"/>
        <w:spacing w:after="160" w:before="280"/>
      </w:pPr>
      <w:r>
        <w:rPr>
          <w:rFonts w:ascii="Georgia" w:cs="Georgia" w:eastAsia="Georgia" w:hAnsi="Georgia"/>
          <w:b/>
          <w:bCs/>
          <w:color w:val="141413"/>
          <w:sz w:val="26"/>
          <w:szCs w:val="26"/>
        </w:rPr>
        <w:t xml:space="preserve">Hands-On Labs</w:t>
      </w:r>
    </w:p>
    <w:p>
      <w:pPr>
        <w:spacing w:after="160"/>
      </w:pPr>
      <w:r>
        <w:rPr>
          <w:rFonts w:ascii="Arial" w:cs="Arial" w:eastAsia="Arial" w:hAnsi="Arial"/>
          <w:color w:val="555550"/>
          <w:sz w:val="22"/>
          <w:szCs w:val="22"/>
        </w:rPr>
        <w:t xml:space="preserve">Labs are structured as step-by-step walkthroughs embedded directly in the web application. Each step includes:</w:t>
      </w:r>
    </w:p>
    <w:p>
      <w:pPr>
        <w:pStyle w:val="ListParagraph"/>
        <w:numPr>
          <w:ilvl w:val="0"/>
          <w:numId w:val="2"/>
        </w:numPr>
        <w:spacing w:after="80"/>
      </w:pPr>
      <w:r>
        <w:rPr>
          <w:rFonts w:ascii="Arial" w:cs="Arial" w:eastAsia="Arial" w:hAnsi="Arial"/>
          <w:color w:val="555550"/>
          <w:sz w:val="22"/>
          <w:szCs w:val="22"/>
        </w:rPr>
        <w:t xml:space="preserve">A description of what to do and why</w:t>
      </w:r>
    </w:p>
    <w:p>
      <w:pPr>
        <w:pStyle w:val="ListParagraph"/>
        <w:numPr>
          <w:ilvl w:val="0"/>
          <w:numId w:val="2"/>
        </w:numPr>
        <w:spacing w:after="80"/>
      </w:pPr>
      <w:r>
        <w:rPr>
          <w:rFonts w:ascii="Arial" w:cs="Arial" w:eastAsia="Arial" w:hAnsi="Arial"/>
          <w:color w:val="555550"/>
          <w:sz w:val="22"/>
          <w:szCs w:val="22"/>
        </w:rPr>
        <w:t xml:space="preserve">Copy-pasteable commands (with a copy button for terminal commands)</w:t>
      </w:r>
    </w:p>
    <w:p>
      <w:pPr>
        <w:pStyle w:val="ListParagraph"/>
        <w:numPr>
          <w:ilvl w:val="0"/>
          <w:numId w:val="2"/>
        </w:numPr>
        <w:spacing w:after="80"/>
      </w:pPr>
      <w:r>
        <w:rPr>
          <w:rFonts w:ascii="Arial" w:cs="Arial" w:eastAsia="Arial" w:hAnsi="Arial"/>
          <w:color w:val="555550"/>
          <w:sz w:val="22"/>
          <w:szCs w:val="22"/>
        </w:rPr>
        <w:t xml:space="preserve">Expected output so learners can self-verify</w:t>
      </w:r>
    </w:p>
    <w:p>
      <w:pPr>
        <w:pStyle w:val="ListParagraph"/>
        <w:numPr>
          <w:ilvl w:val="0"/>
          <w:numId w:val="2"/>
        </w:numPr>
        <w:spacing w:after="80"/>
      </w:pPr>
      <w:r>
        <w:rPr>
          <w:rFonts w:ascii="Arial" w:cs="Arial" w:eastAsia="Arial" w:hAnsi="Arial"/>
          <w:color w:val="555550"/>
          <w:sz w:val="22"/>
          <w:szCs w:val="22"/>
        </w:rPr>
        <w:t xml:space="preserve">Tips for common pitfalls</w:t>
      </w:r>
    </w:p>
    <w:p>
      <w:pPr>
        <w:pStyle w:val="ListParagraph"/>
        <w:numPr>
          <w:ilvl w:val="0"/>
          <w:numId w:val="2"/>
        </w:numPr>
        <w:spacing w:after="80"/>
      </w:pPr>
      <w:r>
        <w:rPr>
          <w:rFonts w:ascii="Arial" w:cs="Arial" w:eastAsia="Arial" w:hAnsi="Arial"/>
          <w:color w:val="555550"/>
          <w:sz w:val="22"/>
          <w:szCs w:val="22"/>
        </w:rPr>
        <w:t xml:space="preserve">Material references that link to printable cheat sheets</w:t>
      </w:r>
    </w:p>
    <w:p>
      <w:pPr>
        <w:spacing w:after="160"/>
      </w:pPr>
      <w:r>
        <w:rPr>
          <w:rFonts w:ascii="Arial" w:cs="Arial" w:eastAsia="Arial" w:hAnsi="Arial"/>
          <w:color w:val="555550"/>
          <w:sz w:val="22"/>
          <w:szCs w:val="22"/>
        </w:rPr>
        <w:t xml:space="preserve">Labs are framed through client scenarios. Day 1’s lab isn’t “install Claude Code” — it’s “you’re onboarding Meridian Health’s backend team and delivering their first win.” This situates every exercise in the context of a real customer engagement.</w:t>
      </w:r>
    </w:p>
    <w:p>
      <w:pPr>
        <w:pStyle w:val="Heading2"/>
        <w:spacing w:after="160" w:before="280"/>
      </w:pPr>
      <w:r>
        <w:rPr>
          <w:rFonts w:ascii="Georgia" w:cs="Georgia" w:eastAsia="Georgia" w:hAnsi="Georgia"/>
          <w:b/>
          <w:bCs/>
          <w:color w:val="141413"/>
          <w:sz w:val="26"/>
          <w:szCs w:val="26"/>
        </w:rPr>
        <w:t xml:space="preserve">Leave-Behind Reference Materials</w:t>
      </w:r>
    </w:p>
    <w:p>
      <w:pPr>
        <w:spacing w:after="160"/>
      </w:pPr>
      <w:r>
        <w:rPr>
          <w:rFonts w:ascii="Arial" w:cs="Arial" w:eastAsia="Arial" w:hAnsi="Arial"/>
          <w:color w:val="555550"/>
          <w:sz w:val="22"/>
          <w:szCs w:val="22"/>
        </w:rPr>
        <w:t xml:space="preserve">The program includes 22 printable materials across three categories:</w:t>
      </w:r>
    </w:p>
    <w:p>
      <w:pPr>
        <w:pStyle w:val="ListParagraph"/>
        <w:numPr>
          <w:ilvl w:val="0"/>
          <w:numId w:val="2"/>
        </w:numPr>
        <w:spacing w:after="80"/>
      </w:pPr>
      <w:r>
        <w:rPr>
          <w:rFonts w:ascii="Arial" w:cs="Arial" w:eastAsia="Arial" w:hAnsi="Arial"/>
          <w:color w:val="555550"/>
          <w:sz w:val="22"/>
          <w:szCs w:val="22"/>
        </w:rPr>
        <w:t xml:space="preserve">Grab and Go (5 cards): The essential references for any sales meeting. Includes Claude Code at a Glance, How Claude Code Thinks, Security Objection Handler, Claude Code vs. Competition, and Cost &amp; ROI Pocket Math.</w:t>
      </w:r>
    </w:p>
    <w:p>
      <w:pPr>
        <w:pStyle w:val="ListParagraph"/>
        <w:numPr>
          <w:ilvl w:val="0"/>
          <w:numId w:val="2"/>
        </w:numPr>
        <w:spacing w:after="80"/>
      </w:pPr>
      <w:r>
        <w:rPr>
          <w:rFonts w:ascii="Arial" w:cs="Arial" w:eastAsia="Arial" w:hAnsi="Arial"/>
          <w:color w:val="555550"/>
          <w:sz w:val="22"/>
          <w:szCs w:val="22"/>
        </w:rPr>
        <w:t xml:space="preserve">Module Worksheets (10 items): Companion materials for each module. CLAUDE.md Builder worksheet, Prompt Patterns cheat sheet, Integration Patterns architecture reference, Demo Planning worksheet, etc.</w:t>
      </w:r>
    </w:p>
    <w:p>
      <w:pPr>
        <w:pStyle w:val="ListParagraph"/>
        <w:numPr>
          <w:ilvl w:val="0"/>
          <w:numId w:val="2"/>
        </w:numPr>
        <w:spacing w:after="80"/>
      </w:pPr>
      <w:r>
        <w:rPr>
          <w:rFonts w:ascii="Arial" w:cs="Arial" w:eastAsia="Arial" w:hAnsi="Arial"/>
          <w:color w:val="555550"/>
          <w:sz w:val="22"/>
          <w:szCs w:val="22"/>
        </w:rPr>
        <w:t xml:space="preserve">Deep Reference (7 items): Deployment Path Finder, Enterprise Deployment talk track, Configuration &amp; Customization reference, and others.</w:t>
      </w:r>
    </w:p>
    <w:p>
      <w:pPr>
        <w:spacing w:after="160"/>
      </w:pPr>
      <w:r>
        <w:rPr>
          <w:rFonts w:ascii="Arial" w:cs="Arial" w:eastAsia="Arial" w:hAnsi="Arial"/>
          <w:color w:val="555550"/>
          <w:sz w:val="22"/>
          <w:szCs w:val="22"/>
        </w:rPr>
        <w:t xml:space="preserve">All materials are accessible from a centralized “Browse all materials” page and are printable as double-sided reference cards.</w:t>
      </w:r>
    </w:p>
    <w:p>
      <w:r>
        <w:br w:type="page"/>
      </w:r>
    </w:p>
    <w:p>
      <w:pPr>
        <w:pStyle w:val="Heading1"/>
        <w:pBdr>
          <w:bottom w:val="single" w:color="D97757" w:sz="2" w:space="8"/>
        </w:pBdr>
        <w:spacing w:after="200" w:before="360"/>
      </w:pPr>
      <w:r>
        <w:rPr>
          <w:rFonts w:ascii="Georgia" w:cs="Georgia" w:eastAsia="Georgia" w:hAnsi="Georgia"/>
          <w:b/>
          <w:bCs/>
          <w:color w:val="141413"/>
          <w:sz w:val="32"/>
          <w:szCs w:val="32"/>
        </w:rPr>
        <w:t xml:space="preserve">4. Competency Outcomes</w:t>
      </w:r>
    </w:p>
    <w:p>
      <w:pPr>
        <w:spacing w:after="160"/>
      </w:pPr>
      <w:r>
        <w:rPr>
          <w:rFonts w:ascii="Arial" w:cs="Arial" w:eastAsia="Arial" w:hAnsi="Arial"/>
          <w:color w:val="555550"/>
          <w:sz w:val="22"/>
          <w:szCs w:val="22"/>
        </w:rPr>
        <w:t xml:space="preserve">These are what each role should be able to do — not just know — by the end of the program. Each outcome is tied to a specific day’s module.</w:t>
      </w:r>
    </w:p>
    <w:p>
      <w:pPr>
        <w:pStyle w:val="Heading2"/>
        <w:spacing w:after="160" w:before="280"/>
      </w:pPr>
      <w:r>
        <w:rPr>
          <w:rFonts w:ascii="Georgia" w:cs="Georgia" w:eastAsia="Georgia" w:hAnsi="Georgia"/>
          <w:b/>
          <w:bCs/>
          <w:color w:val="141413"/>
          <w:sz w:val="26"/>
          <w:szCs w:val="26"/>
        </w:rPr>
        <w:t xml:space="preserve">PE Pre-Sales</w:t>
      </w:r>
    </w:p>
    <w:p>
      <w:pPr>
        <w:pStyle w:val="ListParagraph"/>
        <w:numPr>
          <w:ilvl w:val="0"/>
          <w:numId w:val="2"/>
        </w:numPr>
        <w:spacing w:after="80"/>
      </w:pPr>
      <w:r>
        <w:rPr>
          <w:rFonts w:ascii="Arial" w:cs="Arial" w:eastAsia="Arial" w:hAnsi="Arial"/>
          <w:color w:val="555550"/>
          <w:sz w:val="22"/>
          <w:szCs w:val="22"/>
        </w:rPr>
        <w:t xml:space="preserve">Day 1: Demo Claude Code’s install and first-run experience to a prospect — narrate the agentic loop as it happens and explain why it matters vs. autocomplete.</w:t>
      </w:r>
    </w:p>
    <w:p>
      <w:pPr>
        <w:pStyle w:val="ListParagraph"/>
        <w:numPr>
          <w:ilvl w:val="0"/>
          <w:numId w:val="2"/>
        </w:numPr>
        <w:spacing w:after="80"/>
      </w:pPr>
      <w:r>
        <w:rPr>
          <w:rFonts w:ascii="Arial" w:cs="Arial" w:eastAsia="Arial" w:hAnsi="Arial"/>
          <w:color w:val="555550"/>
          <w:sz w:val="22"/>
          <w:szCs w:val="22"/>
        </w:rPr>
        <w:t xml:space="preserve">Day 2: Write a CLAUDE.md for a prospect’s repo during a live evaluation, showing how context transforms output quality.</w:t>
      </w:r>
    </w:p>
    <w:p>
      <w:pPr>
        <w:pStyle w:val="ListParagraph"/>
        <w:numPr>
          <w:ilvl w:val="0"/>
          <w:numId w:val="2"/>
        </w:numPr>
        <w:spacing w:after="80"/>
      </w:pPr>
      <w:r>
        <w:rPr>
          <w:rFonts w:ascii="Arial" w:cs="Arial" w:eastAsia="Arial" w:hAnsi="Arial"/>
          <w:color w:val="555550"/>
          <w:sz w:val="22"/>
          <w:szCs w:val="22"/>
        </w:rPr>
        <w:t xml:space="preserve">Day 3: Architect a Claude Code integration pattern for a customer evaluation — hooks for guardrails, MCP for their internal tools, slash commands for team workflows.</w:t>
      </w:r>
    </w:p>
    <w:p>
      <w:pPr>
        <w:pStyle w:val="ListParagraph"/>
        <w:numPr>
          <w:ilvl w:val="0"/>
          <w:numId w:val="2"/>
        </w:numPr>
        <w:spacing w:after="80"/>
      </w:pPr>
      <w:r>
        <w:rPr>
          <w:rFonts w:ascii="Arial" w:cs="Arial" w:eastAsia="Arial" w:hAnsi="Arial"/>
          <w:color w:val="555550"/>
          <w:sz w:val="22"/>
          <w:szCs w:val="22"/>
        </w:rPr>
        <w:t xml:space="preserve">Day 4: Run a full technical evaluation against a real customer use case — build a reference architecture, handle objections on security and cost, position against Copilot/Cursor/Devin, and close with a next-steps demo plan.</w:t>
      </w:r>
    </w:p>
    <w:p>
      <w:pPr>
        <w:pStyle w:val="ListParagraph"/>
        <w:numPr>
          <w:ilvl w:val="0"/>
          <w:numId w:val="2"/>
        </w:numPr>
        <w:spacing w:after="80"/>
      </w:pPr>
      <w:r>
        <w:rPr>
          <w:rFonts w:ascii="Arial" w:cs="Arial" w:eastAsia="Arial" w:hAnsi="Arial"/>
          <w:color w:val="555550"/>
          <w:sz w:val="22"/>
          <w:szCs w:val="22"/>
        </w:rPr>
        <w:t xml:space="preserve">Day 5: Deliver a compelling, tailored Claude Code demo from a cold customer brief in under 2 hours — including architecture proposal, live demo, and a clear next-steps ask.</w:t>
      </w:r>
    </w:p>
    <w:p>
      <w:pPr>
        <w:pStyle w:val="Heading2"/>
        <w:spacing w:after="160" w:before="280"/>
      </w:pPr>
      <w:r>
        <w:rPr>
          <w:rFonts w:ascii="Georgia" w:cs="Georgia" w:eastAsia="Georgia" w:hAnsi="Georgia"/>
          <w:b/>
          <w:bCs/>
          <w:color w:val="141413"/>
          <w:sz w:val="26"/>
          <w:szCs w:val="26"/>
        </w:rPr>
        <w:t xml:space="preserve">PE Post-Sales</w:t>
      </w:r>
    </w:p>
    <w:p>
      <w:pPr>
        <w:pStyle w:val="ListParagraph"/>
        <w:numPr>
          <w:ilvl w:val="0"/>
          <w:numId w:val="2"/>
        </w:numPr>
        <w:spacing w:after="80"/>
      </w:pPr>
      <w:r>
        <w:rPr>
          <w:rFonts w:ascii="Arial" w:cs="Arial" w:eastAsia="Arial" w:hAnsi="Arial"/>
          <w:color w:val="555550"/>
          <w:sz w:val="22"/>
          <w:szCs w:val="22"/>
        </w:rPr>
        <w:t xml:space="preserve">Day 1: Set up Claude Code in a customer’s dev environment, troubleshoot common installation issues, and guide a developer through their first agentic task.</w:t>
      </w:r>
    </w:p>
    <w:p>
      <w:pPr>
        <w:pStyle w:val="ListParagraph"/>
        <w:numPr>
          <w:ilvl w:val="0"/>
          <w:numId w:val="2"/>
        </w:numPr>
        <w:spacing w:after="80"/>
      </w:pPr>
      <w:r>
        <w:rPr>
          <w:rFonts w:ascii="Arial" w:cs="Arial" w:eastAsia="Arial" w:hAnsi="Arial"/>
          <w:color w:val="555550"/>
          <w:sz w:val="22"/>
          <w:szCs w:val="22"/>
        </w:rPr>
        <w:t xml:space="preserve">Day 2: Pair-program with a customer engineering team to author CLAUDE.md files tailored to their codebase, conventions, and CI/CD pipeline.</w:t>
      </w:r>
    </w:p>
    <w:p>
      <w:pPr>
        <w:pStyle w:val="ListParagraph"/>
        <w:numPr>
          <w:ilvl w:val="0"/>
          <w:numId w:val="2"/>
        </w:numPr>
        <w:spacing w:after="80"/>
      </w:pPr>
      <w:r>
        <w:rPr>
          <w:rFonts w:ascii="Arial" w:cs="Arial" w:eastAsia="Arial" w:hAnsi="Arial"/>
          <w:color w:val="555550"/>
          <w:sz w:val="22"/>
          <w:szCs w:val="22"/>
        </w:rPr>
        <w:t xml:space="preserve">Day 3: Build and deploy custom MCP servers, hooks, and slash commands in a customer’s environment — debugging integration issues live.</w:t>
      </w:r>
    </w:p>
    <w:p>
      <w:pPr>
        <w:pStyle w:val="ListParagraph"/>
        <w:numPr>
          <w:ilvl w:val="0"/>
          <w:numId w:val="2"/>
        </w:numPr>
        <w:spacing w:after="80"/>
      </w:pPr>
      <w:r>
        <w:rPr>
          <w:rFonts w:ascii="Arial" w:cs="Arial" w:eastAsia="Arial" w:hAnsi="Arial"/>
          <w:color w:val="555550"/>
          <w:sz w:val="22"/>
          <w:szCs w:val="22"/>
        </w:rPr>
        <w:t xml:space="preserve">Day 4: Navigate a live customer debugging session using Claude Code — diagnose a failing integration, fix it with the customer watching, and turn the save into a relationship-building moment.</w:t>
      </w:r>
    </w:p>
    <w:p>
      <w:pPr>
        <w:pStyle w:val="ListParagraph"/>
        <w:numPr>
          <w:ilvl w:val="0"/>
          <w:numId w:val="2"/>
        </w:numPr>
        <w:spacing w:after="80"/>
      </w:pPr>
      <w:r>
        <w:rPr>
          <w:rFonts w:ascii="Arial" w:cs="Arial" w:eastAsia="Arial" w:hAnsi="Arial"/>
          <w:color w:val="555550"/>
          <w:sz w:val="22"/>
          <w:szCs w:val="22"/>
        </w:rPr>
        <w:t xml:space="preserve">Day 5: Scope, build, and deliver a working Claude Code implementation from a customer brief — pair-program through the hard parts, leave behind documentation, and hand off a running system.</w:t>
      </w:r>
    </w:p>
    <w:p>
      <w:pPr>
        <w:pStyle w:val="Heading2"/>
        <w:spacing w:after="160" w:before="280"/>
      </w:pPr>
      <w:r>
        <w:rPr>
          <w:rFonts w:ascii="Georgia" w:cs="Georgia" w:eastAsia="Georgia" w:hAnsi="Georgia"/>
          <w:b/>
          <w:bCs/>
          <w:color w:val="141413"/>
          <w:sz w:val="26"/>
          <w:szCs w:val="26"/>
        </w:rPr>
        <w:t xml:space="preserve">Solutions Architects</w:t>
      </w:r>
    </w:p>
    <w:p>
      <w:pPr>
        <w:pStyle w:val="ListParagraph"/>
        <w:numPr>
          <w:ilvl w:val="0"/>
          <w:numId w:val="2"/>
        </w:numPr>
        <w:spacing w:after="80"/>
      </w:pPr>
      <w:r>
        <w:rPr>
          <w:rFonts w:ascii="Arial" w:cs="Arial" w:eastAsia="Arial" w:hAnsi="Arial"/>
          <w:color w:val="555550"/>
          <w:sz w:val="22"/>
          <w:szCs w:val="22"/>
        </w:rPr>
        <w:t xml:space="preserve">Day 1: Articulate the agentic coding value proposition to a technical audience and map it to common customer pain points.</w:t>
      </w:r>
    </w:p>
    <w:p>
      <w:pPr>
        <w:pStyle w:val="ListParagraph"/>
        <w:numPr>
          <w:ilvl w:val="0"/>
          <w:numId w:val="2"/>
        </w:numPr>
        <w:spacing w:after="80"/>
      </w:pPr>
      <w:r>
        <w:rPr>
          <w:rFonts w:ascii="Arial" w:cs="Arial" w:eastAsia="Arial" w:hAnsi="Arial"/>
          <w:color w:val="555550"/>
          <w:sz w:val="22"/>
          <w:szCs w:val="22"/>
        </w:rPr>
        <w:t xml:space="preserve">Day 2: Design a CLAUDE.md strategy for a multi-team engineering org — root-level standards, team-level overrides, and integration patterns with existing style guides.</w:t>
      </w:r>
    </w:p>
    <w:p>
      <w:pPr>
        <w:pStyle w:val="ListParagraph"/>
        <w:numPr>
          <w:ilvl w:val="0"/>
          <w:numId w:val="2"/>
        </w:numPr>
        <w:spacing w:after="80"/>
      </w:pPr>
      <w:r>
        <w:rPr>
          <w:rFonts w:ascii="Arial" w:cs="Arial" w:eastAsia="Arial" w:hAnsi="Arial"/>
          <w:color w:val="555550"/>
          <w:sz w:val="22"/>
          <w:szCs w:val="22"/>
        </w:rPr>
        <w:t xml:space="preserve">Day 3: Design a phased Claude Code adoption plan — from individual pilot to team-wide deployment — with integration patterns for the customer’s existing toolchain.</w:t>
      </w:r>
    </w:p>
    <w:p>
      <w:pPr>
        <w:pStyle w:val="ListParagraph"/>
        <w:numPr>
          <w:ilvl w:val="0"/>
          <w:numId w:val="2"/>
        </w:numPr>
        <w:spacing w:after="80"/>
      </w:pPr>
      <w:r>
        <w:rPr>
          <w:rFonts w:ascii="Arial" w:cs="Arial" w:eastAsia="Arial" w:hAnsi="Arial"/>
          <w:color w:val="555550"/>
          <w:sz w:val="22"/>
          <w:szCs w:val="22"/>
        </w:rPr>
        <w:t xml:space="preserve">Day 4: Assess a customer’s engineering org, identify the highest-leverage Claude Code insertion points, position honestly against competitors, and present a strategic adoption roadmap.</w:t>
      </w:r>
    </w:p>
    <w:p>
      <w:pPr>
        <w:pStyle w:val="ListParagraph"/>
        <w:numPr>
          <w:ilvl w:val="0"/>
          <w:numId w:val="2"/>
        </w:numPr>
        <w:spacing w:after="80"/>
      </w:pPr>
      <w:r>
        <w:rPr>
          <w:rFonts w:ascii="Arial" w:cs="Arial" w:eastAsia="Arial" w:hAnsi="Arial"/>
          <w:color w:val="555550"/>
          <w:sz w:val="22"/>
          <w:szCs w:val="22"/>
        </w:rPr>
        <w:t xml:space="preserve">Day 5: Present a complete Claude Code adoption strategy from a blind customer brief — architecture diagrams, phased rollout, integration patterns, ROI estimates, and honest risk assessment.</w:t>
      </w:r>
    </w:p>
    <w:p>
      <w:pPr>
        <w:pStyle w:val="Heading2"/>
        <w:spacing w:after="160" w:before="280"/>
      </w:pPr>
      <w:r>
        <w:rPr>
          <w:rFonts w:ascii="Georgia" w:cs="Georgia" w:eastAsia="Georgia" w:hAnsi="Georgia"/>
          <w:b/>
          <w:bCs/>
          <w:color w:val="141413"/>
          <w:sz w:val="26"/>
          <w:szCs w:val="26"/>
        </w:rPr>
        <w:t xml:space="preserve">Applied Research</w:t>
      </w:r>
    </w:p>
    <w:p>
      <w:pPr>
        <w:pStyle w:val="ListParagraph"/>
        <w:numPr>
          <w:ilvl w:val="0"/>
          <w:numId w:val="2"/>
        </w:numPr>
        <w:spacing w:after="80"/>
      </w:pPr>
      <w:r>
        <w:rPr>
          <w:rFonts w:ascii="Arial" w:cs="Arial" w:eastAsia="Arial" w:hAnsi="Arial"/>
          <w:color w:val="555550"/>
          <w:sz w:val="22"/>
          <w:szCs w:val="22"/>
        </w:rPr>
        <w:t xml:space="preserve">Day 1: Analyze Claude Code’s agentic loop behavior — tool calls, planning steps, error recovery — and identify areas where model capabilities could be extended.</w:t>
      </w:r>
    </w:p>
    <w:p>
      <w:pPr>
        <w:pStyle w:val="ListParagraph"/>
        <w:numPr>
          <w:ilvl w:val="0"/>
          <w:numId w:val="2"/>
        </w:numPr>
        <w:spacing w:after="80"/>
      </w:pPr>
      <w:r>
        <w:rPr>
          <w:rFonts w:ascii="Arial" w:cs="Arial" w:eastAsia="Arial" w:hAnsi="Arial"/>
          <w:color w:val="555550"/>
          <w:sz w:val="22"/>
          <w:szCs w:val="22"/>
        </w:rPr>
        <w:t xml:space="preserve">Day 2: Evaluate how CLAUDE.md content affects model reasoning quality, identify prompt patterns that improve code generation accuracy, and build evaluation harnesses.</w:t>
      </w:r>
    </w:p>
    <w:p>
      <w:pPr>
        <w:pStyle w:val="ListParagraph"/>
        <w:numPr>
          <w:ilvl w:val="0"/>
          <w:numId w:val="2"/>
        </w:numPr>
        <w:spacing w:after="80"/>
      </w:pPr>
      <w:r>
        <w:rPr>
          <w:rFonts w:ascii="Arial" w:cs="Arial" w:eastAsia="Arial" w:hAnsi="Arial"/>
          <w:color w:val="555550"/>
          <w:sz w:val="22"/>
          <w:szCs w:val="22"/>
        </w:rPr>
        <w:t xml:space="preserve">Day 3: Build custom tooling with the Agent SDK — automated code review pipelines, evaluation harnesses, and workflows that connect Claude Code to model training infrastructure.</w:t>
      </w:r>
    </w:p>
    <w:p>
      <w:pPr>
        <w:pStyle w:val="ListParagraph"/>
        <w:numPr>
          <w:ilvl w:val="0"/>
          <w:numId w:val="2"/>
        </w:numPr>
        <w:spacing w:after="80"/>
      </w:pPr>
      <w:r>
        <w:rPr>
          <w:rFonts w:ascii="Arial" w:cs="Arial" w:eastAsia="Arial" w:hAnsi="Arial"/>
          <w:color w:val="555550"/>
          <w:sz w:val="22"/>
          <w:szCs w:val="22"/>
        </w:rPr>
        <w:t xml:space="preserve">Day 4: Advise on Claude Code’s capabilities and limitations for ML/training workflows — propose custom tooling workarounds and scope what’s possible vs. what requires model-level changes.</w:t>
      </w:r>
    </w:p>
    <w:p>
      <w:pPr>
        <w:pStyle w:val="ListParagraph"/>
        <w:numPr>
          <w:ilvl w:val="0"/>
          <w:numId w:val="2"/>
        </w:numPr>
        <w:spacing w:after="80"/>
      </w:pPr>
      <w:r>
        <w:rPr>
          <w:rFonts w:ascii="Arial" w:cs="Arial" w:eastAsia="Arial" w:hAnsi="Arial"/>
          <w:color w:val="555550"/>
          <w:sz w:val="22"/>
          <w:szCs w:val="22"/>
        </w:rPr>
        <w:t xml:space="preserve">Day 5: Design and present a Claude Code-powered research workflow — custom Agent SDK tooling, evaluation metrics, integration with training pipelines — with a working prototype.</w:t>
      </w:r>
    </w:p>
    <w:p>
      <w:r>
        <w:br w:type="page"/>
      </w:r>
    </w:p>
    <w:p>
      <w:pPr>
        <w:pStyle w:val="Heading1"/>
        <w:pBdr>
          <w:bottom w:val="single" w:color="D97757" w:sz="2" w:space="8"/>
        </w:pBdr>
        <w:spacing w:after="200" w:before="360"/>
      </w:pPr>
      <w:r>
        <w:rPr>
          <w:rFonts w:ascii="Georgia" w:cs="Georgia" w:eastAsia="Georgia" w:hAnsi="Georgia"/>
          <w:b/>
          <w:bCs/>
          <w:color w:val="141413"/>
          <w:sz w:val="32"/>
          <w:szCs w:val="32"/>
        </w:rPr>
        <w:t xml:space="preserve">5. Rationale</w:t>
      </w:r>
    </w:p>
    <w:p>
      <w:pPr>
        <w:pStyle w:val="Heading2"/>
        <w:spacing w:after="160" w:before="280"/>
      </w:pPr>
      <w:r>
        <w:rPr>
          <w:rFonts w:ascii="Georgia" w:cs="Georgia" w:eastAsia="Georgia" w:hAnsi="Georgia"/>
          <w:b/>
          <w:bCs/>
          <w:color w:val="141413"/>
          <w:sz w:val="26"/>
          <w:szCs w:val="26"/>
        </w:rPr>
        <w:t xml:space="preserve">Why This Sequence</w:t>
      </w:r>
    </w:p>
    <w:p>
      <w:pPr>
        <w:spacing w:after="160"/>
      </w:pPr>
      <w:r>
        <w:rPr>
          <w:rFonts w:ascii="Arial" w:cs="Arial" w:eastAsia="Arial" w:hAnsi="Arial"/>
          <w:color w:val="555550"/>
          <w:sz w:val="22"/>
          <w:szCs w:val="22"/>
        </w:rPr>
        <w:t xml:space="preserve">The five-day arc follows the Dreyfus model of skill acquisition: novice → advanced beginner → competent → proficient → expert.</w:t>
      </w:r>
    </w:p>
    <w:p>
      <w:pPr>
        <w:pStyle w:val="ListParagraph"/>
        <w:numPr>
          <w:ilvl w:val="0"/>
          <w:numId w:val="2"/>
        </w:numPr>
        <w:spacing w:after="80"/>
      </w:pPr>
      <w:r>
        <w:rPr>
          <w:rFonts w:ascii="Arial" w:cs="Arial" w:eastAsia="Arial" w:hAnsi="Arial"/>
          <w:color w:val="555550"/>
          <w:sz w:val="22"/>
          <w:szCs w:val="22"/>
        </w:rPr>
        <w:t xml:space="preserve">Days 1–2 (Novice → Advanced Beginner): Learners follow rules. Install Claude Code, learn the commands, write a CLAUDE.md by template. Success is defined by following the steps correctly.</w:t>
      </w:r>
    </w:p>
    <w:p>
      <w:pPr>
        <w:pStyle w:val="ListParagraph"/>
        <w:numPr>
          <w:ilvl w:val="0"/>
          <w:numId w:val="2"/>
        </w:numPr>
        <w:spacing w:after="80"/>
      </w:pPr>
      <w:r>
        <w:rPr>
          <w:rFonts w:ascii="Arial" w:cs="Arial" w:eastAsia="Arial" w:hAnsi="Arial"/>
          <w:color w:val="555550"/>
          <w:sz w:val="22"/>
          <w:szCs w:val="22"/>
        </w:rPr>
        <w:t xml:space="preserve">Day 3 (Competent): Learners make decisions. Which hooks to configure, which MCP servers to connect, how to compose them. Success requires judgment, not just execution.</w:t>
      </w:r>
    </w:p>
    <w:p>
      <w:pPr>
        <w:pStyle w:val="ListParagraph"/>
        <w:numPr>
          <w:ilvl w:val="0"/>
          <w:numId w:val="2"/>
        </w:numPr>
        <w:spacing w:after="80"/>
      </w:pPr>
      <w:r>
        <w:rPr>
          <w:rFonts w:ascii="Arial" w:cs="Arial" w:eastAsia="Arial" w:hAnsi="Arial"/>
          <w:color w:val="555550"/>
          <w:sz w:val="22"/>
          <w:szCs w:val="22"/>
        </w:rPr>
        <w:t xml:space="preserve">Day 4 (Proficient): Learners handle ambiguity. Customer objections don’t follow scripts. The security conversation requires reading the room; the competitive conversation requires honest differentiation.</w:t>
      </w:r>
    </w:p>
    <w:p>
      <w:pPr>
        <w:pStyle w:val="ListParagraph"/>
        <w:numPr>
          <w:ilvl w:val="0"/>
          <w:numId w:val="2"/>
        </w:numPr>
        <w:spacing w:after="80"/>
      </w:pPr>
      <w:r>
        <w:rPr>
          <w:rFonts w:ascii="Arial" w:cs="Arial" w:eastAsia="Arial" w:hAnsi="Arial"/>
          <w:color w:val="555550"/>
          <w:sz w:val="22"/>
          <w:szCs w:val="22"/>
        </w:rPr>
        <w:t xml:space="preserve">Day 5 (Expert): Learners integrate everything under pressure. A blind brief, a time constraint, a live audience. This is as close as we can get to the real job without being in the field.</w:t>
      </w:r>
    </w:p>
    <w:p>
      <w:pPr>
        <w:spacing w:after="160"/>
      </w:pPr>
      <w:r>
        <w:rPr>
          <w:rFonts w:ascii="Arial" w:cs="Arial" w:eastAsia="Arial" w:hAnsi="Arial"/>
          <w:color w:val="555550"/>
          <w:sz w:val="22"/>
          <w:szCs w:val="22"/>
        </w:rPr>
        <w:t xml:space="preserve">This progression also follows experiential learning theory (Kolb): concrete experience (do the task) → reflective observation (knowledge checkpoints) → abstract conceptualization (understand the pattern) → active experimentation (apply to a new scenario). Each module completes this cycle.</w:t>
      </w:r>
    </w:p>
    <w:p>
      <w:pPr>
        <w:pStyle w:val="Heading2"/>
        <w:spacing w:after="160" w:before="280"/>
      </w:pPr>
      <w:r>
        <w:rPr>
          <w:rFonts w:ascii="Georgia" w:cs="Georgia" w:eastAsia="Georgia" w:hAnsi="Georgia"/>
          <w:b/>
          <w:bCs/>
          <w:color w:val="141413"/>
          <w:sz w:val="26"/>
          <w:szCs w:val="26"/>
        </w:rPr>
        <w:t xml:space="preserve">Key Trade-offs</w:t>
      </w:r>
    </w:p>
    <w:p>
      <w:pPr>
        <w:spacing w:after="40"/>
      </w:pPr>
    </w:p>
    <w:p>
      <w:pPr>
        <w:pStyle w:val="Heading3"/>
        <w:spacing w:after="120" w:before="200"/>
      </w:pPr>
      <w:r>
        <w:rPr>
          <w:rFonts w:ascii="Georgia" w:cs="Georgia" w:eastAsia="Georgia" w:hAnsi="Georgia"/>
          <w:b/>
          <w:bCs/>
          <w:color w:val="555550"/>
          <w:sz w:val="22"/>
          <w:szCs w:val="22"/>
        </w:rPr>
        <w:t xml:space="preserve">Shared Days 1–3 vs. earlier role divergence</w:t>
      </w:r>
    </w:p>
    <w:p>
      <w:pPr>
        <w:spacing w:after="160"/>
      </w:pPr>
      <w:r>
        <w:rPr>
          <w:rFonts w:ascii="Arial" w:cs="Arial" w:eastAsia="Arial" w:hAnsi="Arial"/>
          <w:color w:val="555550"/>
          <w:sz w:val="22"/>
          <w:szCs w:val="22"/>
        </w:rPr>
        <w:t xml:space="preserve">I chose shared sessions for the first three days despite the audience having different technical depths. The alternative — splitting into technical and non-technical tracks on Day 1 — would mean Pre-Sales PEs never build the hands-on depth needed to handle technical customer conversations. The “Simplify” toggle and facilitator pacing notes mitigate the mixed-depth challenge without sacrificing depth for anyone.</w:t>
      </w:r>
    </w:p>
    <w:p>
      <w:pPr>
        <w:spacing w:after="40"/>
      </w:pPr>
    </w:p>
    <w:p>
      <w:pPr>
        <w:pStyle w:val="Heading3"/>
        <w:spacing w:after="120" w:before="200"/>
      </w:pPr>
      <w:r>
        <w:rPr>
          <w:rFonts w:ascii="Georgia" w:cs="Georgia" w:eastAsia="Georgia" w:hAnsi="Georgia"/>
          <w:b/>
          <w:bCs/>
          <w:color w:val="555550"/>
          <w:sz w:val="22"/>
          <w:szCs w:val="22"/>
        </w:rPr>
        <w:t xml:space="preserve">Client scenarios as framing vs. abstract exercises</w:t>
      </w:r>
    </w:p>
    <w:p>
      <w:pPr>
        <w:spacing w:after="160"/>
      </w:pPr>
      <w:r>
        <w:rPr>
          <w:rFonts w:ascii="Arial" w:cs="Arial" w:eastAsia="Arial" w:hAnsi="Arial"/>
          <w:color w:val="555550"/>
          <w:sz w:val="22"/>
          <w:szCs w:val="22"/>
        </w:rPr>
        <w:t xml:space="preserve">Every module is framed through a realistic client scenario (Meridian Health, Lumen Logistics, Arcadia Financial, etc.) rather than abstract exercises. This costs development time — each scenario needs a believable company, industry context, and problem statement. The payoff: learners practice the actual cognitive work of a customer engagement (reading a brief, mapping pain points to features) rather than just learning features in isolation.</w:t>
      </w:r>
    </w:p>
    <w:p>
      <w:pPr>
        <w:spacing w:after="40"/>
      </w:pPr>
    </w:p>
    <w:p>
      <w:pPr>
        <w:pStyle w:val="Heading3"/>
        <w:spacing w:after="120" w:before="200"/>
      </w:pPr>
      <w:r>
        <w:rPr>
          <w:rFonts w:ascii="Georgia" w:cs="Georgia" w:eastAsia="Georgia" w:hAnsi="Georgia"/>
          <w:b/>
          <w:bCs/>
          <w:color w:val="555550"/>
          <w:sz w:val="22"/>
          <w:szCs w:val="22"/>
        </w:rPr>
        <w:t xml:space="preserve">Single-file React app vs. a more scalable architecture</w:t>
      </w:r>
    </w:p>
    <w:p>
      <w:pPr>
        <w:spacing w:after="160"/>
      </w:pPr>
      <w:r>
        <w:rPr>
          <w:rFonts w:ascii="Arial" w:cs="Arial" w:eastAsia="Arial" w:hAnsi="Arial"/>
          <w:color w:val="555550"/>
          <w:sz w:val="22"/>
          <w:szCs w:val="22"/>
        </w:rPr>
        <w:t xml:space="preserve">The application is built as a single App.jsx file (~3000 lines). This was a deliberate choice for a portfolio piece that needs to be instantly understandable and deployable. For a production curriculum platform, I would split into components, add a proper router, and likely use a content management system for the curriculum data.</w:t>
      </w:r>
    </w:p>
    <w:p>
      <w:pPr>
        <w:spacing w:after="40"/>
      </w:pPr>
    </w:p>
    <w:p>
      <w:pPr>
        <w:pStyle w:val="Heading3"/>
        <w:spacing w:after="120" w:before="200"/>
      </w:pPr>
      <w:r>
        <w:rPr>
          <w:rFonts w:ascii="Georgia" w:cs="Georgia" w:eastAsia="Georgia" w:hAnsi="Georgia"/>
          <w:b/>
          <w:bCs/>
          <w:color w:val="555550"/>
          <w:sz w:val="22"/>
          <w:szCs w:val="22"/>
        </w:rPr>
        <w:t xml:space="preserve">Depth on Day 2 (CLAUDE.md) vs. distributing across days</w:t>
      </w:r>
    </w:p>
    <w:p>
      <w:pPr>
        <w:spacing w:after="160"/>
      </w:pPr>
      <w:r>
        <w:rPr>
          <w:rFonts w:ascii="Arial" w:cs="Arial" w:eastAsia="Arial" w:hAnsi="Arial"/>
          <w:color w:val="555550"/>
          <w:sz w:val="22"/>
          <w:szCs w:val="22"/>
        </w:rPr>
        <w:t xml:space="preserve">Day 2 is the deepest module (17 steps with facilitator narration scripts). I chose to invest heavily here because the CLAUDE.md before/after demo is the single most persuasive moment in the entire program. It’s the demo every PE will run in their first customer conversation. Getting this day right has outsized impact on field readiness.</w:t>
      </w:r>
    </w:p>
    <w:p>
      <w:pPr>
        <w:pStyle w:val="Heading2"/>
        <w:spacing w:after="160" w:before="280"/>
      </w:pPr>
      <w:r>
        <w:rPr>
          <w:rFonts w:ascii="Georgia" w:cs="Georgia" w:eastAsia="Georgia" w:hAnsi="Georgia"/>
          <w:b/>
          <w:bCs/>
          <w:color w:val="141413"/>
          <w:sz w:val="26"/>
          <w:szCs w:val="26"/>
        </w:rPr>
        <w:t xml:space="preserve">What I’d Do Differently with More Time</w:t>
      </w:r>
    </w:p>
    <w:p>
      <w:pPr>
        <w:pStyle w:val="ListParagraph"/>
        <w:numPr>
          <w:ilvl w:val="0"/>
          <w:numId w:val="2"/>
        </w:numPr>
        <w:spacing w:after="80"/>
      </w:pPr>
      <w:r>
        <w:rPr>
          <w:rFonts w:ascii="Arial" w:cs="Arial" w:eastAsia="Arial" w:hAnsi="Arial"/>
          <w:color w:val="555550"/>
          <w:sz w:val="22"/>
          <w:szCs w:val="22"/>
        </w:rPr>
        <w:t xml:space="preserve">Video walkthroughs: Pre-recorded facilitator demos for each module, so learners can watch the “ideal” run before attempting it themselves. Particularly valuable for the Day 2 before/after CLAUDE.md demo.</w:t>
      </w:r>
    </w:p>
    <w:p>
      <w:pPr>
        <w:pStyle w:val="ListParagraph"/>
        <w:numPr>
          <w:ilvl w:val="0"/>
          <w:numId w:val="2"/>
        </w:numPr>
        <w:spacing w:after="80"/>
      </w:pPr>
      <w:r>
        <w:rPr>
          <w:rFonts w:ascii="Arial" w:cs="Arial" w:eastAsia="Arial" w:hAnsi="Arial"/>
          <w:color w:val="555550"/>
          <w:sz w:val="22"/>
          <w:szCs w:val="22"/>
        </w:rPr>
        <w:t xml:space="preserve">Quantitative confidence measurement: Add a 1–5 confidence self-rating before and after each module. Currently the knowledge checkpoints are qualitative (reflection questions with hints). Adding numeric ratings would enable cohort-level measurement of competency growth.</w:t>
      </w:r>
    </w:p>
    <w:p>
      <w:pPr>
        <w:pStyle w:val="ListParagraph"/>
        <w:numPr>
          <w:ilvl w:val="0"/>
          <w:numId w:val="2"/>
        </w:numPr>
        <w:spacing w:after="80"/>
      </w:pPr>
      <w:r>
        <w:rPr>
          <w:rFonts w:ascii="Arial" w:cs="Arial" w:eastAsia="Arial" w:hAnsi="Arial"/>
          <w:color w:val="555550"/>
          <w:sz w:val="22"/>
          <w:szCs w:val="22"/>
        </w:rPr>
        <w:t xml:space="preserve">Real MCP server for Day 3: The current lab uses a mock Jira server. With more time, I’d provision a real sandbox Jira instance so learners experience the actual integration, including auth, pagination, and rate limiting.</w:t>
      </w:r>
    </w:p>
    <w:p>
      <w:pPr>
        <w:pStyle w:val="ListParagraph"/>
        <w:numPr>
          <w:ilvl w:val="0"/>
          <w:numId w:val="2"/>
        </w:numPr>
        <w:spacing w:after="80"/>
      </w:pPr>
      <w:r>
        <w:rPr>
          <w:rFonts w:ascii="Arial" w:cs="Arial" w:eastAsia="Arial" w:hAnsi="Arial"/>
          <w:color w:val="555550"/>
          <w:sz w:val="22"/>
          <w:szCs w:val="22"/>
        </w:rPr>
        <w:t xml:space="preserve">Alumni community and feedback loop: A Slack channel or Notion database where Basecamp graduates share field reports — what worked, what didn’t, which customer scenarios came up that we didn’t cover. This would feed back into curriculum iterations.</w:t>
      </w:r>
    </w:p>
    <w:p>
      <w:pPr>
        <w:pStyle w:val="ListParagraph"/>
        <w:numPr>
          <w:ilvl w:val="0"/>
          <w:numId w:val="2"/>
        </w:numPr>
        <w:spacing w:after="80"/>
      </w:pPr>
      <w:r>
        <w:rPr>
          <w:rFonts w:ascii="Arial" w:cs="Arial" w:eastAsia="Arial" w:hAnsi="Arial"/>
          <w:color w:val="555550"/>
          <w:sz w:val="22"/>
          <w:szCs w:val="22"/>
        </w:rPr>
        <w:t xml:space="preserve">Adaptive difficulty: Use the credential system to unlock advanced paths. Learners who complete all Day 1–3 badges with strong checkpoint scores could get an accelerated Day 4 with harder customer scenarios.</w:t>
      </w:r>
    </w:p>
    <w:p>
      <w:pPr>
        <w:pStyle w:val="ListParagraph"/>
        <w:numPr>
          <w:ilvl w:val="0"/>
          <w:numId w:val="2"/>
        </w:numPr>
        <w:spacing w:after="80"/>
      </w:pPr>
      <w:r>
        <w:rPr>
          <w:rFonts w:ascii="Arial" w:cs="Arial" w:eastAsia="Arial" w:hAnsi="Arial"/>
          <w:color w:val="555550"/>
          <w:sz w:val="22"/>
          <w:szCs w:val="22"/>
        </w:rPr>
        <w:t xml:space="preserve">Localization and async delivery: The current design assumes a facilitated, synchronous cohort. For global teams, I’d build an async-first version with video content, auto-graded exercises, and optional live office hours.</w:t>
      </w:r>
    </w:p>
    <w:p>
      <w:pPr>
        <w:spacing w:after="400"/>
      </w:pPr>
    </w:p>
    <w:p>
      <w:pPr>
        <w:jc w:val="center"/>
      </w:pPr>
      <w:r>
        <w:rPr>
          <w:rFonts w:ascii="Georgia" w:cs="Georgia" w:eastAsia="Georgia" w:hAnsi="Georgia"/>
          <w:i/>
          <w:iCs/>
          <w:color w:val="E8E6DC"/>
          <w:sz w:val="20"/>
          <w:szCs w:val="20"/>
        </w:rPr>
        <w:t xml:space="preserve">— End of Curriculum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E8E6DC"/>
        <w:sz w:val="16"/>
        <w:szCs w:val="16"/>
      </w:rPr>
      <w:t xml:space="preserve">Page </w:t>
    </w:r>
    <w:r>
      <w:rPr>
        <w:rFonts w:ascii="Arial" w:cs="Arial" w:eastAsia="Arial" w:hAnsi="Arial"/>
        <w:color w:val="E8E6D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6DC" w:sz="1" w:space="4"/>
      </w:pBdr>
    </w:pPr>
    <w:r>
      <w:rPr>
        <w:rFonts w:ascii="Georgia" w:cs="Georgia" w:eastAsia="Georgia" w:hAnsi="Georgia"/>
        <w:i/>
        <w:iCs/>
        <w:color w:val="D97757"/>
        <w:sz w:val="18"/>
        <w:szCs w:val="18"/>
      </w:rPr>
      <w:t xml:space="preserve">Claude Code Basecamp</w:t>
    </w:r>
    <w:r>
      <w:rPr>
        <w:rFonts w:ascii="Arial" w:cs="Arial" w:eastAsia="Arial" w:hAnsi="Arial"/>
        <w:color w:val="E8E6DC"/>
        <w:sz w:val="16"/>
        <w:szCs w:val="16"/>
      </w:rPr>
      <w:t xml:space="preserve">    |    Curriculum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sz w:val="32"/>
      <w:szCs w:val="32"/>
    </w:rPr>
  </w:style>
  <w:style w:type="paragraph" w:styleId="Heading2">
    <w:name w:val="Heading 2"/>
    <w:basedOn w:val="Normal"/>
    <w:next w:val="Normal"/>
    <w:qFormat/>
    <w:pPr>
      <w:spacing w:after="160" w:before="280"/>
      <w:outlineLvl w:val="1"/>
    </w:pPr>
    <w:rPr>
      <w:rFonts w:ascii="Georgia" w:cs="Georgia" w:eastAsia="Georgia" w:hAnsi="Georgia"/>
      <w:b/>
      <w:bCs/>
      <w:sz w:val="26"/>
      <w:szCs w:val="26"/>
    </w:rPr>
  </w:style>
  <w:style w:type="paragraph" w:styleId="Heading3">
    <w:name w:val="Heading 3"/>
    <w:basedOn w:val="Normal"/>
    <w:next w:val="Normal"/>
    <w:qFormat/>
    <w:pPr>
      <w:spacing w:after="120" w:before="200"/>
      <w:outlineLvl w:val="2"/>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2026-03-19T04:33:00.154Z</dcterms:created>
  <dcterms:modified xsi:type="dcterms:W3CDTF">2026-03-19T04:33:00.169Z</dcterms:modified>
</cp:coreProperties>
</file>

<file path=docProps/custom.xml><?xml version="1.0" encoding="utf-8"?>
<Properties xmlns="http://schemas.openxmlformats.org/officeDocument/2006/custom-properties" xmlns:vt="http://schemas.openxmlformats.org/officeDocument/2006/docPropsVTypes"/>
</file>