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shd w:val="clear" w:color="auto" w:fill="FFFFFF"/>
        <w:bidi w:val="0"/>
        <w:spacing w:before="240" w:after="120"/>
        <w:jc w:val="start"/>
        <w:rPr>
          <w:lang w:val="en-IE"/>
        </w:rPr>
      </w:pPr>
      <w:bookmarkStart w:id="0" w:name="_Toc192968404"/>
      <w:bookmarkStart w:id="1" w:name="_Ref303431117"/>
      <w:r>
        <w:rPr>
          <w:lang w:val="en-IE"/>
        </w:rPr>
        <w:t>Microbiology</w:t>
      </w:r>
      <w:bookmarkEnd w:id="0"/>
      <w:bookmarkEnd w:id="1"/>
    </w:p>
    <w:p>
      <w:pPr>
        <w:pStyle w:val="Heading3"/>
        <w:numPr>
          <w:ilvl w:val="2"/>
          <w:numId w:val="1"/>
        </w:numPr>
        <w:shd w:val="clear" w:color="auto" w:fill="FFFFFF"/>
        <w:bidi w:val="0"/>
        <w:jc w:val="start"/>
        <w:rPr/>
      </w:pPr>
      <w:bookmarkStart w:id="2" w:name="_Toc192968405"/>
      <w:bookmarkStart w:id="3" w:name="_Toc309717395"/>
      <w:r>
        <w:rPr/>
        <w:t>Out-Of-Hours Services</w:t>
      </w:r>
      <w:bookmarkEnd w:id="2"/>
      <w:bookmarkEnd w:id="3"/>
    </w:p>
    <w:p>
      <w:pPr>
        <w:pStyle w:val="Normal"/>
        <w:numPr>
          <w:ilvl w:val="0"/>
          <w:numId w:val="2"/>
        </w:numPr>
        <w:shd w:val="clear" w:color="auto" w:fill="FFFFFF"/>
        <w:bidi w:val="0"/>
        <w:spacing w:before="0" w:after="120"/>
        <w:jc w:val="start"/>
        <w:rPr/>
      </w:pPr>
      <w:r>
        <w:rPr/>
        <w:t>The medical scientist on-call must be contacted through the switch or through bleep 869. The following specimen requests are routinely processed:</w:t>
      </w:r>
    </w:p>
    <w:p>
      <w:pPr>
        <w:pStyle w:val="Normal"/>
        <w:numPr>
          <w:ilvl w:val="0"/>
          <w:numId w:val="2"/>
        </w:numPr>
        <w:shd w:val="clear" w:color="auto" w:fill="FFFFFF"/>
        <w:bidi w:val="0"/>
        <w:spacing w:before="0" w:after="120"/>
        <w:jc w:val="start"/>
        <w:rPr/>
      </w:pPr>
      <w:r>
        <w:rPr/>
        <w:t>CSFs from all wards and from the Emergency Department.</w:t>
      </w:r>
    </w:p>
    <w:p>
      <w:pPr>
        <w:pStyle w:val="Normal"/>
        <w:numPr>
          <w:ilvl w:val="0"/>
          <w:numId w:val="2"/>
        </w:numPr>
        <w:shd w:val="clear" w:color="auto" w:fill="FFFFFF"/>
        <w:bidi w:val="0"/>
        <w:spacing w:before="0" w:after="120"/>
        <w:jc w:val="start"/>
        <w:rPr/>
      </w:pPr>
      <w:r>
        <w:rPr/>
        <w:t>Urines for culture and sensitivity until 12 midnight from the Emergency Department.</w:t>
      </w:r>
    </w:p>
    <w:p>
      <w:pPr>
        <w:pStyle w:val="Normal"/>
        <w:numPr>
          <w:ilvl w:val="0"/>
          <w:numId w:val="2"/>
        </w:numPr>
        <w:shd w:val="clear" w:color="auto" w:fill="FFFFFF"/>
        <w:bidi w:val="0"/>
        <w:spacing w:before="0" w:after="120"/>
        <w:jc w:val="start"/>
        <w:rPr/>
      </w:pPr>
      <w:r>
        <w:rPr/>
        <w:t>Pregnancy tests from the Emergency Department and day theatre.</w:t>
      </w:r>
    </w:p>
    <w:p>
      <w:pPr>
        <w:pStyle w:val="Normal"/>
        <w:numPr>
          <w:ilvl w:val="0"/>
          <w:numId w:val="2"/>
        </w:numPr>
        <w:shd w:val="clear" w:color="auto" w:fill="FFFFFF"/>
        <w:bidi w:val="0"/>
        <w:spacing w:before="0" w:after="120"/>
        <w:jc w:val="start"/>
        <w:rPr/>
      </w:pPr>
      <w:r>
        <w:rPr/>
        <w:t>Peritoneal dialysis fluids from nephrology wards.</w:t>
      </w:r>
    </w:p>
    <w:p>
      <w:pPr>
        <w:pStyle w:val="Normal"/>
        <w:numPr>
          <w:ilvl w:val="0"/>
          <w:numId w:val="2"/>
        </w:numPr>
        <w:shd w:val="clear" w:color="auto" w:fill="FFFFFF"/>
        <w:bidi w:val="0"/>
        <w:spacing w:before="0" w:after="120"/>
        <w:jc w:val="start"/>
        <w:rPr/>
      </w:pPr>
      <w:r>
        <w:rPr/>
        <w:t>Broncho-alveolar lavage fluids from ITU/RTU until 9pm.</w:t>
      </w:r>
    </w:p>
    <w:p>
      <w:pPr>
        <w:pStyle w:val="Normal"/>
        <w:numPr>
          <w:ilvl w:val="0"/>
          <w:numId w:val="2"/>
        </w:numPr>
        <w:shd w:val="clear" w:color="auto" w:fill="FFFFFF"/>
        <w:bidi w:val="0"/>
        <w:spacing w:before="0" w:after="120"/>
        <w:jc w:val="start"/>
        <w:rPr/>
      </w:pPr>
      <w:r>
        <w:rPr/>
        <w:t>Loading of all blood cultures and processing of any blood cultures that flag positive.</w:t>
      </w:r>
    </w:p>
    <w:p>
      <w:pPr>
        <w:pStyle w:val="Normal"/>
        <w:numPr>
          <w:ilvl w:val="0"/>
          <w:numId w:val="2"/>
        </w:numPr>
        <w:shd w:val="clear" w:color="auto" w:fill="FFFFFF"/>
        <w:bidi w:val="0"/>
        <w:spacing w:before="0" w:after="120"/>
        <w:jc w:val="start"/>
        <w:rPr/>
      </w:pPr>
      <w:r>
        <w:rPr/>
        <w:t xml:space="preserve">Flu swabs for Influenza A/B/RSV and COVID-19 PCR testing </w:t>
      </w:r>
      <w:r>
        <w:rPr>
          <w:highlight w:val="lightGray"/>
        </w:rPr>
        <w:t>from emergency</w:t>
      </w:r>
      <w:r>
        <w:rPr/>
        <w:t xml:space="preserve"> department and </w:t>
      </w:r>
      <w:r>
        <w:rPr>
          <w:highlight w:val="lightGray"/>
        </w:rPr>
        <w:t>ICS, ICN</w:t>
      </w:r>
      <w:r>
        <w:rPr/>
        <w:t>/RTU at agreed times.</w:t>
      </w:r>
    </w:p>
    <w:p>
      <w:pPr>
        <w:pStyle w:val="Normal"/>
        <w:numPr>
          <w:ilvl w:val="0"/>
          <w:numId w:val="2"/>
        </w:numPr>
        <w:shd w:val="clear" w:color="auto" w:fill="FFFFFF"/>
        <w:bidi w:val="0"/>
        <w:spacing w:before="0" w:after="120"/>
        <w:jc w:val="start"/>
        <w:rPr>
          <w:highlight w:val="lightGray"/>
        </w:rPr>
      </w:pPr>
      <w:r>
        <w:rPr>
          <w:highlight w:val="lightGray"/>
        </w:rPr>
        <w:t>Transplant COVID-19 from recipient and donor</w:t>
      </w:r>
    </w:p>
    <w:p>
      <w:pPr>
        <w:pStyle w:val="Normal"/>
        <w:shd w:val="clear" w:color="auto" w:fill="FFFFFF"/>
        <w:bidi w:val="0"/>
        <w:spacing w:before="0" w:after="120"/>
        <w:jc w:val="start"/>
        <w:rPr/>
      </w:pPr>
      <w:r>
        <w:rPr/>
        <w:t>The consultant microbiologist on-call must sanction all other requests.</w:t>
      </w:r>
    </w:p>
    <w:p>
      <w:pPr>
        <w:pStyle w:val="Normal"/>
        <w:numPr>
          <w:ilvl w:val="0"/>
          <w:numId w:val="3"/>
        </w:numPr>
        <w:shd w:val="clear" w:color="auto" w:fill="FFFFFF"/>
        <w:tabs>
          <w:tab w:val="clear" w:pos="709"/>
          <w:tab w:val="left" w:pos="720" w:leader="none"/>
        </w:tabs>
        <w:bidi w:val="0"/>
        <w:spacing w:before="0" w:after="120"/>
        <w:jc w:val="start"/>
        <w:rPr>
          <w:b/>
        </w:rPr>
      </w:pPr>
      <w:r>
        <w:rPr>
          <w:b/>
        </w:rPr>
        <w:t>Other tests which may be available on request include:</w:t>
      </w:r>
    </w:p>
    <w:p>
      <w:pPr>
        <w:pStyle w:val="Normal"/>
        <w:numPr>
          <w:ilvl w:val="0"/>
          <w:numId w:val="4"/>
        </w:numPr>
        <w:shd w:val="clear" w:color="auto" w:fill="FFFFFF"/>
        <w:bidi w:val="0"/>
        <w:spacing w:before="0" w:after="120"/>
        <w:jc w:val="start"/>
        <w:rPr/>
      </w:pPr>
      <w:r>
        <w:rPr/>
        <w:t xml:space="preserve">Microscopy and culture of specimens from sterile sites e.g. surgically or radiologically collected ‘critical or theatre specimens’. </w:t>
      </w:r>
    </w:p>
    <w:p>
      <w:pPr>
        <w:pStyle w:val="Normal"/>
        <w:numPr>
          <w:ilvl w:val="0"/>
          <w:numId w:val="4"/>
        </w:numPr>
        <w:shd w:val="clear" w:color="auto" w:fill="FFFFFF"/>
        <w:bidi w:val="0"/>
        <w:spacing w:before="0" w:after="120"/>
        <w:jc w:val="start"/>
        <w:rPr/>
      </w:pPr>
      <w:r>
        <w:rPr/>
        <w:t>TB PCR.</w:t>
      </w:r>
    </w:p>
    <w:p>
      <w:pPr>
        <w:pStyle w:val="Normal"/>
        <w:numPr>
          <w:ilvl w:val="0"/>
          <w:numId w:val="4"/>
        </w:numPr>
        <w:shd w:val="clear" w:color="auto" w:fill="FFFFFF"/>
        <w:bidi w:val="0"/>
        <w:spacing w:before="0" w:after="120"/>
        <w:jc w:val="start"/>
        <w:rPr/>
      </w:pPr>
      <w:r>
        <w:rPr/>
        <w:t>Cryptococcal antigen.</w:t>
      </w:r>
    </w:p>
    <w:p>
      <w:pPr>
        <w:pStyle w:val="Normal"/>
        <w:numPr>
          <w:ilvl w:val="0"/>
          <w:numId w:val="4"/>
        </w:numPr>
        <w:shd w:val="clear" w:color="auto" w:fill="FFFFFF"/>
        <w:bidi w:val="0"/>
        <w:spacing w:before="0" w:after="120"/>
        <w:jc w:val="start"/>
        <w:rPr/>
      </w:pPr>
      <w:r>
        <w:rPr/>
        <w:t>Urines from wards other than the Emergency Department.</w:t>
      </w:r>
    </w:p>
    <w:p>
      <w:pPr>
        <w:pStyle w:val="Normal"/>
        <w:numPr>
          <w:ilvl w:val="0"/>
          <w:numId w:val="5"/>
        </w:numPr>
        <w:shd w:val="clear" w:color="auto" w:fill="FFFFFF"/>
        <w:bidi w:val="0"/>
        <w:spacing w:before="0" w:after="120"/>
        <w:jc w:val="start"/>
        <w:rPr>
          <w:b/>
        </w:rPr>
      </w:pPr>
      <w:r>
        <w:rPr/>
        <w:t xml:space="preserve">Specimens should be sent by means of the pneumatic tube system (2647) </w:t>
      </w:r>
      <w:r>
        <w:rPr>
          <w:b/>
        </w:rPr>
        <w:t xml:space="preserve">with the exception of Mycobacterium </w:t>
      </w:r>
      <w:r>
        <w:rPr>
          <w:b/>
          <w:highlight w:val="lightGray"/>
        </w:rPr>
        <w:t>glass</w:t>
      </w:r>
      <w:r>
        <w:rPr>
          <w:b/>
        </w:rPr>
        <w:t xml:space="preserve"> blood culture bottles, CSF</w:t>
      </w:r>
      <w:r>
        <w:rPr/>
        <w:t xml:space="preserve"> and </w:t>
      </w:r>
      <w:r>
        <w:rPr>
          <w:b/>
        </w:rPr>
        <w:t>critical specimens.</w:t>
      </w:r>
    </w:p>
    <w:p>
      <w:pPr>
        <w:pStyle w:val="Heading3"/>
        <w:numPr>
          <w:ilvl w:val="2"/>
          <w:numId w:val="1"/>
        </w:numPr>
        <w:shd w:val="clear" w:color="auto" w:fill="FFFFFF"/>
        <w:bidi w:val="0"/>
        <w:jc w:val="start"/>
        <w:rPr/>
      </w:pPr>
      <w:bookmarkStart w:id="4" w:name="_Toc192968406"/>
      <w:r>
        <w:rPr/>
        <w:t>Medical Out of Hours Services</w:t>
      </w:r>
      <w:bookmarkEnd w:id="4"/>
    </w:p>
    <w:p>
      <w:pPr>
        <w:pStyle w:val="Normal"/>
        <w:shd w:val="clear" w:color="auto" w:fill="FFFFFF"/>
        <w:bidi w:val="0"/>
        <w:spacing w:before="0" w:after="120"/>
        <w:jc w:val="start"/>
        <w:rPr/>
      </w:pPr>
      <w:r>
        <w:rPr/>
        <w:t xml:space="preserve">A consultant microbiologist is available at </w:t>
      </w:r>
      <w:r>
        <w:rPr>
          <w:b/>
        </w:rPr>
        <w:t xml:space="preserve">all </w:t>
      </w:r>
      <w:r>
        <w:rPr/>
        <w:t>times for diagnostic, therapeutic and infection prevention and control advice.</w:t>
      </w:r>
    </w:p>
    <w:p>
      <w:pPr>
        <w:pStyle w:val="Normal"/>
        <w:shd w:val="clear" w:color="auto" w:fill="FFFFFF"/>
        <w:bidi w:val="0"/>
        <w:spacing w:before="0" w:after="120"/>
        <w:jc w:val="start"/>
        <w:rPr/>
      </w:pPr>
      <w:r>
        <w:rPr/>
        <w:t xml:space="preserve">The consultant microbiologist may be contacted through the switch. </w:t>
      </w:r>
    </w:p>
    <w:p>
      <w:pPr>
        <w:pStyle w:val="Normal"/>
        <w:shd w:val="clear" w:color="auto" w:fill="FFFFFF"/>
        <w:bidi w:val="0"/>
        <w:spacing w:before="0" w:after="120"/>
        <w:jc w:val="start"/>
        <w:rPr/>
      </w:pPr>
      <w:r>
        <w:rPr/>
        <w:t xml:space="preserve"> </w:t>
      </w:r>
      <w:r>
        <w:rPr/>
        <w:t>If an interim report, clinical advice or result interpretation is required please contact the Clinical Microbiology Team.</w:t>
      </w:r>
    </w:p>
    <w:p>
      <w:pPr>
        <w:pStyle w:val="Heading3"/>
        <w:numPr>
          <w:ilvl w:val="2"/>
          <w:numId w:val="1"/>
        </w:numPr>
        <w:shd w:val="clear" w:color="auto" w:fill="FFFFFF"/>
        <w:bidi w:val="0"/>
        <w:jc w:val="start"/>
        <w:rPr/>
      </w:pPr>
      <w:bookmarkStart w:id="5" w:name="_Toc192968407"/>
      <w:r>
        <w:rPr/>
        <w:t>Requests for Additional Tests</w:t>
      </w:r>
      <w:bookmarkEnd w:id="5"/>
    </w:p>
    <w:p>
      <w:pPr>
        <w:pStyle w:val="Normal"/>
        <w:shd w:val="clear" w:color="auto" w:fill="FFFFFF"/>
        <w:bidi w:val="0"/>
        <w:jc w:val="start"/>
        <w:rPr/>
      </w:pPr>
      <w:r>
        <w:rPr/>
        <w:t xml:space="preserve">Please note that if it is necessary to request further tests on samples which have already been received in the laboratory, this should be done within 48 hours. After this time, specimens may be unsuitable for further testing. </w:t>
      </w:r>
    </w:p>
    <w:p>
      <w:pPr>
        <w:pStyle w:val="Normal"/>
        <w:shd w:val="clear" w:color="auto" w:fill="FFFFFF"/>
        <w:bidi w:val="0"/>
        <w:jc w:val="start"/>
        <w:rPr/>
      </w:pPr>
      <w:r>
        <w:rPr/>
      </w:r>
    </w:p>
    <w:p>
      <w:pPr>
        <w:pStyle w:val="Normal"/>
        <w:shd w:val="clear" w:color="auto" w:fill="FFFFFF"/>
        <w:bidi w:val="0"/>
        <w:jc w:val="start"/>
        <w:rPr/>
      </w:pPr>
      <w:r>
        <w:rPr/>
      </w:r>
    </w:p>
    <w:p>
      <w:pPr>
        <w:pStyle w:val="Normal"/>
        <w:shd w:val="clear" w:color="auto" w:fill="FFFFFF"/>
        <w:bidi w:val="0"/>
        <w:jc w:val="start"/>
        <w:rPr/>
      </w:pPr>
      <w:r>
        <w:rPr/>
      </w:r>
    </w:p>
    <w:p>
      <w:pPr>
        <w:pStyle w:val="Normal"/>
        <w:shd w:val="clear" w:color="auto" w:fill="FFFFFF"/>
        <w:bidi w:val="0"/>
        <w:jc w:val="start"/>
        <w:rPr/>
      </w:pPr>
      <w:r>
        <w:rPr/>
        <w:t xml:space="preserve">All additional requests must be ordered by the requesting doctor on </w:t>
      </w:r>
      <w:r>
        <w:rPr>
          <w:highlight w:val="lightGray"/>
        </w:rPr>
        <w:t>Powerchart</w:t>
      </w:r>
      <w:r>
        <w:rPr/>
        <w:t xml:space="preserve"> and the label sent to the laboratory via the pneumatic chute system. Verbal requests cannot be taken over the phone.</w:t>
      </w:r>
    </w:p>
    <w:p>
      <w:pPr>
        <w:pStyle w:val="ListParagraph"/>
        <w:bidi w:val="0"/>
        <w:jc w:val="start"/>
        <w:rPr>
          <w:highlight w:val="lightGray"/>
        </w:rPr>
      </w:pPr>
      <w:r>
        <w:rPr>
          <w:highlight w:val="lightGray"/>
        </w:rPr>
      </w:r>
    </w:p>
    <w:p>
      <w:pPr>
        <w:pStyle w:val="Normal"/>
        <w:bidi w:val="0"/>
        <w:jc w:val="start"/>
        <w:rPr>
          <w:highlight w:val="lightGray"/>
        </w:rPr>
      </w:pPr>
      <w:r>
        <w:rPr>
          <w:highlight w:val="lightGray"/>
        </w:rPr>
        <w:t>Additional tests for referral:</w:t>
      </w:r>
    </w:p>
    <w:p>
      <w:pPr>
        <w:pStyle w:val="Normal"/>
        <w:bidi w:val="0"/>
        <w:jc w:val="start"/>
        <w:rPr>
          <w:highlight w:val="lightGray"/>
        </w:rPr>
      </w:pPr>
      <w:r>
        <w:rPr>
          <w:highlight w:val="lightGray"/>
        </w:rPr>
        <w:t>These can be requested by the patient’s clinical team or the clinical Microbiology team</w:t>
      </w:r>
    </w:p>
    <w:p>
      <w:pPr>
        <w:pStyle w:val="Normal"/>
        <w:tabs>
          <w:tab w:val="clear" w:pos="709"/>
          <w:tab w:val="left" w:pos="360" w:leader="none"/>
        </w:tabs>
        <w:bidi w:val="0"/>
        <w:spacing w:before="0" w:after="120"/>
        <w:jc w:val="start"/>
        <w:rPr>
          <w:highlight w:val="lightGray"/>
        </w:rPr>
      </w:pPr>
      <w:r>
        <w:rPr>
          <w:highlight w:val="lightGray"/>
        </w:rPr>
        <w:t>When an aliquot is required for sending out, the following is adhered to:</w:t>
      </w:r>
    </w:p>
    <w:p>
      <w:pPr>
        <w:pStyle w:val="Normal"/>
        <w:bidi w:val="0"/>
        <w:ind w:start="284" w:hanging="284"/>
        <w:jc w:val="start"/>
        <w:rPr>
          <w:sz w:val="24"/>
          <w:szCs w:val="24"/>
          <w:highlight w:val="lightGray"/>
        </w:rPr>
      </w:pPr>
      <w:r>
        <w:rPr>
          <w:sz w:val="24"/>
          <w:szCs w:val="24"/>
          <w:highlight w:val="lightGray"/>
        </w:rPr>
        <w:t>-Sufficient sample available</w:t>
      </w:r>
    </w:p>
    <w:p>
      <w:pPr>
        <w:pStyle w:val="ListParagraph"/>
        <w:bidi w:val="0"/>
        <w:ind w:start="284" w:hanging="284"/>
        <w:jc w:val="start"/>
        <w:rPr>
          <w:sz w:val="24"/>
          <w:szCs w:val="24"/>
          <w:highlight w:val="lightGray"/>
        </w:rPr>
      </w:pPr>
      <w:r>
        <w:rPr>
          <w:sz w:val="24"/>
          <w:szCs w:val="24"/>
          <w:highlight w:val="lightGray"/>
        </w:rPr>
        <w:t>-Appropriate container for aliquot</w:t>
      </w:r>
    </w:p>
    <w:p>
      <w:pPr>
        <w:pStyle w:val="ListParagraph"/>
        <w:bidi w:val="0"/>
        <w:ind w:start="284" w:hanging="284"/>
        <w:jc w:val="start"/>
        <w:rPr>
          <w:sz w:val="24"/>
          <w:szCs w:val="24"/>
          <w:highlight w:val="lightGray"/>
        </w:rPr>
      </w:pPr>
      <w:r>
        <w:rPr>
          <w:sz w:val="24"/>
          <w:szCs w:val="24"/>
          <w:highlight w:val="lightGray"/>
        </w:rPr>
        <w:t>-Labelling criteria (same information as original sample) See section 2.1.6</w:t>
      </w:r>
    </w:p>
    <w:p>
      <w:pPr>
        <w:pStyle w:val="ListParagraph"/>
        <w:bidi w:val="0"/>
        <w:ind w:start="284" w:hanging="284"/>
        <w:jc w:val="start"/>
        <w:rPr>
          <w:sz w:val="24"/>
          <w:szCs w:val="24"/>
          <w:highlight w:val="lightGray"/>
        </w:rPr>
      </w:pPr>
      <w:r>
        <w:rPr>
          <w:sz w:val="24"/>
          <w:szCs w:val="24"/>
          <w:highlight w:val="lightGray"/>
        </w:rPr>
        <w:t>-Stability and storage conditions correct</w:t>
      </w:r>
    </w:p>
    <w:p>
      <w:pPr>
        <w:pStyle w:val="Normal"/>
        <w:shd w:val="clear" w:color="auto" w:fill="FFFFFF"/>
        <w:bidi w:val="0"/>
        <w:jc w:val="start"/>
        <w:rPr/>
      </w:pPr>
      <w:r>
        <w:rPr>
          <w:highlight w:val="lightGray"/>
        </w:rPr>
        <w:t xml:space="preserve">-Samples that are aliquoted for referral include:Respiratory samples, Theatre/tissue/pus/fluids samples, CSFs, Faeces, Serology tests (See table ‘All Serology referred tests’ below, </w:t>
      </w:r>
    </w:p>
    <w:p>
      <w:pPr>
        <w:pStyle w:val="Heading3"/>
        <w:numPr>
          <w:ilvl w:val="2"/>
          <w:numId w:val="1"/>
        </w:numPr>
        <w:bidi w:val="0"/>
        <w:jc w:val="start"/>
        <w:rPr>
          <w:rFonts w:eastAsia="" w:eastAsiaTheme="majorEastAsia"/>
        </w:rPr>
      </w:pPr>
      <w:bookmarkStart w:id="6" w:name="_Toc192968408"/>
      <w:r>
        <w:rPr>
          <w:rFonts w:eastAsia="" w:eastAsiaTheme="majorEastAsia"/>
        </w:rPr>
        <w:t>Test Request Forms</w:t>
      </w:r>
      <w:bookmarkEnd w:id="6"/>
    </w:p>
    <w:p>
      <w:pPr>
        <w:pStyle w:val="Normal"/>
        <w:bidi w:val="0"/>
        <w:jc w:val="start"/>
        <w:rPr>
          <w:rFonts w:eastAsia="" w:eastAsiaTheme="majorEastAsia"/>
        </w:rPr>
      </w:pPr>
      <w:r>
        <w:rPr>
          <w:rFonts w:eastAsia="" w:eastAsiaTheme="majorEastAsia"/>
        </w:rPr>
        <w:t xml:space="preserve">Table </w:t>
      </w:r>
      <w:r>
        <w:rPr>
          <w:rFonts w:eastAsia="" w:eastAsiaTheme="majorEastAsia"/>
          <w:highlight w:val="lightGray"/>
        </w:rPr>
        <w:t>4</w:t>
      </w:r>
      <w:r>
        <w:rPr>
          <w:rFonts w:eastAsia="" w:eastAsiaTheme="majorEastAsia"/>
        </w:rPr>
        <w:t xml:space="preserve"> is a list of Microbiology test requests that can only be ordered in the Laboratory and therfore need to be requested via form which is available </w:t>
      </w:r>
      <w:r>
        <w:rPr/>
        <w:t>on Q-pulse as LF-MIC-CRIT or on the intranet at http://my.beaumont.ie/Documents/Request%20Form%20for%20Critical%20Specimens.pdf.</w:t>
      </w:r>
    </w:p>
    <w:p>
      <w:pPr>
        <w:pStyle w:val="Normal"/>
        <w:shd w:val="clear" w:color="auto" w:fill="FFFFFF"/>
        <w:bidi w:val="0"/>
        <w:jc w:val="start"/>
        <w:rPr/>
      </w:pPr>
      <w:r>
        <w:rPr/>
      </w:r>
    </w:p>
    <w:p>
      <w:pPr>
        <w:pStyle w:val="Heading3"/>
        <w:numPr>
          <w:ilvl w:val="2"/>
          <w:numId w:val="1"/>
        </w:numPr>
        <w:bidi w:val="0"/>
        <w:jc w:val="start"/>
        <w:rPr/>
      </w:pPr>
      <w:bookmarkStart w:id="7" w:name="_Toc192968409"/>
      <w:r>
        <w:rPr/>
        <w:t>Reporting</w:t>
      </w:r>
      <w:bookmarkEnd w:id="7"/>
    </w:p>
    <w:p>
      <w:pPr>
        <w:pStyle w:val="Normal"/>
        <w:bidi w:val="0"/>
        <w:jc w:val="start"/>
        <w:rPr/>
      </w:pPr>
      <w:r>
        <w:rPr>
          <w:lang w:val="en-US"/>
        </w:rPr>
        <w:t>All specimens with test requests are received in laboratory. Specimen status is visible once received in laboratory from collected to verified. All results are viewable on Powerchart in Results Review. All report results are printable from Powerchart</w:t>
      </w:r>
      <w:r>
        <w:rPr/>
        <w:t>.</w:t>
      </w:r>
    </w:p>
    <w:p>
      <w:pPr>
        <w:pStyle w:val="Normal"/>
        <w:bidi w:val="0"/>
        <w:jc w:val="start"/>
        <w:rPr/>
      </w:pPr>
      <w:r>
        <w:rPr/>
        <w:t>If an interim report, clinical advice or result interpretation is required please contact the Clinical Microbiology Team.</w:t>
      </w:r>
    </w:p>
    <w:p>
      <w:pPr>
        <w:pStyle w:val="Heading3"/>
        <w:numPr>
          <w:ilvl w:val="2"/>
          <w:numId w:val="1"/>
        </w:numPr>
        <w:bidi w:val="0"/>
        <w:jc w:val="start"/>
        <w:rPr/>
      </w:pPr>
      <w:bookmarkStart w:id="8" w:name="_Toc192968410"/>
      <w:r>
        <w:rPr/>
        <w:t>Specimen Storage Criteria</w:t>
      </w:r>
      <w:bookmarkEnd w:id="8"/>
    </w:p>
    <w:p>
      <w:pPr>
        <w:pStyle w:val="Normal"/>
        <w:shd w:val="clear" w:color="auto" w:fill="FFFFFF"/>
        <w:bidi w:val="0"/>
        <w:jc w:val="start"/>
        <w:rPr/>
      </w:pPr>
      <w:r>
        <w:rPr/>
        <w:t>Samples must be delivered to laboratory as soon as possible after the sample is taken. Where a delay in transport is envisaged, store specimens as follows:</w:t>
      </w:r>
    </w:p>
    <w:tbl>
      <w:tblPr>
        <w:tblW w:w="8862"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4431"/>
        <w:gridCol w:w="4430"/>
      </w:tblGrid>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rPr>
            </w:pPr>
            <w:r>
              <w:rPr>
                <w:b/>
              </w:rPr>
              <w:t>Specimen</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rPr>
            </w:pPr>
            <w:r>
              <w:rPr>
                <w:b/>
              </w:rPr>
              <w:t>Storage</w:t>
            </w:r>
          </w:p>
        </w:tc>
      </w:tr>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Blood cultures</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Room temperature</w:t>
            </w:r>
          </w:p>
        </w:tc>
      </w:tr>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CSF</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2-8˚C</w:t>
            </w:r>
          </w:p>
        </w:tc>
      </w:tr>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i/>
              </w:rPr>
              <w:t>Neisseria gonorrhoea</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Room temperature</w:t>
            </w:r>
          </w:p>
        </w:tc>
      </w:tr>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highlight w:val="lightGray"/>
              </w:rPr>
              <w:t>Urines</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highlight w:val="lightGray"/>
              </w:rPr>
              <w:t>2-8˚C</w:t>
            </w:r>
          </w:p>
        </w:tc>
      </w:tr>
      <w:tr>
        <w:trPr>
          <w:trHeight w:val="20" w:hRule="atLeast"/>
        </w:trPr>
        <w:tc>
          <w:tcPr>
            <w:tcW w:w="443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All other microbiology specimens</w:t>
            </w:r>
          </w:p>
        </w:tc>
        <w:tc>
          <w:tcPr>
            <w:tcW w:w="44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pPr>
            <w:r>
              <w:rPr/>
              <w:t>2-8˚C</w:t>
            </w:r>
          </w:p>
        </w:tc>
      </w:tr>
    </w:tbl>
    <w:p>
      <w:pPr>
        <w:sectPr>
          <w:headerReference w:type="default" r:id="rId2"/>
          <w:footerReference w:type="default" r:id="rId3"/>
          <w:type w:val="nextPage"/>
          <w:pgSz w:w="11906" w:h="16838"/>
          <w:pgMar w:left="1440" w:right="1440" w:gutter="0" w:header="720" w:top="1440" w:footer="720" w:bottom="1440"/>
          <w:pgBorders w:display="allPages" w:offsetFrom="page">
            <w:top w:val="single" w:sz="48" w:space="24" w:color="00B050"/>
            <w:left w:val="single" w:sz="48" w:space="24" w:color="00B050"/>
            <w:bottom w:val="single" w:sz="48" w:space="24" w:color="00B050"/>
            <w:right w:val="single" w:sz="48" w:space="24" w:color="00B050"/>
          </w:pgBorders>
          <w:pgNumType w:fmt="decimal"/>
          <w:formProt w:val="false"/>
          <w:textDirection w:val="lrTb"/>
          <w:docGrid w:type="default" w:linePitch="381" w:charSpace="8192"/>
        </w:sectPr>
      </w:pPr>
    </w:p>
    <w:p>
      <w:pPr>
        <w:pStyle w:val="Normal"/>
        <w:bidi w:val="0"/>
        <w:spacing w:lineRule="auto" w:line="360"/>
        <w:ind w:end="-4815" w:hanging="0"/>
        <w:jc w:val="start"/>
        <w:rPr>
          <w:sz w:val="20"/>
        </w:rPr>
      </w:pPr>
      <w:r>
        <w:rPr>
          <w:lang w:val="en-IE"/>
        </w:rPr>
        <w:t xml:space="preserve">Repertoire of Test Services  </w:t>
      </w:r>
      <w:r>
        <w:rPr>
          <w:i/>
          <w:lang w:val="en-IE"/>
        </w:rPr>
        <w:t>See Table 4.</w:t>
      </w:r>
      <w:r>
        <w:rPr>
          <w:sz w:val="20"/>
        </w:rPr>
        <w:t xml:space="preserve">  The table is a brief guide to the test name changes on Powerchart, MedLIS</w:t>
      </w:r>
    </w:p>
    <w:p>
      <w:pPr>
        <w:pStyle w:val="Heading3"/>
        <w:numPr>
          <w:ilvl w:val="2"/>
          <w:numId w:val="1"/>
        </w:numPr>
        <w:shd w:val="clear" w:color="auto" w:fill="FFFFFF"/>
        <w:bidi w:val="0"/>
        <w:jc w:val="start"/>
        <w:rPr>
          <w:lang w:val="en-IE"/>
        </w:rPr>
      </w:pPr>
      <w:bookmarkStart w:id="9" w:name="_Toc192968411"/>
      <w:r>
        <w:rPr>
          <w:lang w:val="en-IE"/>
        </w:rPr>
        <w:t>Repertoire of Testing</w:t>
      </w:r>
      <w:bookmarkEnd w:id="9"/>
    </w:p>
    <w:tbl>
      <w:tblPr>
        <w:tblW w:w="15266"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630"/>
        <w:gridCol w:w="2842"/>
        <w:gridCol w:w="2693"/>
        <w:gridCol w:w="1286"/>
        <w:gridCol w:w="1033"/>
        <w:gridCol w:w="1226"/>
        <w:gridCol w:w="2652"/>
        <w:gridCol w:w="902"/>
      </w:tblGrid>
      <w:tr>
        <w:trPr>
          <w:tblHeader w:val="true"/>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Test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Target Pathogens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Specimen</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Minimum</w:t>
            </w:r>
          </w:p>
          <w:p>
            <w:pPr>
              <w:pStyle w:val="Normal"/>
              <w:widowControl w:val="false"/>
              <w:shd w:val="clear" w:color="auto" w:fill="FFFFFF"/>
              <w:bidi w:val="0"/>
              <w:spacing w:before="0" w:after="120"/>
              <w:jc w:val="start"/>
              <w:rPr>
                <w:b/>
                <w:sz w:val="24"/>
                <w:szCs w:val="24"/>
                <w:lang w:val="en-IE"/>
              </w:rPr>
            </w:pPr>
            <w:r>
              <w:rPr>
                <w:b/>
                <w:sz w:val="24"/>
                <w:szCs w:val="24"/>
                <w:lang w:val="en-IE"/>
              </w:rPr>
              <w:t>Volume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highlight w:val="lightGray"/>
                <w:lang w:val="en-IE"/>
              </w:rPr>
              <w:t>Biological reference range</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TAT</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Comment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highlight w:val="lightGray"/>
                <w:lang w:val="en-IE"/>
              </w:rPr>
              <w:t>MedLIS order on Powerchart</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Urine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it-IT"/>
              </w:rPr>
            </w:pPr>
            <w:r>
              <w:rPr>
                <w:sz w:val="24"/>
                <w:szCs w:val="24"/>
                <w:lang w:val="it-IT"/>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rFonts w:ascii="Garamond" w:hAnsi="Garamond"/>
                <w:b/>
                <w:bCs/>
                <w:color w:val="000000"/>
              </w:rPr>
            </w:pPr>
            <w:r>
              <w:rPr>
                <w:sz w:val="22"/>
                <w:szCs w:val="22"/>
              </w:rPr>
              <w:t>The Sarstedt NFT (Needle Free Transfer) system.</w:t>
            </w:r>
            <w:r>
              <w:rPr>
                <w:szCs w:val="26"/>
              </w:rPr>
              <w:t xml:space="preserve"> </w:t>
            </w:r>
            <w:r>
              <w:rPr>
                <w:sz w:val="22"/>
                <w:szCs w:val="22"/>
              </w:rPr>
              <w:t>100ml</w:t>
            </w:r>
            <w:r>
              <w:rPr>
                <w:szCs w:val="26"/>
              </w:rPr>
              <w:t xml:space="preserve"> </w:t>
            </w:r>
            <w:r>
              <w:rPr>
                <w:sz w:val="22"/>
                <w:szCs w:val="22"/>
              </w:rPr>
              <w:t xml:space="preserve">NFT primary container </w:t>
            </w:r>
            <w:r>
              <w:rPr>
                <w:bCs/>
                <w:color w:val="000000"/>
                <w:sz w:val="22"/>
                <w:szCs w:val="22"/>
              </w:rPr>
              <w:t xml:space="preserve">Reference 75.562.900) </w:t>
            </w:r>
            <w:r>
              <w:rPr>
                <w:sz w:val="22"/>
                <w:szCs w:val="22"/>
              </w:rPr>
              <w:t>and a</w:t>
            </w:r>
            <w:r>
              <w:rPr>
                <w:b/>
                <w:sz w:val="22"/>
                <w:szCs w:val="22"/>
              </w:rPr>
              <w:t xml:space="preserve"> </w:t>
            </w:r>
            <w:r>
              <w:rPr>
                <w:sz w:val="22"/>
                <w:szCs w:val="22"/>
              </w:rPr>
              <w:t xml:space="preserve">10mL Monovette tube </w:t>
            </w:r>
            <w:r>
              <w:rPr>
                <w:bCs/>
                <w:color w:val="000000"/>
                <w:sz w:val="22"/>
                <w:szCs w:val="22"/>
              </w:rPr>
              <w:t>reference 10.252</w:t>
            </w:r>
            <w:r>
              <w:rPr>
                <w:rFonts w:ascii="Garamond" w:hAnsi="Garamond"/>
                <w:bCs/>
                <w:color w:val="000000"/>
              </w:rPr>
              <w:t>)</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2mls</w:t>
            </w:r>
          </w:p>
        </w:tc>
        <w:tc>
          <w:tcPr>
            <w:tcW w:w="103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39" w:after="120"/>
              <w:ind w:start="0" w:hanging="0"/>
              <w:jc w:val="start"/>
              <w:rPr>
                <w:rFonts w:ascii="Times New Roman" w:hAnsi="Times New Roman" w:cs="Times New Roman"/>
                <w:sz w:val="24"/>
                <w:szCs w:val="24"/>
                <w:highlight w:val="lightGray"/>
              </w:rPr>
            </w:pPr>
            <w:r>
              <w:rPr>
                <w:sz w:val="24"/>
                <w:szCs w:val="24"/>
                <w:highlight w:val="lightGray"/>
              </w:rPr>
              <w:t>WBC</w:t>
            </w:r>
            <w:r>
              <w:rPr>
                <w:rFonts w:cs="Times New Roman" w:ascii="Times New Roman" w:hAnsi="Times New Roman"/>
                <w:sz w:val="24"/>
                <w:szCs w:val="24"/>
                <w:highlight w:val="lightGray"/>
              </w:rPr>
              <w:t>, RBC &lt;1 to &gt;100</w:t>
            </w:r>
          </w:p>
          <w:p>
            <w:pPr>
              <w:pStyle w:val="TableParagraph"/>
              <w:widowControl w:val="false"/>
              <w:bidi w:val="0"/>
              <w:spacing w:before="39" w:after="120"/>
              <w:ind w:start="0" w:hanging="0"/>
              <w:jc w:val="start"/>
              <w:rPr>
                <w:rFonts w:ascii="Times New Roman" w:hAnsi="Times New Roman" w:cs="Times New Roman"/>
                <w:sz w:val="24"/>
                <w:szCs w:val="24"/>
              </w:rPr>
            </w:pPr>
            <w:r>
              <w:rPr>
                <w:rFonts w:cs="Times New Roman" w:ascii="Times New Roman" w:hAnsi="Times New Roman"/>
                <w:sz w:val="24"/>
                <w:szCs w:val="24"/>
                <w:highlight w:val="lightGray"/>
              </w:rPr>
              <w:t>per µL</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Within 24 hours from receipt</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bidi w:val="0"/>
              <w:ind w:start="426" w:hanging="0"/>
              <w:jc w:val="start"/>
              <w:rPr>
                <w:sz w:val="22"/>
                <w:szCs w:val="22"/>
                <w:highlight w:val="lightGray"/>
              </w:rPr>
            </w:pPr>
            <w:r>
              <w:rPr>
                <w:sz w:val="22"/>
                <w:szCs w:val="22"/>
                <w:highlight w:val="lightGray"/>
              </w:rPr>
              <w:t xml:space="preserve">Culture is only performed on urines which meet the appropriated laboratory and clinical criteria. ‘WBC ≥50/uL </w:t>
            </w:r>
            <w:r>
              <w:rPr>
                <w:b/>
                <w:sz w:val="22"/>
                <w:szCs w:val="22"/>
                <w:highlight w:val="lightGray"/>
                <w:u w:val="single"/>
              </w:rPr>
              <w:t xml:space="preserve">OR </w:t>
            </w:r>
            <w:r>
              <w:rPr>
                <w:sz w:val="22"/>
                <w:szCs w:val="22"/>
                <w:highlight w:val="lightGray"/>
              </w:rPr>
              <w:t xml:space="preserve">sediMAX bacterial count of &gt;+. </w:t>
            </w:r>
          </w:p>
          <w:p>
            <w:pPr>
              <w:pStyle w:val="Normal"/>
              <w:widowControl w:val="false"/>
              <w:bidi w:val="0"/>
              <w:spacing w:lineRule="auto" w:line="276" w:before="240" w:after="200"/>
              <w:ind w:start="426" w:hanging="0"/>
              <w:jc w:val="start"/>
              <w:rPr>
                <w:sz w:val="22"/>
                <w:szCs w:val="22"/>
                <w:lang w:eastAsia="en-GB"/>
              </w:rPr>
            </w:pPr>
            <w:r>
              <w:rPr>
                <w:sz w:val="22"/>
                <w:szCs w:val="22"/>
                <w:highlight w:val="lightGray"/>
              </w:rPr>
              <w:t xml:space="preserve">The following urines are always cultured:  Urology/ Transplant,Nephrology, Haematology, Oncology and RAD/ONC, pregnant women, children </w:t>
            </w:r>
            <w:r>
              <w:rPr>
                <w:sz w:val="22"/>
                <w:szCs w:val="22"/>
                <w:highlight w:val="lightGray"/>
                <w:lang w:eastAsia="en-GB"/>
              </w:rPr>
              <w:t>&lt;16 years old, Nephrostomy &amp; intra-operative urine (I.O.U) urines</w:t>
            </w:r>
          </w:p>
          <w:p>
            <w:pPr>
              <w:pStyle w:val="Normal"/>
              <w:widowControl w:val="false"/>
              <w:suppressAutoHyphens w:val="false"/>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URINE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rPr>
              <w:t xml:space="preserve">Routine culture </w:t>
            </w:r>
            <w:r>
              <w:rPr>
                <w:sz w:val="24"/>
                <w:szCs w:val="24"/>
                <w:highlight w:val="lightGray"/>
              </w:rPr>
              <w:t>and susceptibility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it-IT"/>
              </w:rPr>
            </w:pPr>
            <w:r>
              <w:rPr>
                <w:sz w:val="24"/>
                <w:szCs w:val="24"/>
                <w:lang w:val="it-IT"/>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2"/>
                <w:szCs w:val="22"/>
              </w:rPr>
              <w:t>The Sarstedt NFT (Needle Free Transfer) system</w:t>
            </w:r>
            <w:r>
              <w:rPr>
                <w:sz w:val="24"/>
                <w:szCs w:val="24"/>
              </w:rPr>
              <w:t xml:space="preserve">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N/A</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2-6 Days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0"/>
              </w:rPr>
            </w:pPr>
            <w:r>
              <w:rPr>
                <w:sz w:val="20"/>
                <w:highlight w:val="lightGray"/>
              </w:rPr>
              <w:t>URINE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rPr>
              <w:t>Pregnancy test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it-IT"/>
              </w:rPr>
            </w:pPr>
            <w:r>
              <w:rPr>
                <w:sz w:val="24"/>
                <w:szCs w:val="24"/>
                <w:lang w:val="it-IT"/>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2"/>
                <w:szCs w:val="22"/>
              </w:rPr>
              <w:t>The Sarstedt NFT (Needle Free Transfer) system</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HCG Preg Positive 25mIU/mL</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HCG Preg Negative</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HCG Weak Positive</w:t>
            </w:r>
            <w:r>
              <w:rPr>
                <w:sz w:val="24"/>
                <w:szCs w:val="24"/>
              </w:rPr>
              <w:t xml:space="preserve"> </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1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Samples received from Emergency Department for HCG are processed within 30 mins of receipt if requested as urgent.</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Samples received from Day Theatre for HCG are processed within 30 mins of receipt if requested as urgent.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Repeat specimen  requested within 48 hrs for weak pos results</w:t>
            </w:r>
            <w:r>
              <w:rPr>
                <w:sz w:val="24"/>
                <w:szCs w:val="24"/>
              </w:rPr>
              <w:t xml:space="preserve">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PREG</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lang w:val="it-IT"/>
              </w:rPr>
              <w:t>Legionella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Legionella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2"/>
                <w:szCs w:val="22"/>
              </w:rPr>
              <w:t>The Sarstedt NFT (Needle Free Transfer) system</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Leg U Ag Detected</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Leg U Ag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Leg UR Ag</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lang w:val="it-IT"/>
              </w:rPr>
              <w:t>Streptococcus pneumoniae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it-IT"/>
              </w:rPr>
            </w:pPr>
            <w:r>
              <w:rPr>
                <w:i/>
                <w:sz w:val="24"/>
                <w:szCs w:val="24"/>
              </w:rPr>
              <w:t>Streptococcus pneumoniae</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2"/>
                <w:szCs w:val="22"/>
              </w:rPr>
              <w:t>The Sarstedt NFT (Needle Free Transfer) system</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S Pneum  U Ag Detected</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 pneum U Ag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Not suitable for testing of urines from children  or for testing of urines that have been concentrated or boiled prior to testing</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 pneum Ag</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lang w:val="it-IT"/>
              </w:rPr>
              <w:t>TB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it-IT"/>
              </w:rPr>
            </w:pPr>
            <w:r>
              <w:rPr>
                <w:i/>
                <w:sz w:val="24"/>
                <w:szCs w:val="24"/>
              </w:rPr>
              <w:t>Mycobacterium</w:t>
            </w:r>
            <w:r>
              <w:rPr>
                <w:sz w:val="24"/>
                <w:szCs w:val="24"/>
              </w:rPr>
              <w:t xml:space="preserve"> spp.</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 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70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3 consecutive EMUs needed</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Faeces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lang w:val="fr-FR"/>
              </w:rPr>
            </w:pPr>
            <w:r>
              <w:rPr>
                <w:sz w:val="24"/>
                <w:szCs w:val="24"/>
                <w:lang w:val="pt-BR"/>
              </w:rPr>
              <w:t>Enteric pathogens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20"/>
              <w:jc w:val="start"/>
              <w:rPr/>
            </w:pPr>
            <w:r>
              <w:rPr>
                <w:sz w:val="24"/>
                <w:lang w:val="pt-BR"/>
              </w:rPr>
              <w:t>Enteric pathogens including</w:t>
            </w:r>
            <w:r>
              <w:rPr>
                <w:i/>
                <w:sz w:val="24"/>
                <w:lang w:val="pt-BR"/>
              </w:rPr>
              <w:t xml:space="preserve"> Cryptosporidium,parvum hominis and Giardia lamblia</w:t>
            </w:r>
          </w:p>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pt-BR"/>
              </w:rPr>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3-6 Days</w:t>
            </w:r>
            <w:r>
              <w:rPr>
                <w:sz w:val="24"/>
                <w:szCs w:val="24"/>
              </w:rPr>
              <w:t xml:space="preserve">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 negative disclaimer is added to ‘Not Detected’ results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FAECES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lang w:val="fr-FR"/>
              </w:rPr>
            </w:pPr>
            <w:r>
              <w:rPr>
                <w:i/>
                <w:sz w:val="24"/>
                <w:szCs w:val="24"/>
                <w:lang w:val="fr-FR"/>
              </w:rPr>
              <w:t>C difficile</w:t>
            </w:r>
            <w:r>
              <w:rPr>
                <w:sz w:val="24"/>
                <w:szCs w:val="24"/>
                <w:lang w:val="fr-FR"/>
              </w:rPr>
              <w:t xml:space="preserve"> toxin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i/>
                <w:sz w:val="24"/>
                <w:szCs w:val="24"/>
                <w:lang w:val="pt-BR"/>
              </w:rPr>
              <w:t xml:space="preserve">C difficile </w:t>
            </w:r>
            <w:r>
              <w:rPr>
                <w:sz w:val="24"/>
                <w:szCs w:val="24"/>
                <w:lang w:val="pt-BR"/>
              </w:rPr>
              <w:t>toxin</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 diff tox Detected/not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 Days</w:t>
            </w:r>
            <w:r>
              <w:rPr>
                <w:sz w:val="24"/>
                <w:szCs w:val="24"/>
              </w:rPr>
              <w:t xml:space="preserve">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Performed on semi-formed and liquid samples onlys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 diff  toxin PCR</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lang w:val="fr-FR"/>
              </w:rPr>
            </w:pPr>
            <w:r>
              <w:rPr>
                <w:sz w:val="24"/>
                <w:szCs w:val="24"/>
                <w:lang w:val="pt-BR"/>
              </w:rPr>
              <w:t>Rota/adeno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pt-BR"/>
              </w:rPr>
              <w:t>Rota/adeno virus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Adeno/Rota virus Positive</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Adeno/Rota virus Neg</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Performed</w:t>
            </w:r>
            <w:r>
              <w:rPr>
                <w:sz w:val="24"/>
                <w:szCs w:val="24"/>
              </w:rPr>
              <w:t xml:space="preserve"> on infants &lt;2 years old</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ROT/ADV</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lang w:val="fr-FR"/>
              </w:rPr>
            </w:pPr>
            <w:r>
              <w:rPr>
                <w:sz w:val="24"/>
                <w:szCs w:val="24"/>
                <w:lang w:val="pt-BR"/>
              </w:rPr>
              <w:t>Ova/parasites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pt-BR"/>
              </w:rPr>
              <w:t>Ova/parasites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w:t>
            </w:r>
            <w:r>
              <w:rPr>
                <w:sz w:val="24"/>
                <w:szCs w:val="24"/>
                <w:highlight w:val="lightGray"/>
              </w:rPr>
              <w:t>-8</w:t>
            </w:r>
            <w:r>
              <w:rPr>
                <w:sz w:val="24"/>
                <w:szCs w:val="24"/>
              </w:rPr>
              <w:t xml:space="preserve">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Travel details essential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Ova and Parasites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lang w:val="fr-FR"/>
              </w:rPr>
            </w:pPr>
            <w:r>
              <w:rPr>
                <w:sz w:val="24"/>
                <w:szCs w:val="24"/>
                <w:lang w:val="pt-BR"/>
              </w:rPr>
              <w:t>Helicobacter pylori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i/>
                <w:i/>
                <w:sz w:val="24"/>
                <w:szCs w:val="24"/>
                <w:lang w:val="pt-BR"/>
              </w:rPr>
            </w:pPr>
            <w:r>
              <w:rPr>
                <w:sz w:val="24"/>
                <w:szCs w:val="24"/>
                <w:lang w:val="pt-BR"/>
              </w:rPr>
              <w:t>Helicobacter</w:t>
            </w:r>
            <w:r>
              <w:rPr>
                <w:i/>
                <w:sz w:val="24"/>
                <w:szCs w:val="24"/>
                <w:lang w:val="pt-BR"/>
              </w:rPr>
              <w:t xml:space="preserve"> pylori </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H.pylori Ag Not detected/detected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 negative disclaimer is added to ‘Not Detected’ results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H pylori Ag</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Respiratory Specimens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Broncheolar Lavage(BAL)/ EBUS Sputum/Tracheal Aspirate Routine Culture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rPr>
              <w:t xml:space="preserve">CF culture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Respiratory pathogens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Sterile 60ml container*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w:t>
            </w:r>
            <w:r>
              <w:rPr>
                <w:sz w:val="24"/>
                <w:szCs w:val="24"/>
              </w:rPr>
              <w:t>14 Days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18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Salivary samples are unsuitable (except in the following: ITU/RTU, Haematology,Oncology,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Radiology,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CF patients,specimens for TB or Legionella</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Resp</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CF Resp</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Broncheolar Lavage (BAL)/ Sputum/Tracheal Aspirate TB 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keepNext w:val="true"/>
              <w:widowControl w:val="false"/>
              <w:shd w:val="clear" w:color="auto" w:fill="FFFFFF"/>
              <w:tabs>
                <w:tab w:val="clear" w:pos="709"/>
                <w:tab w:val="left" w:pos="3810" w:leader="none"/>
              </w:tabs>
              <w:bidi w:val="0"/>
              <w:spacing w:before="0" w:after="120"/>
              <w:jc w:val="start"/>
              <w:rPr>
                <w:sz w:val="24"/>
                <w:szCs w:val="24"/>
              </w:rPr>
            </w:pPr>
            <w:r>
              <w:rPr>
                <w:sz w:val="24"/>
                <w:szCs w:val="24"/>
              </w:rPr>
              <w:t>Acid Fast Bacilli (AFB)</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Sterile 60ml container*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5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u w:val="single"/>
              </w:rPr>
            </w:pPr>
            <w:r>
              <w:rPr>
                <w:sz w:val="24"/>
                <w:szCs w:val="24"/>
              </w:rPr>
              <w:t xml:space="preserve">Broncheolar Lavage (BAL)/ Sputum/Tracheal Aspirate TB Culture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i/>
                <w:sz w:val="24"/>
                <w:szCs w:val="24"/>
              </w:rPr>
              <w:t>Mycobacterium</w:t>
            </w:r>
            <w:r>
              <w:rPr>
                <w:sz w:val="24"/>
                <w:szCs w:val="24"/>
              </w:rPr>
              <w:t xml:space="preserve"> spp.</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Sterile 60ml container*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15mls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70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3 consecutive morning samples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pPr>
            <w:r>
              <w:rPr>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Broncheolar Lavage (BAL)/ Sputum/Tracheal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Legionella Culture</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15 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12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highlight w:val="lightGray"/>
              </w:rPr>
            </w:pPr>
            <w:r>
              <w:rPr>
                <w:highlight w:val="lightGray"/>
              </w:rPr>
              <w:t>LEG</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TB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MTB/Rif Resistance</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Specimen</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At least 1 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Detected/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 </w:t>
            </w:r>
            <w:r>
              <w:rPr>
                <w:sz w:val="24"/>
                <w:szCs w:val="24"/>
              </w:rPr>
              <w:t>1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In lab order</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Galactomannan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i/>
                <w:i/>
                <w:sz w:val="24"/>
                <w:szCs w:val="24"/>
              </w:rPr>
            </w:pPr>
            <w:r>
              <w:rPr>
                <w:i/>
                <w:sz w:val="24"/>
                <w:szCs w:val="24"/>
              </w:rPr>
              <w:t>Aspergillus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 </w:t>
            </w:r>
            <w:r>
              <w:rPr>
                <w:sz w:val="24"/>
                <w:szCs w:val="24"/>
              </w:rPr>
              <w:t>(BAL)</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Galacto Ag (BAL) positive/Negative</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An index value of ≥1.0 is considered pos result for BALs</w:t>
            </w:r>
            <w:r>
              <w:rPr>
                <w:sz w:val="24"/>
                <w:szCs w:val="24"/>
              </w:rPr>
              <w:t>.</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Negative disclaimer on ‘Not Detected’</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Can also be performed on serum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Galactomannan BAL</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Skin Scrapings/Nail Clippings/Hair</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Microscopy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Fungal Elements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Dermatophytes, moulds &amp;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Yeasts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Dermapak /Sterile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As much as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Swabs are not an appropriate specimen for fungal culture.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Hair must contain root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Fungal</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Fungal Elements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Dermatophytes, moulds &amp;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Yeasts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Dermapak /Sterile 60ml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As much as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40</w:t>
            </w:r>
            <w:r>
              <w:rPr>
                <w:sz w:val="24"/>
                <w:szCs w:val="24"/>
              </w:rPr>
              <w:t xml:space="preserve">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Swabs are not an appropriate specimen for fungal culture.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Hair must contain root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Fungal</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Swabs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MRSA Screen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MRSA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10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Nasal, Groin &amp; Wound site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2"/>
                <w:szCs w:val="22"/>
              </w:rPr>
            </w:pPr>
            <w:r>
              <w:rPr>
                <w:sz w:val="22"/>
                <w:szCs w:val="22"/>
                <w:highlight w:val="lightGray"/>
              </w:rPr>
              <w:t>SCREEN</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VRE Screen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VRE</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10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Only from rectal swabs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2"/>
                <w:szCs w:val="22"/>
              </w:rPr>
            </w:pPr>
            <w:r>
              <w:rPr>
                <w:sz w:val="22"/>
                <w:szCs w:val="22"/>
                <w:highlight w:val="lightGray"/>
              </w:rPr>
              <w:t>SCREEN</w:t>
            </w:r>
          </w:p>
        </w:tc>
      </w:tr>
      <w:tr>
        <w:trPr>
          <w:trHeight w:val="20" w:hRule="atLeast"/>
          <w:cantSplit w:val="true"/>
        </w:trPr>
        <w:tc>
          <w:tcPr>
            <w:tcW w:w="2630"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CRE Screen</w:t>
            </w:r>
          </w:p>
        </w:tc>
        <w:tc>
          <w:tcPr>
            <w:tcW w:w="2842"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CPE</w:t>
            </w:r>
          </w:p>
        </w:tc>
        <w:tc>
          <w:tcPr>
            <w:tcW w:w="2693"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tc>
        <w:tc>
          <w:tcPr>
            <w:tcW w:w="1286"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 Days</w:t>
            </w:r>
          </w:p>
        </w:tc>
        <w:tc>
          <w:tcPr>
            <w:tcW w:w="2652"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Only from rectal swabs</w:t>
            </w:r>
          </w:p>
        </w:tc>
        <w:tc>
          <w:tcPr>
            <w:tcW w:w="902" w:type="dxa"/>
            <w:tcBorders>
              <w:top w:val="single" w:sz="4" w:space="0" w:color="000000"/>
              <w:start w:val="single" w:sz="4" w:space="0" w:color="000000"/>
              <w:bottom w:val="dotted"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2"/>
                <w:szCs w:val="22"/>
              </w:rPr>
            </w:pPr>
            <w:r>
              <w:rPr>
                <w:sz w:val="22"/>
                <w:szCs w:val="22"/>
                <w:highlight w:val="lightGray"/>
              </w:rPr>
              <w:t>SCREEN</w:t>
            </w:r>
          </w:p>
        </w:tc>
      </w:tr>
      <w:tr>
        <w:trPr>
          <w:trHeight w:val="20" w:hRule="atLeast"/>
          <w:cantSplit w:val="true"/>
        </w:trPr>
        <w:tc>
          <w:tcPr>
            <w:tcW w:w="2630"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CRE Molecular screen</w:t>
            </w:r>
          </w:p>
        </w:tc>
        <w:tc>
          <w:tcPr>
            <w:tcW w:w="2842"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CPE</w:t>
            </w:r>
          </w:p>
        </w:tc>
        <w:tc>
          <w:tcPr>
            <w:tcW w:w="2693"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Copan Eswab</w:t>
            </w:r>
          </w:p>
        </w:tc>
        <w:tc>
          <w:tcPr>
            <w:tcW w:w="1286"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 </w:t>
            </w:r>
            <w:r>
              <w:rPr>
                <w:sz w:val="24"/>
                <w:szCs w:val="24"/>
                <w:highlight w:val="lightGray"/>
              </w:rPr>
              <w:t>DNA</w:t>
            </w:r>
            <w:r>
              <w:rPr>
                <w:sz w:val="24"/>
                <w:szCs w:val="24"/>
              </w:rPr>
              <w:t xml:space="preserve"> </w:t>
            </w:r>
            <w:r>
              <w:rPr>
                <w:sz w:val="24"/>
                <w:szCs w:val="24"/>
                <w:highlight w:val="lightGray"/>
              </w:rPr>
              <w:t>Detected/ Not Detected</w:t>
            </w:r>
          </w:p>
        </w:tc>
        <w:tc>
          <w:tcPr>
            <w:tcW w:w="1226"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 Days</w:t>
            </w:r>
          </w:p>
        </w:tc>
        <w:tc>
          <w:tcPr>
            <w:tcW w:w="2652"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Only from rectal swabs</w:t>
            </w:r>
          </w:p>
        </w:tc>
        <w:tc>
          <w:tcPr>
            <w:tcW w:w="902" w:type="dxa"/>
            <w:tcBorders>
              <w:top w:val="dotted"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2"/>
                <w:szCs w:val="22"/>
                <w:highlight w:val="lightGray"/>
              </w:rPr>
              <w:t>SCREEN</w:t>
            </w:r>
            <w:r>
              <w:rPr>
                <w:sz w:val="24"/>
                <w:szCs w:val="24"/>
                <w:highlight w:val="lightGray"/>
              </w:rPr>
              <w:t xml:space="preserve"> Molecular screen</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Non uro-genital (e.g. wound, eye, ear, nasal, throat)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Pathogens appropriate to site</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6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Relevant clinical details essential e.g. surgery, post-partum</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Swab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Penile/vulval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it-IT"/>
              </w:rPr>
              <w:t>Non -STI pathogens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6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Swab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rPr>
              <w:t>HVS –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it-IT"/>
              </w:rPr>
              <w:t>Candida &amp; non-STI pathogens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Charcoal Transswab</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4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HVS</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Fluids – Ascites/CAPD/Pleural/Synovial/Peritoneal/Pericardial</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fr-FR"/>
              </w:rPr>
              <w:t>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Sterile/ Universal Container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12-24 hours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EDTA tube needed if cell count required</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FLUID</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fr-FR"/>
              </w:rPr>
              <w:t>Routine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6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FLUID</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TB 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Acid Fast Bacilli (AFB)</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5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fr-FR"/>
              </w:rPr>
              <w:t>TB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70 days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pt-BR"/>
              </w:rPr>
            </w:pPr>
            <w:r>
              <w:rPr>
                <w:sz w:val="24"/>
                <w:szCs w:val="24"/>
                <w:lang w:val="pt-BR"/>
              </w:rPr>
              <w:t>Perfusion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w:t>
            </w:r>
            <w:r>
              <w:rPr>
                <w:sz w:val="24"/>
                <w:szCs w:val="24"/>
              </w:rPr>
              <w:t>5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FLUID</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 xml:space="preserve">Theatre Specimens </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12-24 hours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place specimens in formalin and do not use histology containers.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Specimens must be hand-delivered to laboratory.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Request form must contain type and site of specimen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2"/>
                <w:szCs w:val="22"/>
              </w:rPr>
            </w:pPr>
            <w:r>
              <w:rPr>
                <w:sz w:val="22"/>
                <w:szCs w:val="22"/>
                <w:highlight w:val="lightGray"/>
              </w:rPr>
              <w:t>THEATRE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Gram Stain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1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place specimens in formalin and do not use histology containers.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Specimens must be hand-delivered to laboratory.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Request form must contain type and site of specimen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2"/>
                <w:szCs w:val="22"/>
              </w:rPr>
            </w:pPr>
            <w:r>
              <w:rPr>
                <w:sz w:val="22"/>
                <w:szCs w:val="22"/>
                <w:highlight w:val="lightGray"/>
              </w:rPr>
              <w:t>THEATRE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3-8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place specimens in formalin and do not use histology containers.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Specimens must be hand-delivered to laboratory.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THEATRE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TB 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Acid Fast Bacilli (AFB)</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5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TB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70 Days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place specimens in formalin and do not use histology containers.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Specimens must be hand-delivered to laboratory.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Request form must contain type and site of specimen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b/>
                <w:sz w:val="22"/>
                <w:szCs w:val="22"/>
                <w:u w:val="single"/>
              </w:rPr>
            </w:pPr>
            <w:r>
              <w:rPr>
                <w:b/>
                <w:sz w:val="22"/>
                <w:szCs w:val="22"/>
                <w:u w:val="single"/>
              </w:rPr>
              <w:t>ON-SITE COVID-19/ INFLUENZA  TESTING</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COVID-19/ Flu A/B</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COVID-19 &amp; Influenza A/ Influenza B</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t>VTM/UTM viral swab containing one swab or PrimeStore® Lysis MTM swabs</w:t>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Flu A/B/ SARS-CoV-2 Detected</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FluA/B/ SARS-CoV-2 RNA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 Days</w:t>
            </w:r>
            <w:r>
              <w:rPr>
                <w:sz w:val="24"/>
                <w:szCs w:val="24"/>
              </w:rPr>
              <w:t xml:space="preserve">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w:t>
            </w:r>
            <w:r>
              <w:rPr>
                <w:sz w:val="24"/>
                <w:szCs w:val="24"/>
              </w:rPr>
              <w:t>Flu A/B only available during FLU PCR Influenza season as decided by the outbreak influenza committee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 negative disclaimer is added to a negative result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COVID</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COVID-19 ONLY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COVID-19</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t>VTM/UTM viral swab containing one swab or PrimeStore® Lysis MTM swabs</w:t>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 xml:space="preserve">SARS-CoV-2 Detected </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SARS-CoV-2 RNA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2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A negative disclaimer is added to a negative result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COVID</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COVID-19 for Transplant patients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COVID-19 </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t>VTM/UTM viral swab containing one swab or PrimeStore® Lysis MTM swabs</w:t>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t>BAL</w:t>
            </w:r>
          </w:p>
          <w:p>
            <w:pPr>
              <w:pStyle w:val="Normal"/>
              <w:widowControl w:val="false"/>
              <w:shd w:val="clear" w:color="auto" w:fill="FFFFFF"/>
              <w:tabs>
                <w:tab w:val="clear" w:pos="709"/>
                <w:tab w:val="left" w:pos="3810" w:leader="none"/>
              </w:tabs>
              <w:bidi w:val="0"/>
              <w:spacing w:before="0" w:after="120"/>
              <w:jc w:val="center"/>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 xml:space="preserve"> </w:t>
            </w:r>
            <w:r>
              <w:rPr>
                <w:sz w:val="24"/>
                <w:szCs w:val="24"/>
                <w:highlight w:val="lightGray"/>
              </w:rPr>
              <w:t xml:space="preserve">SARS-CoV-2 Detected </w:t>
            </w:r>
          </w:p>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SARS-CoV-2 RNA Not Detected</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 hours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6 hours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Sample should be transported to the laboratory as soon as possible after taking</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COVID</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Tips</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Tips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Sterile/ Universal Container for culture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4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CATHETER</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CSF</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Clear 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4 Hours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send CSF samples in chute system – must be hand delivered to laboratory within 2 hours of being taken.</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Contact Bleep 158 if sending between 8pm and 8am.</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Label all CSFs numerically (sequentially)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CSF</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Routine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Clear 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4 </w:t>
            </w:r>
            <w:r>
              <w:rPr>
                <w:sz w:val="24"/>
                <w:szCs w:val="24"/>
                <w:highlight w:val="lightGray"/>
              </w:rPr>
              <w:t>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Do not send CSF samples in chute system – must be hand delivered to laboratory within 2 hours of being taken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Contact Bleep 158 if sending between 8pm and 8am.</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Label all CSFs numerically (sequentially)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CSF</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TB Microscopy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Acid Fast Bacilli (AFB)</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5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lang w:val="fr-FR"/>
              </w:rPr>
              <w:t>TB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lang w:val="fr-FR"/>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Clear Sterile/ Universal Container</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70 Days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Do not send CSF samples in chute system – must be hand delivered to laboratory as soon as possible after taking.</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Contact Bleep 158 if sending between 8pm and 8am.</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center"/>
              <w:rPr>
                <w:rStyle w:val="BookTitle"/>
              </w:rPr>
            </w:pPr>
            <w:r>
              <w:rPr>
                <w:rStyle w:val="BookTitle"/>
              </w:rPr>
              <w:t xml:space="preserve">Blood Cultures </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Routine Blood Cultures </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Direct Gram stain of positive blood culture bottle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Blood Culture Bottles</w:t>
            </w:r>
            <w:r>
              <w:rPr>
                <w:sz w:val="24"/>
                <w:szCs w:val="24"/>
              </w:rPr>
              <w:t xml:space="preserve">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See IPCT “Taking a blood culture” guidelines </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5 hours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Blood Culture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Routine Blood Cultures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Blood Culture Bottles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IPCT “Taking a blood culture” guidelines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6 days for routine negative result</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blood cultures should be transported to the laboratory as soon as possible after taking.</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Blood Culture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Routine Blood Cultures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Identification/ Susceptibility testing</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24-48 hours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Blood Culture</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Mycobacterium Blood Cultures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All significant isolates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Blood Culture Bottles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IPCT “Taking a blood culture” guidelines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7 weeks </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Myobacterium blood culture bottles can NOT be sent in the chute system, must be hand-delivered to laboratory.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highlight w:val="lightGray"/>
              </w:rPr>
              <w:t>TB</w:t>
            </w:r>
          </w:p>
        </w:tc>
      </w:tr>
      <w:tr>
        <w:trPr>
          <w:trHeight w:val="20" w:hRule="atLeast"/>
          <w:cantSplit w:val="true"/>
        </w:trPr>
        <w:tc>
          <w:tcPr>
            <w:tcW w:w="15264" w:type="dxa"/>
            <w:gridSpan w:val="8"/>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rStyle w:val="BookTitle"/>
              </w:rPr>
            </w:pPr>
            <w:r>
              <w:rPr>
                <w:rStyle w:val="BookTitle"/>
              </w:rPr>
              <w:t>Serology –referred tests (If the test requested is not available to order on Powerchart, please send paper request form LF-MIC-VIR or http://my.beaumont.ie/Documents/Request%20Form%20for%20Virology%20Serology.pdf</w:t>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Acanthamoeba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Eye scrapings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Adenovirus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Potassium EDTA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2.6mls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Adenovirus Serology / Culture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Stool, Throat or Eye Swab, Nasal Aspirate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Alcoban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Amikacin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Same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Biochem Dept. Mater Hospital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 HB’s (Hep B)</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Antiretrovirus (see HIV)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Arbovirus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Aspergillus Abs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Immunology Beaumont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Aspergillus Antigenemia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Atypical Pneumonia Serology &lt;20 years old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rPr>
            </w:pPr>
            <w:r>
              <w:rPr>
                <w:b/>
                <w:sz w:val="24"/>
                <w:szCs w:val="24"/>
              </w:rPr>
              <w:t>Requires convalescent sample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Atypical Pneumonia Serology &gt;20 years old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rPr>
            </w:pPr>
            <w:r>
              <w:rPr>
                <w:b/>
                <w:sz w:val="24"/>
                <w:szCs w:val="24"/>
              </w:rPr>
              <w:t>Requires convalescent sample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PHL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Avian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Immunology Beaumont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Bartonella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Beta-D-glucan or</w:t>
            </w:r>
          </w:p>
          <w:p>
            <w:pPr>
              <w:pStyle w:val="Normal"/>
              <w:widowControl w:val="false"/>
              <w:shd w:val="clear" w:color="auto" w:fill="FFFFFF"/>
              <w:bidi w:val="0"/>
              <w:spacing w:before="0" w:after="120"/>
              <w:jc w:val="start"/>
              <w:rPr>
                <w:sz w:val="24"/>
                <w:szCs w:val="24"/>
              </w:rPr>
            </w:pPr>
            <w:r>
              <w:rPr>
                <w:sz w:val="24"/>
                <w:szCs w:val="24"/>
              </w:rPr>
              <w:t>Beta-1-3-glucan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BK- Polyoma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Blastomycosis Ab</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Bordetella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Pertussis IgG</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Borrelia Burgdorferi (Lyme’s)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Botulism</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Tested in RVPBRU- Colindale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Brucella (Melitensis Sero)</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Liverpool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C.J.D.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rPr>
            </w:pPr>
            <w:r>
              <w:rPr>
                <w:b/>
                <w:sz w:val="24"/>
                <w:szCs w:val="24"/>
              </w:rPr>
              <w:t>On request directly to Clinical Micro Team</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Tested in Neuropathology, Beaumont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Campylobacter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Candida I.D.  (Pan Fungal)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Cellcept/ mycophenolic Acid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Royal Brompton Hospital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Chagas disease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Trypanosomiasis)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Chicken Pox (VorcellaZoster)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Chickungunya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Chlamydia (GC) Trachomatis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Eye/ Urethral/ Cervical Swab, Urine (Genprobe)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Chlamydia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Chloramphenicol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Ciprofloxacin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Antimicrobial Reference Lab.</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Southmead, Bristol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CMV (Cytomegalovirus)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CMV PCR/ Quantitative/ Viral Load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Potassium EDTA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2.6mls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Coccidiodes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Infectious &amp; Tropical Diseases,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Colistin Levels/ Colomycin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Antimicrobial Reference Lab</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Co-Trimoxazole Level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Coxiella (Barbrella Borrelia)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Coxsackie Antibodies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Coxsackie Virus + Enterovirus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Cryptococcal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Potassium EDTA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2.6mls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Cryptococcus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 VIROLOGY PANEL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CSF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 (Min 0.5ml)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rPr>
            </w:pPr>
            <w:r>
              <w:rPr>
                <w:b/>
                <w:sz w:val="24"/>
                <w:szCs w:val="24"/>
              </w:rPr>
              <w:t>Ordered in Microbiology</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Cycloserine Level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Cyclosporin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Bio Dept, Beaumont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Dengue Fever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Diptheria Specific IgG</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Tested in RVPBRU- Colindale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 coli 0157 Enteric Pathogen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Cherry Orchard, PHL, Dublin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Echovirus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Ecoli 0157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Cherry Orchard</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Ehrlichia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Wiltshire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Endemic fungal testing.</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Serum, BAL, Urine, CSF and Plasma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MiraVista Veterinary Diagnostics 4705 Decatur Blvd.</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Indianapolis, IN 46241</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Enterovirus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Surrey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Enterovirus Culture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Enterovirus Molecular Qualitative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Epstein Barr Virus (EBV)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Potassium EDTA</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2.6mls</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Flavivirus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Flucytosene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Galactomannan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i/>
                <w:sz w:val="24"/>
                <w:szCs w:val="24"/>
              </w:rPr>
              <w:t>Aspergillus</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Serum/BAL</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 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t>
            </w:r>
            <w:r>
              <w:rPr>
                <w:sz w:val="24"/>
                <w:szCs w:val="24"/>
              </w:rPr>
              <w:t>0.5 GMI</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 week</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In-house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Hep A,B,C,E, E-HepB S Ag- S Ab- Core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Hep B Viral Load/ PCR/ DNA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Hep C PCR/ Genotype/ DNA/ Viral Load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Herpes Simplex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HHV 6</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CSF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HHV 6&amp;7</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Potassium EDTA</w:t>
            </w:r>
          </w:p>
          <w:p>
            <w:pPr>
              <w:pStyle w:val="Normal"/>
              <w:widowControl w:val="false"/>
              <w:shd w:val="clear" w:color="auto" w:fill="FFFFFF"/>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2.6mls</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b/>
                <w:sz w:val="24"/>
                <w:szCs w:val="24"/>
              </w:rPr>
            </w:pPr>
            <w:r>
              <w:rPr>
                <w:b/>
                <w:sz w:val="24"/>
                <w:szCs w:val="24"/>
              </w:rPr>
              <w:t>On request directly to Clinical Micro Team</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HHV 8</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Potassium EDTA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2.6mls</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Virus Ref Lab Colindale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Histoplasma Abs  Double diffusion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Histoplasma Abs &amp;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Histoplasma Abs CFtYeast Phase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Histoplasma Abs Urinary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Histoplasmosis Abs Double Defusion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HIV Abs and Antigen 1&amp;2</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79"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HIV V-Load/ PCR/ Resistance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79"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HSV PCR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Potassium EDTA</w:t>
            </w:r>
          </w:p>
          <w:p>
            <w:pPr>
              <w:pStyle w:val="Normal"/>
              <w:widowControl w:val="false"/>
              <w:shd w:val="clear" w:color="auto" w:fill="FFFFFF"/>
              <w:bidi w:val="0"/>
              <w:spacing w:before="0" w:after="120"/>
              <w:jc w:val="start"/>
              <w:rPr>
                <w:sz w:val="24"/>
                <w:szCs w:val="24"/>
              </w:rPr>
            </w:pPr>
            <w:r>
              <w:rPr>
                <w:sz w:val="24"/>
                <w:szCs w:val="24"/>
              </w:rPr>
              <w:t>CSF</w:t>
            </w:r>
          </w:p>
          <w:p>
            <w:pPr>
              <w:pStyle w:val="Normal"/>
              <w:widowControl w:val="false"/>
              <w:shd w:val="clear" w:color="auto" w:fill="FFFFFF"/>
              <w:bidi w:val="0"/>
              <w:spacing w:before="0" w:after="120"/>
              <w:jc w:val="start"/>
              <w:rPr>
                <w:sz w:val="24"/>
                <w:szCs w:val="24"/>
              </w:rPr>
            </w:pPr>
            <w:r>
              <w:rPr>
                <w:sz w:val="24"/>
                <w:szCs w:val="24"/>
              </w:rPr>
              <w:t>Dry viral 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2.6mls</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HSV specific</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Virus Ref Lab Colindale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HTLV Human T- Lymphotrophic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Influenza Virus A&amp;B H1N1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BAL</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Influenza Virus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79"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Isavuconazole Level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Itraconazole Level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JC (Polyoma or BK)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p>
            <w:pPr>
              <w:pStyle w:val="Normal"/>
              <w:widowControl w:val="false"/>
              <w:shd w:val="clear" w:color="auto" w:fill="FFFFFF"/>
              <w:bidi w:val="0"/>
              <w:spacing w:before="0" w:after="120"/>
              <w:jc w:val="start"/>
              <w:rPr>
                <w:sz w:val="24"/>
                <w:szCs w:val="24"/>
              </w:rPr>
            </w:pPr>
            <w:r>
              <w:rPr>
                <w:sz w:val="24"/>
                <w:szCs w:val="24"/>
              </w:rPr>
              <w:t>CSF/Urine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Legionella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Leptospirosis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Linezolid Level (Pre or Post)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79"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Listeria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Lyme Abs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Lyme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CSF </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Measles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Melitensis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Brucella)</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Meningococcal/ Pneumococcal Serology (Post vaccine response)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Immunology Dept, Beaumont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Molluscum contagiosum</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Fluids/Tissue biopsy specimens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Moxifloxacin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Monkeypox ( M pox)</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highlight w:val="lightGray"/>
              </w:rPr>
            </w:pPr>
            <w:r>
              <w:rPr>
                <w:sz w:val="24"/>
                <w:szCs w:val="24"/>
                <w:highlight w:val="lightGray"/>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highlight w:val="lightGray"/>
              </w:rPr>
            </w:pPr>
            <w:r>
              <w:rPr>
                <w:sz w:val="24"/>
                <w:szCs w:val="24"/>
                <w:highlight w:val="lightGray"/>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highlight w:val="lightGray"/>
              </w:rPr>
            </w:pPr>
            <w:r>
              <w:rPr>
                <w:sz w:val="24"/>
                <w:szCs w:val="24"/>
                <w:highlight w:val="lightGray"/>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highlight w:val="lightGray"/>
              </w:rPr>
            </w:pPr>
            <w:r>
              <w:rPr>
                <w:sz w:val="24"/>
                <w:szCs w:val="24"/>
                <w:highlight w:val="lightGray"/>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highlight w:val="lightGray"/>
              </w:rPr>
            </w:pPr>
            <w:r>
              <w:rPr>
                <w:sz w:val="24"/>
                <w:szCs w:val="24"/>
                <w:highlight w:val="lightGray"/>
              </w:rPr>
              <w:t>1/3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highlight w:val="lightGray"/>
              </w:rPr>
            </w:pPr>
            <w:r>
              <w:rPr>
                <w:sz w:val="24"/>
                <w:szCs w:val="24"/>
                <w:highlight w:val="lightGray"/>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Mumps antibodies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Mycoplasma IgM &lt;20 Yrs old</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NEEDLE STICK INJURY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HIV- HBSAG-HCV</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Norovirus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Paracoccidiodes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Paramyxovirus (Mumps)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fr-FR"/>
              </w:rPr>
            </w:pPr>
            <w:r>
              <w:rPr>
                <w:sz w:val="24"/>
                <w:szCs w:val="24"/>
                <w:lang w:val="fr-FR"/>
              </w:rPr>
              <w:t>Parasites :</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Amoebiasis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Angio Strongyloides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Cysticerosis Antibodies</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Echinococcus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Entamoeba Serology</w:t>
            </w:r>
          </w:p>
          <w:p>
            <w:pPr>
              <w:pStyle w:val="Normal"/>
              <w:widowControl w:val="false"/>
              <w:shd w:val="clear" w:color="auto" w:fill="FFFFFF"/>
              <w:bidi w:val="0"/>
              <w:spacing w:before="0" w:after="120"/>
              <w:ind w:start="360" w:hanging="0"/>
              <w:jc w:val="start"/>
              <w:rPr>
                <w:sz w:val="24"/>
                <w:szCs w:val="24"/>
              </w:rPr>
            </w:pPr>
            <w:r>
              <w:rPr>
                <w:sz w:val="24"/>
                <w:szCs w:val="24"/>
              </w:rPr>
              <w:t>Filiarisis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Hydatid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Leishmania Serology &amp; K39 Abs –Direct Ag Test</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 xml:space="preserve">Malaria Serology, </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Neurocysticercosis (Taenia solium)</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Schistosomiasis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Strongyloides Abs</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Taenia Serology</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Toxocara Abs</w:t>
            </w:r>
          </w:p>
          <w:p>
            <w:pPr>
              <w:pStyle w:val="Normal"/>
              <w:widowControl w:val="false"/>
              <w:shd w:val="clear" w:color="auto" w:fill="FFFFFF"/>
              <w:bidi w:val="0"/>
              <w:spacing w:before="0" w:after="120"/>
              <w:ind w:start="360" w:hanging="0"/>
              <w:jc w:val="start"/>
              <w:rPr>
                <w:sz w:val="24"/>
                <w:szCs w:val="24"/>
                <w:lang w:val="fr-FR"/>
              </w:rPr>
            </w:pPr>
            <w:r>
              <w:rPr>
                <w:sz w:val="24"/>
                <w:szCs w:val="24"/>
                <w:lang w:val="fr-FR"/>
              </w:rPr>
              <w:t>Trichinella Abs</w:t>
            </w:r>
          </w:p>
          <w:p>
            <w:pPr>
              <w:pStyle w:val="Normal"/>
              <w:widowControl w:val="false"/>
              <w:shd w:val="clear" w:color="auto" w:fill="FFFFFF"/>
              <w:bidi w:val="0"/>
              <w:spacing w:before="0" w:after="120"/>
              <w:ind w:start="360" w:hanging="0"/>
              <w:jc w:val="start"/>
              <w:rPr>
                <w:sz w:val="24"/>
                <w:szCs w:val="24"/>
              </w:rPr>
            </w:pPr>
            <w:r>
              <w:rPr>
                <w:sz w:val="24"/>
                <w:szCs w:val="24"/>
                <w:lang w:val="fr-FR"/>
              </w:rPr>
              <w:t>Trypanosomiasis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Weeks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HTD London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Parinfluenza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Nasal Aspirate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Parvovirus B19</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Parvovirus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Pertussis C+S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Perinasal swab (charcoal)</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 xml:space="preserve">Tested in Temple street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Pertussis IgG and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Crumlin Hospital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Phlebotemina Screen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RIPL, London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Pneumocystis Pneumonia (PCP)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Respiraotry samples/Nose &amp; throat swabs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Belfast (routine) /NVRL (urgent)</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Polyoma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CSF</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Pseudo-cholinesterase</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Psittacosis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Q-Fever (Coxiella burnetti)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388"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QuantiFERON®–TB Gold  assay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QuantiFERON®–TB Gold blood collection tubes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bCs/>
                <w:sz w:val="24"/>
                <w:szCs w:val="24"/>
              </w:rPr>
              <w:t>1 ml x4 tubes (To the black fill line)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bCs/>
                <w:sz w:val="24"/>
                <w:szCs w:val="24"/>
              </w:rPr>
              <w:t>1 week</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Must be returned to Microbiology within 16 hours of sampling</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Respiratory Syncitial Virus (RSV)</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Nasal aspirate/Sputum</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Rhinovirus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Viral throat swab</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Rickettsia Abs (Spotted Fever)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Wiltshire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Rifampicin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Rubella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Septrin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Shigella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Faeces</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1-2g</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IMSSRL, UHG, Galway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Shigella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GBRU, Colindale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Sirolimus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Potassium EDTA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2.6ml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Royal Brompton Hospital,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Spotted Fever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(See Rickettsia)</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Streptomycin Level</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Southmead, Bristol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Syphilis Serology/ (Treponema pallidum) / VDRL/TPHA/RPR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Teicoplanin levels </w:t>
            </w:r>
          </w:p>
          <w:p>
            <w:pPr>
              <w:pStyle w:val="Normal"/>
              <w:widowControl w:val="false"/>
              <w:shd w:val="clear" w:color="auto" w:fill="FFFFFF"/>
              <w:bidi w:val="0"/>
              <w:spacing w:before="0" w:after="120"/>
              <w:jc w:val="start"/>
              <w:rPr>
                <w:sz w:val="24"/>
                <w:szCs w:val="24"/>
              </w:rPr>
            </w:pPr>
            <w:r>
              <w:rPr>
                <w:sz w:val="24"/>
                <w:szCs w:val="24"/>
              </w:rPr>
              <w:t>(TEIC 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Eurofins Biomnis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Tobramycin Levels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Same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Biochemistry, St. Vincents, Dublin</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TORCH</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Toxoplasmosis PCR</w:t>
            </w:r>
          </w:p>
          <w:p>
            <w:pPr>
              <w:pStyle w:val="Normal"/>
              <w:widowControl w:val="false"/>
              <w:shd w:val="clear" w:color="auto" w:fill="FFFFFF"/>
              <w:bidi w:val="0"/>
              <w:spacing w:before="0" w:after="120"/>
              <w:jc w:val="start"/>
              <w:rPr>
                <w:sz w:val="24"/>
                <w:szCs w:val="24"/>
              </w:rPr>
            </w:pPr>
            <w:r>
              <w:rPr>
                <w:sz w:val="24"/>
                <w:szCs w:val="24"/>
              </w:rPr>
              <w:t>Abs Dye Test</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p>
            <w:pPr>
              <w:pStyle w:val="Normal"/>
              <w:widowControl w:val="false"/>
              <w:shd w:val="clear" w:color="auto" w:fill="FFFFFF"/>
              <w:bidi w:val="0"/>
              <w:spacing w:before="0" w:after="120"/>
              <w:jc w:val="start"/>
              <w:rPr>
                <w:sz w:val="24"/>
                <w:szCs w:val="24"/>
              </w:rPr>
            </w:pPr>
            <w:r>
              <w:rPr>
                <w:sz w:val="24"/>
                <w:szCs w:val="24"/>
              </w:rPr>
              <w:t>Potassium EDTA</w:t>
            </w:r>
          </w:p>
          <w:p>
            <w:pPr>
              <w:pStyle w:val="Normal"/>
              <w:widowControl w:val="false"/>
              <w:shd w:val="clear" w:color="auto" w:fill="FFFFFF"/>
              <w:bidi w:val="0"/>
              <w:spacing w:before="0" w:after="120"/>
              <w:jc w:val="start"/>
              <w:rPr>
                <w:sz w:val="24"/>
                <w:szCs w:val="24"/>
              </w:rPr>
            </w:pPr>
            <w:r>
              <w:rPr>
                <w:sz w:val="24"/>
                <w:szCs w:val="24"/>
              </w:rPr>
              <w:t>Tissue/Pus/CSF</w:t>
            </w:r>
          </w:p>
          <w:p>
            <w:pPr>
              <w:pStyle w:val="Normal"/>
              <w:widowControl w:val="false"/>
              <w:shd w:val="clear" w:color="auto" w:fill="FFFFFF"/>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p>
            <w:pPr>
              <w:pStyle w:val="Normal"/>
              <w:widowControl w:val="false"/>
              <w:shd w:val="clear" w:color="auto" w:fill="FFFFFF"/>
              <w:bidi w:val="0"/>
              <w:spacing w:before="0" w:after="120"/>
              <w:jc w:val="start"/>
              <w:rPr>
                <w:sz w:val="24"/>
                <w:szCs w:val="24"/>
              </w:rPr>
            </w:pPr>
            <w:r>
              <w:rPr>
                <w:sz w:val="24"/>
                <w:szCs w:val="24"/>
              </w:rPr>
              <w:t>2.6ml</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Swansea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Toxoplasmosis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Tularemia</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Porton Down, Salisbury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Typhus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Porton Down,</w:t>
            </w:r>
          </w:p>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t>Salisbury</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Urinary Histoplasmosis antigen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p>
            <w:pPr>
              <w:pStyle w:val="Normal"/>
              <w:widowControl w:val="false"/>
              <w:shd w:val="clear" w:color="auto" w:fill="FFFFFF"/>
              <w:bidi w:val="0"/>
              <w:spacing w:before="0" w:after="120"/>
              <w:jc w:val="start"/>
              <w:rPr>
                <w:sz w:val="24"/>
                <w:szCs w:val="24"/>
              </w:rPr>
            </w:pPr>
            <w:r>
              <w:rPr>
                <w:sz w:val="24"/>
                <w:szCs w:val="24"/>
              </w:rPr>
              <w:t>Urine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MiraVista Veterinary Diagnostics4705 Decatur Blvd.</w:t>
            </w:r>
          </w:p>
          <w:p>
            <w:pPr>
              <w:pStyle w:val="Normal"/>
              <w:widowControl w:val="false"/>
              <w:shd w:val="clear" w:color="auto" w:fill="FFFFFF"/>
              <w:bidi w:val="0"/>
              <w:spacing w:before="0" w:after="120"/>
              <w:jc w:val="start"/>
              <w:rPr>
                <w:sz w:val="24"/>
                <w:szCs w:val="24"/>
              </w:rPr>
            </w:pPr>
            <w:r>
              <w:rPr>
                <w:sz w:val="24"/>
                <w:szCs w:val="24"/>
              </w:rPr>
              <w:t>Indianapolis, IN 46241</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Varicella Zoster (VZV)</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p>
            <w:pPr>
              <w:pStyle w:val="Normal"/>
              <w:widowControl w:val="false"/>
              <w:shd w:val="clear" w:color="auto" w:fill="FFFFFF"/>
              <w:bidi w:val="0"/>
              <w:spacing w:before="0" w:after="120"/>
              <w:jc w:val="start"/>
              <w:rPr>
                <w:sz w:val="24"/>
                <w:szCs w:val="24"/>
              </w:rPr>
            </w:pPr>
            <w:r>
              <w:rPr>
                <w:sz w:val="24"/>
                <w:szCs w:val="24"/>
              </w:rPr>
              <w:t>Potassium EDTA</w:t>
            </w:r>
          </w:p>
          <w:p>
            <w:pPr>
              <w:pStyle w:val="Normal"/>
              <w:widowControl w:val="false"/>
              <w:shd w:val="clear" w:color="auto" w:fill="FFFFFF"/>
              <w:bidi w:val="0"/>
              <w:spacing w:before="0" w:after="120"/>
              <w:jc w:val="start"/>
              <w:rPr>
                <w:sz w:val="24"/>
                <w:szCs w:val="24"/>
              </w:rPr>
            </w:pPr>
            <w:r>
              <w:rPr>
                <w:sz w:val="24"/>
                <w:szCs w:val="24"/>
              </w:rPr>
              <w:t>Slides</w:t>
            </w:r>
          </w:p>
          <w:p>
            <w:pPr>
              <w:pStyle w:val="Normal"/>
              <w:widowControl w:val="false"/>
              <w:shd w:val="clear" w:color="auto" w:fill="FFFFFF"/>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p>
            <w:pPr>
              <w:pStyle w:val="Normal"/>
              <w:widowControl w:val="false"/>
              <w:shd w:val="clear" w:color="auto" w:fill="FFFFFF"/>
              <w:bidi w:val="0"/>
              <w:spacing w:before="0" w:after="120"/>
              <w:jc w:val="start"/>
              <w:rPr>
                <w:sz w:val="24"/>
                <w:szCs w:val="24"/>
              </w:rPr>
            </w:pPr>
            <w:r>
              <w:rPr>
                <w:sz w:val="24"/>
                <w:szCs w:val="24"/>
              </w:rPr>
              <w:t>2.6ml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Viral Pneumonia Screen</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Sputum</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By request</w:t>
            </w:r>
          </w:p>
          <w:p>
            <w:pPr>
              <w:pStyle w:val="Normal"/>
              <w:widowControl w:val="false"/>
              <w:shd w:val="clear" w:color="auto" w:fill="FFFFFF"/>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Voriconazole levels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Same day</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the Mater Hospital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Weils disease </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(See Leptospirosis) </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West Nile Virus Serology</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Whipples PCR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Potassium EDTA</w:t>
            </w:r>
          </w:p>
          <w:p>
            <w:pPr>
              <w:pStyle w:val="Normal"/>
              <w:widowControl w:val="false"/>
              <w:shd w:val="clear" w:color="auto" w:fill="FFFFFF"/>
              <w:bidi w:val="0"/>
              <w:spacing w:before="0" w:after="120"/>
              <w:jc w:val="start"/>
              <w:rPr>
                <w:sz w:val="24"/>
                <w:szCs w:val="24"/>
              </w:rPr>
            </w:pPr>
            <w:r>
              <w:rPr>
                <w:sz w:val="24"/>
                <w:szCs w:val="24"/>
              </w:rPr>
              <w:t>CSF</w:t>
            </w:r>
          </w:p>
          <w:p>
            <w:pPr>
              <w:pStyle w:val="Normal"/>
              <w:widowControl w:val="false"/>
              <w:shd w:val="clear" w:color="auto" w:fill="FFFFFF"/>
              <w:bidi w:val="0"/>
              <w:spacing w:before="0" w:after="120"/>
              <w:jc w:val="start"/>
              <w:rPr>
                <w:sz w:val="24"/>
                <w:szCs w:val="24"/>
              </w:rPr>
            </w:pPr>
            <w:r>
              <w:rPr>
                <w:sz w:val="24"/>
                <w:szCs w:val="24"/>
              </w:rPr>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2.6ml</w:t>
            </w:r>
          </w:p>
          <w:p>
            <w:pPr>
              <w:pStyle w:val="Normal"/>
              <w:widowControl w:val="false"/>
              <w:shd w:val="clear" w:color="auto" w:fill="FFFFFF"/>
              <w:bidi w:val="0"/>
              <w:spacing w:before="0" w:after="120"/>
              <w:jc w:val="start"/>
              <w:rPr>
                <w:sz w:val="24"/>
                <w:szCs w:val="24"/>
              </w:rPr>
            </w:pPr>
            <w:r>
              <w:rPr>
                <w:sz w:val="24"/>
                <w:szCs w:val="24"/>
              </w:rPr>
              <w:t>As much as possible</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St. James’s Leeds</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Yellow Fever</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Wiltshire, UK</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Yersinia Abs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GBRU Colindale</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r>
        <w:trPr>
          <w:trHeight w:val="20" w:hRule="atLeast"/>
          <w:cantSplit w:val="true"/>
        </w:trPr>
        <w:tc>
          <w:tcPr>
            <w:tcW w:w="26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Zika Virus</w:t>
            </w:r>
          </w:p>
        </w:tc>
        <w:tc>
          <w:tcPr>
            <w:tcW w:w="284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269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White Topped Serum Tube</w:t>
            </w:r>
          </w:p>
        </w:tc>
        <w:tc>
          <w:tcPr>
            <w:tcW w:w="12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7.5ml</w:t>
            </w:r>
          </w:p>
        </w:tc>
        <w:tc>
          <w:tcPr>
            <w:tcW w:w="103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N/A</w:t>
            </w:r>
          </w:p>
        </w:tc>
        <w:tc>
          <w:tcPr>
            <w:tcW w:w="122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days</w:t>
            </w:r>
          </w:p>
        </w:tc>
        <w:tc>
          <w:tcPr>
            <w:tcW w:w="26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Tested in the NVRL</w:t>
            </w:r>
          </w:p>
        </w:tc>
        <w:tc>
          <w:tcPr>
            <w:tcW w:w="90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120"/>
              <w:jc w:val="start"/>
              <w:rPr>
                <w:sz w:val="24"/>
                <w:szCs w:val="24"/>
              </w:rPr>
            </w:pPr>
            <w:r>
              <w:rPr>
                <w:sz w:val="24"/>
                <w:szCs w:val="24"/>
              </w:rPr>
            </w:r>
          </w:p>
        </w:tc>
      </w:tr>
    </w:tbl>
    <w:p>
      <w:pPr>
        <w:pStyle w:val="Normal"/>
        <w:widowControl w:val="false"/>
        <w:numPr>
          <w:ilvl w:val="0"/>
          <w:numId w:val="6"/>
        </w:numPr>
        <w:shd w:val="clear" w:color="auto" w:fill="FFFFFF"/>
        <w:tabs>
          <w:tab w:val="clear" w:pos="709"/>
          <w:tab w:val="left" w:pos="767" w:leader="none"/>
        </w:tabs>
        <w:suppressAutoHyphens w:val="false"/>
        <w:bidi w:val="0"/>
        <w:spacing w:before="0" w:after="120"/>
        <w:jc w:val="start"/>
        <w:rPr>
          <w:sz w:val="24"/>
          <w:szCs w:val="24"/>
        </w:rPr>
      </w:pPr>
      <w:r>
        <w:rPr>
          <w:sz w:val="24"/>
          <w:szCs w:val="24"/>
        </w:rPr>
        <w:t>Specimens received in Aptima Collection Devices will be sent to the NVRL for processing. The GenProbe (Aptima)  collection devices (urine containers and swabs) are supplied by the NVRL.</w:t>
      </w:r>
    </w:p>
    <w:p>
      <w:pPr>
        <w:pStyle w:val="Normal"/>
        <w:widowControl w:val="false"/>
        <w:numPr>
          <w:ilvl w:val="0"/>
          <w:numId w:val="6"/>
        </w:numPr>
        <w:shd w:val="clear" w:color="auto" w:fill="FFFFFF"/>
        <w:tabs>
          <w:tab w:val="clear" w:pos="709"/>
          <w:tab w:val="left" w:pos="767" w:leader="none"/>
        </w:tabs>
        <w:suppressAutoHyphens w:val="false"/>
        <w:bidi w:val="0"/>
        <w:spacing w:before="0" w:after="120"/>
        <w:jc w:val="start"/>
        <w:rPr>
          <w:sz w:val="24"/>
          <w:szCs w:val="24"/>
        </w:rPr>
      </w:pPr>
      <w:r>
        <w:rPr>
          <w:sz w:val="24"/>
          <w:szCs w:val="24"/>
        </w:rPr>
        <w:t xml:space="preserve">In cases where </w:t>
      </w:r>
      <w:r>
        <w:rPr>
          <w:i/>
          <w:iCs/>
          <w:sz w:val="24"/>
          <w:szCs w:val="24"/>
        </w:rPr>
        <w:t>Neisseria gonorrhoeae</w:t>
      </w:r>
      <w:r>
        <w:rPr>
          <w:sz w:val="24"/>
          <w:szCs w:val="24"/>
        </w:rPr>
        <w:t xml:space="preserve"> (GC) is suspected, clinical details of ?STI or ‘DISCHARGE’ must be provided on the request form. If not, samples will not be cultured for GC.</w:t>
      </w:r>
    </w:p>
    <w:p>
      <w:pPr>
        <w:pStyle w:val="ListParagraph"/>
        <w:numPr>
          <w:ilvl w:val="0"/>
          <w:numId w:val="6"/>
        </w:numPr>
        <w:tabs>
          <w:tab w:val="clear" w:pos="709"/>
          <w:tab w:val="left" w:pos="1080" w:leader="none"/>
        </w:tabs>
        <w:bidi w:val="0"/>
        <w:spacing w:before="0" w:after="120"/>
        <w:jc w:val="start"/>
        <w:rPr>
          <w:sz w:val="24"/>
          <w:szCs w:val="24"/>
          <w:highlight w:val="lightGray"/>
        </w:rPr>
      </w:pPr>
      <w:r>
        <w:rPr>
          <w:sz w:val="24"/>
          <w:szCs w:val="24"/>
          <w:highlight w:val="lightGray"/>
        </w:rPr>
        <w:t>When an aliquot is required for sending out, the following is adhered to:</w:t>
      </w:r>
    </w:p>
    <w:p>
      <w:pPr>
        <w:pStyle w:val="ListParagraph"/>
        <w:bidi w:val="0"/>
        <w:jc w:val="start"/>
        <w:rPr>
          <w:sz w:val="24"/>
          <w:szCs w:val="24"/>
          <w:highlight w:val="lightGray"/>
        </w:rPr>
      </w:pPr>
      <w:r>
        <w:rPr>
          <w:sz w:val="24"/>
          <w:szCs w:val="24"/>
          <w:highlight w:val="lightGray"/>
        </w:rPr>
        <w:t>-Sufficient sample available</w:t>
      </w:r>
    </w:p>
    <w:p>
      <w:pPr>
        <w:pStyle w:val="ListParagraph"/>
        <w:bidi w:val="0"/>
        <w:jc w:val="start"/>
        <w:rPr>
          <w:sz w:val="24"/>
          <w:szCs w:val="24"/>
          <w:highlight w:val="lightGray"/>
        </w:rPr>
      </w:pPr>
      <w:r>
        <w:rPr>
          <w:sz w:val="24"/>
          <w:szCs w:val="24"/>
          <w:highlight w:val="lightGray"/>
        </w:rPr>
        <w:t>-Appropriate container for aliquot</w:t>
      </w:r>
    </w:p>
    <w:p>
      <w:pPr>
        <w:pStyle w:val="ListParagraph"/>
        <w:bidi w:val="0"/>
        <w:jc w:val="start"/>
        <w:rPr>
          <w:sz w:val="24"/>
          <w:szCs w:val="24"/>
          <w:highlight w:val="lightGray"/>
        </w:rPr>
      </w:pPr>
      <w:r>
        <w:rPr>
          <w:sz w:val="24"/>
          <w:szCs w:val="24"/>
          <w:highlight w:val="lightGray"/>
        </w:rPr>
        <w:t>-Labelling criteria (same information as original sample) See section 2.1.6</w:t>
      </w:r>
    </w:p>
    <w:p>
      <w:pPr>
        <w:pStyle w:val="ListParagraph"/>
        <w:bidi w:val="0"/>
        <w:jc w:val="start"/>
        <w:rPr>
          <w:sz w:val="24"/>
          <w:szCs w:val="24"/>
          <w:highlight w:val="lightGray"/>
        </w:rPr>
      </w:pPr>
      <w:r>
        <w:rPr>
          <w:sz w:val="24"/>
          <w:szCs w:val="24"/>
          <w:highlight w:val="lightGray"/>
        </w:rPr>
        <w:t>-Stability and storage conditions correct</w:t>
      </w:r>
    </w:p>
    <w:p>
      <w:pPr>
        <w:pStyle w:val="Normal"/>
        <w:bidi w:val="0"/>
        <w:spacing w:lineRule="auto" w:line="360"/>
        <w:ind w:end="-4815" w:hanging="0"/>
        <w:jc w:val="start"/>
        <w:rPr>
          <w:sz w:val="24"/>
          <w:szCs w:val="24"/>
        </w:rPr>
      </w:pPr>
      <w:r>
        <w:rPr>
          <w:sz w:val="24"/>
          <w:szCs w:val="24"/>
        </w:rPr>
        <w:t xml:space="preserve">Table </w:t>
      </w:r>
      <w:r>
        <w:rPr>
          <w:sz w:val="24"/>
          <w:szCs w:val="24"/>
          <w:highlight w:val="lightGray"/>
        </w:rPr>
        <w:t>4</w:t>
      </w:r>
      <w:r>
        <w:rPr>
          <w:sz w:val="24"/>
          <w:szCs w:val="24"/>
        </w:rPr>
        <w:t>.</w:t>
      </w:r>
    </w:p>
    <w:p>
      <w:pPr>
        <w:pStyle w:val="Normal"/>
        <w:bidi w:val="0"/>
        <w:spacing w:lineRule="auto" w:line="360"/>
        <w:ind w:end="-4815" w:hanging="0"/>
        <w:jc w:val="start"/>
        <w:rPr>
          <w:sz w:val="24"/>
          <w:szCs w:val="24"/>
        </w:rPr>
      </w:pPr>
      <w:r>
        <w:rPr>
          <w:sz w:val="24"/>
          <w:szCs w:val="24"/>
        </w:rPr>
        <w:t xml:space="preserve">Ordering mnemonics for ordering of tests on Powerchart. </w:t>
      </w:r>
    </w:p>
    <w:p>
      <w:pPr>
        <w:pStyle w:val="Normal"/>
        <w:bidi w:val="0"/>
        <w:spacing w:lineRule="auto" w:line="360"/>
        <w:ind w:end="-4815" w:hanging="0"/>
        <w:jc w:val="start"/>
        <w:rPr>
          <w:sz w:val="24"/>
          <w:szCs w:val="24"/>
        </w:rPr>
      </w:pPr>
      <w:r>
        <w:rPr>
          <w:sz w:val="24"/>
          <w:szCs w:val="24"/>
        </w:rPr>
        <w:t xml:space="preserve">While the actual tests remain the same the test names may be different. </w:t>
      </w:r>
    </w:p>
    <w:p>
      <w:pPr>
        <w:pStyle w:val="Normal"/>
        <w:bidi w:val="0"/>
        <w:spacing w:lineRule="auto" w:line="360"/>
        <w:ind w:end="-4815" w:hanging="0"/>
        <w:jc w:val="start"/>
        <w:rPr>
          <w:sz w:val="24"/>
          <w:szCs w:val="24"/>
        </w:rPr>
      </w:pPr>
      <w:r>
        <w:rPr>
          <w:sz w:val="24"/>
          <w:szCs w:val="24"/>
        </w:rPr>
        <w:t xml:space="preserve">The following table is a brief guide to the test name changes. </w:t>
      </w:r>
    </w:p>
    <w:p>
      <w:pPr>
        <w:pStyle w:val="Normal"/>
        <w:widowControl w:val="false"/>
        <w:shd w:val="clear" w:color="auto" w:fill="FFFFFF"/>
        <w:tabs>
          <w:tab w:val="clear" w:pos="709"/>
          <w:tab w:val="left" w:pos="767" w:leader="none"/>
        </w:tabs>
        <w:suppressAutoHyphens w:val="false"/>
        <w:bidi w:val="0"/>
        <w:spacing w:before="0" w:after="120"/>
        <w:jc w:val="start"/>
        <w:rPr>
          <w:sz w:val="24"/>
          <w:szCs w:val="24"/>
        </w:rPr>
      </w:pPr>
      <w:r>
        <w:rPr>
          <w:sz w:val="24"/>
          <w:szCs w:val="24"/>
        </w:rPr>
      </w:r>
    </w:p>
    <w:p>
      <w:pPr>
        <w:pStyle w:val="Normal"/>
        <w:widowControl w:val="false"/>
        <w:shd w:val="clear" w:color="auto" w:fill="FFFFFF"/>
        <w:tabs>
          <w:tab w:val="clear" w:pos="709"/>
          <w:tab w:val="left" w:pos="767" w:leader="none"/>
        </w:tabs>
        <w:suppressAutoHyphens w:val="false"/>
        <w:bidi w:val="0"/>
        <w:spacing w:before="0" w:after="120"/>
        <w:jc w:val="start"/>
        <w:rPr>
          <w:sz w:val="24"/>
          <w:szCs w:val="24"/>
        </w:rPr>
      </w:pPr>
      <w:r>
        <w:rPr>
          <w:sz w:val="24"/>
          <w:szCs w:val="24"/>
        </w:rPr>
      </w:r>
    </w:p>
    <w:tbl>
      <w:tblPr>
        <w:tblStyle w:val="TableGrid"/>
        <w:tblW w:w="8359"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2404"/>
        <w:gridCol w:w="3545"/>
        <w:gridCol w:w="2410"/>
      </w:tblGrid>
      <w:tr>
        <w:trPr/>
        <w:tc>
          <w:tcPr>
            <w:tcW w:w="2404"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r>
          </w:p>
        </w:tc>
        <w:tc>
          <w:tcPr>
            <w:tcW w:w="3545" w:type="dxa"/>
            <w:tcBorders/>
          </w:tcPr>
          <w:p>
            <w:pPr>
              <w:pStyle w:val="Normal"/>
              <w:widowControl/>
              <w:bidi w:val="0"/>
              <w:spacing w:lineRule="auto" w:line="360"/>
              <w:ind w:end="-4815" w:hanging="0"/>
              <w:jc w:val="start"/>
              <w:rPr>
                <w:rFonts w:ascii="Calibri" w:hAnsi="Calibri" w:cs="Calibri" w:asciiTheme="minorHAnsi" w:cstheme="minorHAnsi" w:hAnsiTheme="minorHAnsi"/>
                <w:b/>
                <w:szCs w:val="24"/>
              </w:rPr>
            </w:pPr>
            <w:r>
              <w:rPr>
                <w:rFonts w:eastAsia="Times New Roman" w:cs="Calibri" w:ascii="Calibri" w:hAnsi="Calibri" w:asciiTheme="minorHAnsi" w:cstheme="minorHAnsi" w:hAnsiTheme="minorHAnsi"/>
                <w:b/>
                <w:kern w:val="0"/>
                <w:szCs w:val="24"/>
                <w:lang w:eastAsia="en-IE" w:bidi="ar-SA"/>
              </w:rPr>
              <w:t>MedLIS Order</w:t>
            </w:r>
          </w:p>
        </w:tc>
        <w:tc>
          <w:tcPr>
            <w:tcW w:w="2410" w:type="dxa"/>
            <w:tcBorders/>
          </w:tcPr>
          <w:p>
            <w:pPr>
              <w:pStyle w:val="Normal"/>
              <w:widowControl/>
              <w:bidi w:val="0"/>
              <w:spacing w:lineRule="auto" w:line="360"/>
              <w:ind w:end="-4815" w:hanging="0"/>
              <w:jc w:val="start"/>
              <w:rPr>
                <w:rFonts w:ascii="Calibri" w:hAnsi="Calibri" w:cs="Calibri" w:asciiTheme="minorHAnsi" w:cstheme="minorHAnsi" w:hAnsiTheme="minorHAnsi"/>
                <w:b/>
                <w:szCs w:val="24"/>
              </w:rPr>
            </w:pPr>
            <w:r>
              <w:rPr>
                <w:rFonts w:eastAsia="Times New Roman" w:cs="Calibri" w:ascii="Calibri" w:hAnsi="Calibri" w:asciiTheme="minorHAnsi" w:cstheme="minorHAnsi" w:hAnsiTheme="minorHAnsi"/>
                <w:b/>
                <w:kern w:val="0"/>
                <w:szCs w:val="24"/>
                <w:lang w:eastAsia="en-IE" w:bidi="ar-SA"/>
              </w:rPr>
              <w:t>Previous Order (PIPE)</w:t>
            </w:r>
          </w:p>
        </w:tc>
      </w:tr>
      <w:tr>
        <w:trPr/>
        <w:tc>
          <w:tcPr>
            <w:tcW w:w="2404" w:type="dxa"/>
            <w:vMerge w:val="restart"/>
            <w:tcBorders/>
          </w:tcPr>
          <w:p>
            <w:pPr>
              <w:pStyle w:val="Normal"/>
              <w:widowControl/>
              <w:bidi w:val="0"/>
              <w:spacing w:lineRule="auto" w:line="360"/>
              <w:ind w:end="-4815" w:hanging="0"/>
              <w:jc w:val="start"/>
              <w:rPr>
                <w:rFonts w:ascii="Calibri" w:hAnsi="Calibri" w:cs="Calibri" w:asciiTheme="minorHAnsi" w:cstheme="minorHAnsi" w:hAnsiTheme="minorHAnsi"/>
                <w:b/>
                <w:szCs w:val="24"/>
              </w:rPr>
            </w:pPr>
            <w:r>
              <w:rPr>
                <w:rFonts w:eastAsia="Times New Roman" w:cs="Calibri" w:ascii="Calibri" w:hAnsi="Calibri" w:asciiTheme="minorHAnsi" w:cstheme="minorHAnsi" w:hAnsiTheme="minorHAnsi"/>
                <w:b/>
                <w:kern w:val="0"/>
                <w:szCs w:val="24"/>
                <w:lang w:eastAsia="en-IE" w:bidi="ar-SA"/>
              </w:rPr>
              <w:t>FLUID</w:t>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Abdominal Fluid Culture</w:t>
            </w:r>
          </w:p>
        </w:tc>
        <w:tc>
          <w:tcPr>
            <w:tcW w:w="2410" w:type="dxa"/>
            <w:vMerge w:val="restart"/>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FLDCULT</w:t>
            </w:r>
          </w:p>
          <w:p>
            <w:pPr>
              <w:pStyle w:val="Normal"/>
              <w:widowControl/>
              <w:bidi w:val="0"/>
              <w:jc w:val="start"/>
              <w:rPr>
                <w:sz w:val="20"/>
              </w:rPr>
            </w:pPr>
            <w:r>
              <w:rPr>
                <w:rFonts w:eastAsia="Times New Roman" w:cs="Times New Roman" w:ascii="Times New Roman" w:hAnsi="Times New Roman"/>
                <w:kern w:val="0"/>
                <w:sz w:val="2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suppressAutoHyphens w:val="false"/>
              <w:bidi w:val="0"/>
              <w:jc w:val="start"/>
              <w:rPr>
                <w:rFonts w:ascii="Calibri" w:hAnsi="Calibri" w:cs="Calibri" w:asciiTheme="minorHAnsi" w:cstheme="minorHAnsi" w:hAnsiTheme="minorHAnsi"/>
                <w:color w:val="000000"/>
                <w:sz w:val="20"/>
              </w:rPr>
            </w:pPr>
            <w:r>
              <w:rPr>
                <w:rFonts w:eastAsia="Times New Roman" w:cs="Calibri" w:ascii="Calibri" w:hAnsi="Calibri" w:asciiTheme="minorHAnsi" w:cstheme="minorHAnsi" w:hAnsiTheme="minorHAnsi"/>
                <w:color w:val="000000"/>
                <w:kern w:val="0"/>
                <w:sz w:val="20"/>
                <w:szCs w:val="20"/>
                <w:lang w:eastAsia="en-IE" w:bidi="ar-SA"/>
              </w:rPr>
              <w:t>Ascitic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Bile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Drainage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Fluid/Aspirate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Joint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Pancreatic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Perfusion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Pericardial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Peritoneal Dialysis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Peritoneal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Pleural Fluid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Fluid Microscopy (Cell Count)</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restart"/>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SWAB</w:t>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color w:val="000000"/>
                <w:kern w:val="0"/>
                <w:sz w:val="20"/>
                <w:szCs w:val="20"/>
                <w:lang w:eastAsia="en-IE" w:bidi="ar-SA"/>
              </w:rPr>
              <w:t>Swab Culture</w:t>
            </w:r>
          </w:p>
        </w:tc>
        <w:tc>
          <w:tcPr>
            <w:tcW w:w="2410" w:type="dxa"/>
            <w:vMerge w:val="restart"/>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SWABCULT</w:t>
            </w:r>
          </w:p>
          <w:p>
            <w:pPr>
              <w:pStyle w:val="Normal"/>
              <w:widowControl/>
              <w:bidi w:val="0"/>
              <w:jc w:val="start"/>
              <w:rPr>
                <w:sz w:val="20"/>
              </w:rPr>
            </w:pPr>
            <w:r>
              <w:rPr>
                <w:rFonts w:eastAsia="Times New Roman" w:cs="Times New Roman" w:ascii="Times New Roman" w:hAnsi="Times New Roman"/>
                <w:kern w:val="0"/>
                <w:sz w:val="2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suppressAutoHyphens w:val="false"/>
              <w:bidi w:val="0"/>
              <w:jc w:val="start"/>
              <w:rPr>
                <w:rFonts w:ascii="Calibri" w:hAnsi="Calibri" w:cs="Calibri" w:asciiTheme="minorHAnsi" w:cstheme="minorHAnsi" w:hAnsiTheme="minorHAnsi"/>
                <w:color w:val="000000"/>
                <w:sz w:val="20"/>
              </w:rPr>
            </w:pPr>
            <w:r>
              <w:rPr>
                <w:rFonts w:eastAsia="Times New Roman" w:cs="Calibri" w:ascii="Calibri" w:hAnsi="Calibri" w:asciiTheme="minorHAnsi" w:cstheme="minorHAnsi" w:hAnsiTheme="minorHAnsi"/>
                <w:color w:val="000000"/>
                <w:kern w:val="0"/>
                <w:sz w:val="20"/>
                <w:szCs w:val="20"/>
                <w:lang w:eastAsia="en-IE" w:bidi="ar-SA"/>
              </w:rPr>
              <w:t>Wound Swab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kern w:val="0"/>
                <w:sz w:val="20"/>
                <w:szCs w:val="20"/>
                <w:lang w:eastAsia="en-IE" w:bidi="ar-SA"/>
              </w:rPr>
              <w:t>Eye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Calibri" w:ascii="Calibri" w:hAnsi="Calibri" w:asciiTheme="minorHAnsi" w:cstheme="minorHAnsi" w:hAnsiTheme="minorHAnsi"/>
                <w:kern w:val="0"/>
                <w:sz w:val="20"/>
                <w:szCs w:val="20"/>
                <w:lang w:eastAsia="en-IE" w:bidi="ar-SA"/>
              </w:rPr>
              <w:t>Ear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Mouth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Nasal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continue"/>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Pus Culture</w:t>
            </w:r>
          </w:p>
        </w:tc>
        <w:tc>
          <w:tcPr>
            <w:tcW w:w="2410" w:type="dxa"/>
            <w:vMerge w:val="continue"/>
            <w:tcBorders/>
          </w:tcPr>
          <w:p>
            <w:pPr>
              <w:pStyle w:val="Normal"/>
              <w:widowControl/>
              <w:bidi w:val="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kern w:val="0"/>
                <w:szCs w:val="20"/>
                <w:lang w:eastAsia="en-IE" w:bidi="ar-SA"/>
              </w:rPr>
            </w:r>
          </w:p>
        </w:tc>
      </w:tr>
      <w:tr>
        <w:trPr/>
        <w:tc>
          <w:tcPr>
            <w:tcW w:w="2404" w:type="dxa"/>
            <w:vMerge w:val="restart"/>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SCREEN</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MRSA Screen</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MRSA</w:t>
            </w:r>
          </w:p>
        </w:tc>
      </w:tr>
      <w:tr>
        <w:trPr/>
        <w:tc>
          <w:tcPr>
            <w:tcW w:w="2404" w:type="dxa"/>
            <w:vMerge w:val="continue"/>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VRE Screen</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VRE</w:t>
            </w:r>
          </w:p>
        </w:tc>
      </w:tr>
      <w:tr>
        <w:trPr/>
        <w:tc>
          <w:tcPr>
            <w:tcW w:w="2404" w:type="dxa"/>
            <w:vMerge w:val="continue"/>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CPE Molecular Screen</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CRE</w:t>
            </w:r>
          </w:p>
        </w:tc>
      </w:tr>
      <w:tr>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HVS</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High Vaginal Swab Culture</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HVS</w:t>
            </w:r>
          </w:p>
        </w:tc>
      </w:tr>
      <w:tr>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CSF</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CSF Culture Microscopy</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CSFCULT</w:t>
            </w:r>
          </w:p>
        </w:tc>
      </w:tr>
      <w:tr>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URINE</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Urine Culture with Microscopy</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URCULT</w:t>
            </w:r>
          </w:p>
        </w:tc>
      </w:tr>
      <w:tr>
        <w:trPr>
          <w:trHeight w:val="476" w:hRule="atLeast"/>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FAECES</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(Enteric Pathogens/Faeces Culture,</w:t>
            </w:r>
          </w:p>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C difficile Toxin PCR)</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FAECULT / CDTOX</w:t>
            </w:r>
          </w:p>
        </w:tc>
      </w:tr>
      <w:tr>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BLOOD CULTURE</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Blood Culture</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BLDCULT</w:t>
            </w:r>
          </w:p>
        </w:tc>
      </w:tr>
      <w:tr>
        <w:trPr/>
        <w:tc>
          <w:tcPr>
            <w:tcW w:w="2404" w:type="dxa"/>
            <w:tcBorders/>
          </w:tcPr>
          <w:p>
            <w:pPr>
              <w:pStyle w:val="Normal"/>
              <w:widowControl/>
              <w:bidi w:val="0"/>
              <w:spacing w:lineRule="auto" w:line="360"/>
              <w:ind w:end="-4815" w:hanging="0"/>
              <w:jc w:val="start"/>
              <w:rPr>
                <w:b/>
                <w:szCs w:val="24"/>
              </w:rPr>
            </w:pPr>
            <w:r>
              <w:rPr>
                <w:rFonts w:eastAsia="Times New Roman" w:cs="Times New Roman" w:ascii="Times New Roman" w:hAnsi="Times New Roman"/>
                <w:b/>
                <w:kern w:val="0"/>
                <w:szCs w:val="24"/>
                <w:lang w:eastAsia="en-IE" w:bidi="ar-SA"/>
              </w:rPr>
              <w:t>TB</w:t>
            </w:r>
          </w:p>
        </w:tc>
        <w:tc>
          <w:tcPr>
            <w:tcW w:w="3545"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TB Culture</w:t>
            </w:r>
          </w:p>
        </w:tc>
        <w:tc>
          <w:tcPr>
            <w:tcW w:w="2410" w:type="dxa"/>
            <w:tcBorders/>
          </w:tcPr>
          <w:p>
            <w:pPr>
              <w:pStyle w:val="Normal"/>
              <w:widowControl/>
              <w:bidi w:val="0"/>
              <w:spacing w:lineRule="auto" w:line="360"/>
              <w:ind w:end="-4815" w:hanging="0"/>
              <w:jc w:val="start"/>
              <w:rPr>
                <w:sz w:val="20"/>
              </w:rPr>
            </w:pPr>
            <w:r>
              <w:rPr>
                <w:rFonts w:eastAsia="Times New Roman" w:cs="Times New Roman" w:ascii="Times New Roman" w:hAnsi="Times New Roman"/>
                <w:kern w:val="0"/>
                <w:sz w:val="20"/>
                <w:szCs w:val="20"/>
                <w:lang w:eastAsia="en-IE" w:bidi="ar-SA"/>
              </w:rPr>
              <w:t>TBCULT</w:t>
            </w:r>
          </w:p>
        </w:tc>
      </w:tr>
    </w:tbl>
    <w:p>
      <w:pPr>
        <w:pStyle w:val="Normal"/>
        <w:widowControl w:val="false"/>
        <w:shd w:val="clear" w:color="auto" w:fill="FFFFFF"/>
        <w:tabs>
          <w:tab w:val="clear" w:pos="709"/>
          <w:tab w:val="left" w:pos="767" w:leader="none"/>
        </w:tabs>
        <w:suppressAutoHyphens w:val="false"/>
        <w:bidi w:val="0"/>
        <w:spacing w:before="0" w:after="120"/>
        <w:jc w:val="start"/>
        <w:rPr>
          <w:sz w:val="24"/>
          <w:szCs w:val="24"/>
        </w:rPr>
      </w:pPr>
      <w:r>
        <w:rPr>
          <w:sz w:val="24"/>
          <w:szCs w:val="24"/>
        </w:rPr>
      </w:r>
    </w:p>
    <w:p>
      <w:pPr>
        <w:pStyle w:val="Normal"/>
        <w:widowControl w:val="false"/>
        <w:shd w:val="clear" w:color="auto" w:fill="FFFFFF"/>
        <w:tabs>
          <w:tab w:val="clear" w:pos="709"/>
          <w:tab w:val="left" w:pos="767" w:leader="none"/>
        </w:tabs>
        <w:suppressAutoHyphens w:val="false"/>
        <w:bidi w:val="0"/>
        <w:spacing w:before="0" w:after="120"/>
        <w:jc w:val="start"/>
        <w:rPr>
          <w:sz w:val="24"/>
          <w:szCs w:val="24"/>
        </w:rPr>
      </w:pPr>
      <w:r>
        <w:rPr>
          <w:sz w:val="24"/>
          <w:szCs w:val="24"/>
        </w:rPr>
      </w:r>
    </w:p>
    <w:p>
      <w:pPr>
        <w:pStyle w:val="Normal"/>
        <w:widowControl w:val="false"/>
        <w:shd w:val="clear" w:color="auto" w:fill="FFFFFF"/>
        <w:tabs>
          <w:tab w:val="clear" w:pos="709"/>
          <w:tab w:val="left" w:pos="767" w:leader="none"/>
        </w:tabs>
        <w:suppressAutoHyphens w:val="false"/>
        <w:bidi w:val="0"/>
        <w:spacing w:before="0" w:after="120"/>
        <w:jc w:val="start"/>
        <w:rPr>
          <w:sz w:val="24"/>
          <w:szCs w:val="24"/>
        </w:rPr>
      </w:pPr>
      <w:r>
        <w:rPr>
          <w:sz w:val="24"/>
          <w:szCs w:val="24"/>
        </w:rPr>
      </w:r>
    </w:p>
    <w:p>
      <w:pPr>
        <w:pStyle w:val="Heading3"/>
        <w:numPr>
          <w:ilvl w:val="2"/>
          <w:numId w:val="1"/>
        </w:numPr>
        <w:shd w:val="clear" w:color="auto" w:fill="FFFFFF"/>
        <w:bidi w:val="0"/>
        <w:jc w:val="start"/>
        <w:rPr>
          <w:lang w:val="en-IE"/>
        </w:rPr>
      </w:pPr>
      <w:bookmarkStart w:id="10" w:name="_Toc309716574"/>
      <w:bookmarkStart w:id="11" w:name="_Toc192968412"/>
      <w:bookmarkStart w:id="12" w:name="_Toc309716573"/>
      <w:r>
        <w:rPr>
          <w:lang w:val="en-IE"/>
        </w:rPr>
        <w:t>General Notes</w:t>
      </w:r>
      <w:bookmarkEnd w:id="11"/>
      <w:bookmarkEnd w:id="12"/>
    </w:p>
    <w:p>
      <w:pPr>
        <w:pStyle w:val="Normal"/>
        <w:shd w:val="clear" w:color="auto" w:fill="FFFFFF"/>
        <w:bidi w:val="0"/>
        <w:jc w:val="start"/>
        <w:rPr/>
      </w:pPr>
      <w:r>
        <w:rPr/>
        <w:t>Contact details must be clearly supplied in order to enable our CMT to contact you for further queries surrounding any samples that may need to be referred to another centre for testing.</w:t>
      </w:r>
    </w:p>
    <w:p>
      <w:pPr>
        <w:pStyle w:val="Heading3"/>
        <w:numPr>
          <w:ilvl w:val="2"/>
          <w:numId w:val="1"/>
        </w:numPr>
        <w:shd w:val="clear" w:color="auto" w:fill="FFFFFF"/>
        <w:bidi w:val="0"/>
        <w:jc w:val="start"/>
        <w:rPr/>
      </w:pPr>
      <w:bookmarkStart w:id="13" w:name="_Toc309716574"/>
      <w:bookmarkStart w:id="14" w:name="_Toc192968413"/>
      <w:r>
        <w:rPr/>
        <w:t>Key Factors Affecting Turn Around Times:</w:t>
      </w:r>
      <w:bookmarkEnd w:id="13"/>
      <w:bookmarkEnd w:id="14"/>
    </w:p>
    <w:p>
      <w:pPr>
        <w:pStyle w:val="Normal"/>
        <w:shd w:val="clear" w:color="auto" w:fill="FFFFFF"/>
        <w:bidi w:val="0"/>
        <w:jc w:val="start"/>
        <w:rPr/>
      </w:pPr>
      <w:r>
        <w:rPr/>
        <w:t xml:space="preserve">The main reason for extended </w:t>
      </w:r>
      <w:r>
        <w:rPr>
          <w:rFonts w:cs="Tahoma"/>
        </w:rPr>
        <w:t>turn-around-times</w:t>
      </w:r>
      <w:r>
        <w:rPr/>
        <w:t xml:space="preserve"> in Microbiology is in the follow up of positive specimens. Microbial isolation and identification can be extensive in some instances, occasionally requiring referral of an isolate to a Reference Laboratory for typing or confirmation</w:t>
      </w:r>
      <w:r>
        <w:rPr>
          <w:lang w:val="en-IE"/>
        </w:rPr>
        <w:t xml:space="preserve">. </w:t>
      </w:r>
      <w:r>
        <w:rPr/>
        <w:t>The quoted turnaround times take this into account, but in many cases negative reports are available sooner.</w:t>
      </w:r>
    </w:p>
    <w:p>
      <w:pPr>
        <w:pStyle w:val="Normal"/>
        <w:shd w:val="clear" w:color="auto" w:fill="FFFFFF"/>
        <w:bidi w:val="0"/>
        <w:jc w:val="start"/>
        <w:rPr/>
      </w:pPr>
      <w:r>
        <w:rPr/>
      </w:r>
    </w:p>
    <w:p>
      <w:pPr>
        <w:pStyle w:val="Heading3"/>
        <w:numPr>
          <w:ilvl w:val="2"/>
          <w:numId w:val="1"/>
        </w:numPr>
        <w:shd w:val="clear" w:color="auto" w:fill="FFFFFF"/>
        <w:bidi w:val="0"/>
        <w:jc w:val="start"/>
        <w:rPr>
          <w:lang w:val="en-IE"/>
        </w:rPr>
      </w:pPr>
      <w:bookmarkStart w:id="15" w:name="_Toc192968414"/>
      <w:r>
        <w:rPr>
          <w:lang w:val="en-IE"/>
        </w:rPr>
        <w:t>Samples Sent to NVRL for Analysis</w:t>
      </w:r>
      <w:bookmarkEnd w:id="15"/>
    </w:p>
    <w:p>
      <w:pPr>
        <w:pStyle w:val="Normal"/>
        <w:shd w:val="clear" w:color="auto" w:fill="FFFFFF"/>
        <w:bidi w:val="0"/>
        <w:jc w:val="start"/>
        <w:rPr>
          <w:lang w:val="en-IE"/>
        </w:rPr>
      </w:pPr>
      <w:r>
        <w:rPr>
          <w:lang w:val="en-IE"/>
        </w:rPr>
        <w:t>Please refer to the NVRL user manual for information on range of tests available in the NVRL, the type of specimen required and turn around time information on these tests. Information available on www.nvrl.ie</w:t>
      </w:r>
    </w:p>
    <w:p>
      <w:pPr>
        <w:pStyle w:val="Heading4"/>
        <w:numPr>
          <w:ilvl w:val="3"/>
          <w:numId w:val="1"/>
        </w:numPr>
        <w:shd w:val="clear" w:color="auto" w:fill="FFFFFF"/>
        <w:bidi w:val="0"/>
        <w:jc w:val="start"/>
        <w:rPr>
          <w:lang w:val="en-IE"/>
        </w:rPr>
      </w:pPr>
      <w:r>
        <w:rPr>
          <w:lang w:val="en-IE"/>
        </w:rPr>
        <w:t>Notes on Samples Sent to the NVRL</w:t>
      </w:r>
    </w:p>
    <w:p>
      <w:pPr>
        <w:pStyle w:val="Normal"/>
        <w:shd w:val="clear" w:color="auto" w:fill="FFFFFF"/>
        <w:bidi w:val="0"/>
        <w:jc w:val="start"/>
        <w:rPr>
          <w:lang w:val="en-IE"/>
        </w:rPr>
      </w:pPr>
      <w:r>
        <w:rPr>
          <w:lang w:val="en-IE"/>
        </w:rPr>
        <w:t>•</w:t>
      </w:r>
      <w:r>
        <w:rPr>
          <w:lang w:val="en-IE"/>
        </w:rPr>
        <w:tab/>
        <w:t>For tests where clotted blood is required, one 10ml vial is the specimen of choice.</w:t>
      </w:r>
    </w:p>
    <w:p>
      <w:pPr>
        <w:pStyle w:val="Normal"/>
        <w:shd w:val="clear" w:color="auto" w:fill="FFFFFF"/>
        <w:bidi w:val="0"/>
        <w:jc w:val="start"/>
        <w:rPr>
          <w:lang w:val="en-IE"/>
        </w:rPr>
      </w:pPr>
      <w:r>
        <w:rPr>
          <w:lang w:val="en-IE"/>
        </w:rPr>
        <w:t>•</w:t>
      </w:r>
      <w:r>
        <w:rPr>
          <w:lang w:val="en-IE"/>
        </w:rPr>
        <w:tab/>
        <w:t>Results from the NVRL can be viewed on Powerchart. For results or enquiries, the NVRL can be contacted on 01 716 1354.  Address: UCD National Virus Reference Laboratory, University College Dublin, Belfield, Dublin 4.</w:t>
      </w:r>
    </w:p>
    <w:p>
      <w:pPr>
        <w:pStyle w:val="Normal"/>
        <w:shd w:val="clear" w:color="auto" w:fill="FFFFFF"/>
        <w:bidi w:val="0"/>
        <w:jc w:val="start"/>
        <w:rPr>
          <w:lang w:val="en-IE"/>
        </w:rPr>
      </w:pPr>
      <w:r>
        <w:rPr>
          <w:lang w:val="en-IE"/>
        </w:rPr>
        <w:t>•</w:t>
      </w:r>
      <w:r>
        <w:rPr>
          <w:lang w:val="en-IE"/>
        </w:rPr>
        <w:tab/>
        <w:t>Request forms can be printed on-line via the NVRL web site (www.nvrl.ie) – at ‘How do you send samples?’ prompt</w:t>
      </w:r>
    </w:p>
    <w:p>
      <w:pPr>
        <w:pStyle w:val="Heading3"/>
        <w:numPr>
          <w:ilvl w:val="2"/>
          <w:numId w:val="1"/>
        </w:numPr>
        <w:shd w:val="clear" w:color="auto" w:fill="FFFFFF"/>
        <w:bidi w:val="0"/>
        <w:jc w:val="start"/>
        <w:rPr/>
      </w:pPr>
      <w:bookmarkStart w:id="16" w:name="_Toc192968415"/>
      <w:r>
        <w:rPr/>
        <w:t>Abbreviations Used on Microbiology Reports</w:t>
      </w:r>
      <w:bookmarkEnd w:id="16"/>
    </w:p>
    <w:p>
      <w:pPr>
        <w:pStyle w:val="Normal"/>
        <w:shd w:val="clear" w:color="auto" w:fill="FFFFFF"/>
        <w:bidi w:val="0"/>
        <w:jc w:val="start"/>
        <w:rPr>
          <w:lang w:val="en-IE"/>
        </w:rPr>
      </w:pPr>
      <w:r>
        <w:rPr>
          <w:lang w:val="en-IE"/>
        </w:rPr>
        <w:t>CPE: Carbapenem resistant Enterobacterales</w:t>
      </w:r>
    </w:p>
    <w:p>
      <w:pPr>
        <w:pStyle w:val="Normal"/>
        <w:shd w:val="clear" w:color="auto" w:fill="FFFFFF"/>
        <w:bidi w:val="0"/>
        <w:jc w:val="start"/>
        <w:rPr>
          <w:lang w:val="en-IE"/>
        </w:rPr>
      </w:pPr>
      <w:r>
        <w:rPr>
          <w:lang w:val="en-IE"/>
        </w:rPr>
        <w:t>ESBL: Extended spectrum Beta-lactamase producers</w:t>
      </w:r>
    </w:p>
    <w:p>
      <w:pPr>
        <w:pStyle w:val="Normal"/>
        <w:shd w:val="clear" w:color="auto" w:fill="FFFFFF"/>
        <w:bidi w:val="0"/>
        <w:jc w:val="start"/>
        <w:rPr>
          <w:lang w:val="en-IE"/>
        </w:rPr>
      </w:pPr>
      <w:r>
        <w:rPr>
          <w:lang w:val="en-IE"/>
        </w:rPr>
        <w:t>MRSA: Methicillin resistant Staphylococcus aureus</w:t>
      </w:r>
    </w:p>
    <w:p>
      <w:pPr>
        <w:pStyle w:val="Normal"/>
        <w:shd w:val="clear" w:color="auto" w:fill="FFFFFF"/>
        <w:bidi w:val="0"/>
        <w:jc w:val="start"/>
        <w:rPr>
          <w:lang w:val="en-IE"/>
        </w:rPr>
      </w:pPr>
      <w:r>
        <w:rPr>
          <w:lang w:val="en-IE"/>
        </w:rPr>
        <w:t>VRE: Vancomycin resistant enterococci</w:t>
      </w:r>
    </w:p>
    <w:p>
      <w:pPr>
        <w:pStyle w:val="Normal"/>
        <w:shd w:val="clear" w:color="auto" w:fill="FFFFFF"/>
        <w:bidi w:val="0"/>
        <w:jc w:val="start"/>
        <w:rPr>
          <w:highlight w:val="lightGray"/>
          <w:lang w:val="en-IE"/>
        </w:rPr>
      </w:pPr>
      <w:r>
        <w:rPr>
          <w:highlight w:val="lightGray"/>
          <w:lang w:val="en-IE"/>
        </w:rPr>
        <w:t>MSSA: Methicillin sensitive Staphylococci</w:t>
      </w:r>
    </w:p>
    <w:p>
      <w:pPr>
        <w:pStyle w:val="Normal"/>
        <w:shd w:val="clear" w:color="auto" w:fill="FFFFFF"/>
        <w:bidi w:val="0"/>
        <w:jc w:val="start"/>
        <w:rPr>
          <w:lang w:val="en-IE"/>
        </w:rPr>
      </w:pPr>
      <w:r>
        <w:rPr>
          <w:highlight w:val="lightGray"/>
          <w:lang w:val="en-IE"/>
        </w:rPr>
        <w:t>CPO: Carbapenem Produccing Organism</w:t>
      </w:r>
    </w:p>
    <w:sectPr>
      <w:headerReference w:type="default" r:id="rId4"/>
      <w:headerReference w:type="first" r:id="rId5"/>
      <w:footerReference w:type="default" r:id="rId6"/>
      <w:footerReference w:type="first" r:id="rId7"/>
      <w:type w:val="nextPage"/>
      <w:pgSz w:orient="landscape" w:w="16838" w:h="11906"/>
      <w:pgMar w:left="1440" w:right="1440" w:gutter="0" w:header="720" w:top="1134" w:footer="720" w:bottom="777"/>
      <w:pgBorders w:display="allPages" w:offsetFrom="page">
        <w:top w:val="single" w:sz="48" w:space="24" w:color="00B050"/>
        <w:left w:val="single" w:sz="48" w:space="24" w:color="00B050"/>
        <w:bottom w:val="single" w:sz="48" w:space="24" w:color="00B050"/>
        <w:right w:val="single" w:sz="48" w:space="24" w:color="00B05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Arial MT">
    <w:charset w:val="01" w:characterSet="utf-8"/>
    <w:family w:val="roman"/>
    <w:pitch w:val="variable"/>
  </w:font>
  <w:font w:name="Albany">
    <w:altName w:val="Arial"/>
    <w:charset w:val="01" w:characterSet="utf-8"/>
    <w:family w:val="roman"/>
    <w:pitch w:val="variable"/>
  </w:font>
  <w:font w:name="Garamond">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29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29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566"/>
        </w:tabs>
        <w:ind w:start="566" w:hanging="283"/>
      </w:pPr>
      <w:rPr/>
    </w:lvl>
    <w:lvl w:ilvl="2">
      <w:start w:val="1"/>
      <w:numFmt w:val="decimal"/>
      <w:lvlText w:val="%3."/>
      <w:lvlJc w:val="start"/>
      <w:pPr>
        <w:tabs>
          <w:tab w:val="num" w:pos="849"/>
        </w:tabs>
        <w:ind w:start="849" w:hanging="283"/>
      </w:pPr>
      <w:rPr/>
    </w:lvl>
    <w:lvl w:ilvl="3">
      <w:start w:val="1"/>
      <w:numFmt w:val="decimal"/>
      <w:lvlText w:val="%4."/>
      <w:lvlJc w:val="start"/>
      <w:pPr>
        <w:tabs>
          <w:tab w:val="num" w:pos="1132"/>
        </w:tabs>
        <w:ind w:start="1132" w:hanging="283"/>
      </w:pPr>
      <w:rPr/>
    </w:lvl>
    <w:lvl w:ilvl="4">
      <w:start w:val="1"/>
      <w:numFmt w:val="decimal"/>
      <w:lvlText w:val="%5."/>
      <w:lvlJc w:val="start"/>
      <w:pPr>
        <w:tabs>
          <w:tab w:val="num" w:pos="1415"/>
        </w:tabs>
        <w:ind w:start="1415" w:hanging="283"/>
      </w:pPr>
      <w:rPr/>
    </w:lvl>
    <w:lvl w:ilvl="5">
      <w:start w:val="1"/>
      <w:numFmt w:val="decimal"/>
      <w:lvlText w:val="%6."/>
      <w:lvlJc w:val="start"/>
      <w:pPr>
        <w:tabs>
          <w:tab w:val="num" w:pos="1698"/>
        </w:tabs>
        <w:ind w:start="1698" w:hanging="283"/>
      </w:pPr>
      <w:rPr/>
    </w:lvl>
    <w:lvl w:ilvl="6">
      <w:start w:val="1"/>
      <w:numFmt w:val="decimal"/>
      <w:lvlText w:val="%7."/>
      <w:lvlJc w:val="start"/>
      <w:pPr>
        <w:tabs>
          <w:tab w:val="num" w:pos="1981"/>
        </w:tabs>
        <w:ind w:start="1981" w:hanging="283"/>
      </w:pPr>
      <w:rPr/>
    </w:lvl>
    <w:lvl w:ilvl="7">
      <w:start w:val="1"/>
      <w:numFmt w:val="decimal"/>
      <w:lvlText w:val="%8."/>
      <w:lvlJc w:val="start"/>
      <w:pPr>
        <w:tabs>
          <w:tab w:val="num" w:pos="2264"/>
        </w:tabs>
        <w:ind w:start="2264" w:hanging="283"/>
      </w:pPr>
      <w:rPr/>
    </w:lvl>
    <w:lvl w:ilvl="8">
      <w:start w:val="1"/>
      <w:numFmt w:val="decimal"/>
      <w:lvlText w:val="%9."/>
      <w:lvlJc w:val="start"/>
      <w:pPr>
        <w:tabs>
          <w:tab w:val="num" w:pos="2547"/>
        </w:tabs>
        <w:ind w:start="2547" w:hanging="283"/>
      </w:pPr>
      <w:rPr/>
    </w:lvl>
  </w:abstractNum>
  <w:abstractNum w:abstractNumId="4">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decimal"/>
      <w:lvlText w:val="%1."/>
      <w:lvlJc w:val="start"/>
      <w:pPr>
        <w:tabs>
          <w:tab w:val="num" w:pos="0"/>
        </w:tabs>
        <w:ind w:start="720" w:hanging="360"/>
      </w:pPr>
      <w:rPr>
        <w:i w:val="false"/>
        <w:b w:val="false"/>
        <w:rFonts w:cs="Times New Roman"/>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1"/>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character" w:styleId="BookTitle">
    <w:name w:val="Book Title"/>
    <w:qFormat/>
    <w:rPr>
      <w:rFonts w:ascii="Times New Roman Bold" w:hAnsi="Times New Roman Bold"/>
      <w:b/>
      <w:bCs/>
      <w:smallCaps/>
      <w:spacing w:val="5"/>
      <w:sz w:val="28"/>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ListParagraph">
    <w:name w:val="List Paragraph"/>
    <w:basedOn w:val="Normal"/>
    <w:qFormat/>
    <w:pPr>
      <w:ind w:start="720" w:hanging="0"/>
    </w:pPr>
    <w:rPr>
      <w:lang w:eastAsia="ar-SA"/>
    </w:rPr>
  </w:style>
  <w:style w:type="paragraph" w:styleId="TableParagraph">
    <w:name w:val="Table Paragraph"/>
    <w:basedOn w:val="Normal"/>
    <w:qFormat/>
    <w:pPr>
      <w:widowControl w:val="false"/>
      <w:suppressAutoHyphens w:val="false"/>
      <w:spacing w:before="36" w:after="0"/>
      <w:ind w:start="38" w:hanging="0"/>
      <w:jc w:val="start"/>
    </w:pPr>
    <w:rPr>
      <w:rFonts w:ascii="Arial MT" w:hAnsi="Arial MT" w:eastAsia="Arial MT" w:cs="Arial MT"/>
      <w:sz w:val="22"/>
      <w:szCs w:val="22"/>
      <w:lang w:val="en-US" w:eastAsia="en-US"/>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LibreOffice/7.5.4.2$MacOSX_X86_64 LibreOffice_project/36ccfdc35048b057fd9854c757a8b67ec53977b6</Application>
  <AppVersion>15.0000</AppVersion>
  <Pages>15</Pages>
  <Words>4732</Words>
  <Characters>25415</Characters>
  <CharactersWithSpaces>28676</CharactersWithSpaces>
  <Paragraphs>1535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2025-05-02T12:09:09Z</dcterms:created>
  <dc:creator/>
  <dc:description/>
  <dc:language>en-GB</dc:language>
  <cp:lastModifiedBy/>
  <dcterms:modified xsi:type="dcterms:W3CDTF">2025-05-02T12:10:49Z</dcterms:modified>
  <cp:revision>1</cp:revision>
  <dc:subject/>
  <dc:title/>
</cp:coreProperties>
</file>