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12.png" ContentType="image/png"/>
  <Override PartName="/word/media/image13.png" ContentType="image/png"/>
  <Override PartName="/word/media/image2.wmf" ContentType="image/x-wmf"/>
  <Override PartName="/word/media/image3.wmf" ContentType="image/x-wmf"/>
  <Override PartName="/word/media/image4.wmf" ContentType="image/x-wmf"/>
  <Override PartName="/word/media/image5.wmf" ContentType="image/x-wmf"/>
  <Override PartName="/word/media/image10.png" ContentType="image/png"/>
  <Override PartName="/word/media/image6.wmf" ContentType="image/x-wmf"/>
  <Override PartName="/word/media/image11.png" ContentType="image/png"/>
  <Override PartName="/word/media/image7.wmf" ContentType="image/x-wmf"/>
  <Override PartName="/word/media/image8.wmf" ContentType="image/x-wmf"/>
  <Override PartName="/word/media/image9.png" ContentType="image/png"/>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r>
    </w:p>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1"/>
        <w:numPr>
          <w:ilvl w:val="0"/>
          <w:numId w:val="25"/>
        </w:numPr>
        <w:shd w:val="clear" w:color="auto" w:fill="FFFFFF"/>
        <w:rPr>
          <w:lang w:val="en-IE"/>
        </w:rPr>
      </w:pPr>
      <w:bookmarkStart w:id="0" w:name="_Toc192968346"/>
      <w:r>
        <w:rPr>
          <w:lang w:val="en-IE"/>
        </w:rPr>
        <w:t>Laboratory Services Provided</w:t>
      </w:r>
      <w:bookmarkEnd w:id="0"/>
      <w:r>
        <w:rPr>
          <w:lang w:val="en-IE"/>
        </w:rPr>
        <w:t xml:space="preserve"> </w:t>
      </w:r>
    </w:p>
    <w:p>
      <w:pPr>
        <w:pStyle w:val="Heading2"/>
        <w:numPr>
          <w:ilvl w:val="1"/>
          <w:numId w:val="25"/>
        </w:numPr>
        <w:shd w:val="clear" w:color="auto" w:fill="FFFFFF"/>
        <w:rPr>
          <w:lang w:val="en-IE"/>
        </w:rPr>
      </w:pPr>
      <w:bookmarkStart w:id="1" w:name="_Toc192968347"/>
      <w:r>
        <w:rPr>
          <w:lang w:val="en-IE"/>
        </w:rPr>
        <w:t>General Information</w:t>
      </w:r>
      <w:bookmarkEnd w:id="1"/>
    </w:p>
    <w:p>
      <w:pPr>
        <w:pStyle w:val="Heading3"/>
        <w:numPr>
          <w:ilvl w:val="2"/>
          <w:numId w:val="25"/>
        </w:numPr>
        <w:shd w:val="clear" w:color="auto" w:fill="FFFFFF"/>
        <w:rPr>
          <w:lang w:val="en-IE"/>
        </w:rPr>
      </w:pPr>
      <w:bookmarkStart w:id="2" w:name="_Toc214093845"/>
      <w:bookmarkStart w:id="3" w:name="_Toc192968348"/>
      <w:bookmarkEnd w:id="2"/>
      <w:r>
        <w:rPr>
          <w:lang w:val="en-IE"/>
        </w:rPr>
        <w:t>Location of Department</w:t>
      </w:r>
      <w:bookmarkEnd w:id="3"/>
    </w:p>
    <w:p>
      <w:pPr>
        <w:pStyle w:val="Normal"/>
        <w:shd w:val="clear" w:color="auto" w:fill="FFFFFF"/>
        <w:rPr>
          <w:lang w:val="en-IE"/>
        </w:rPr>
      </w:pPr>
      <w:r>
        <w:rPr>
          <w:lang w:val="en-IE"/>
        </w:rPr>
        <w:t xml:space="preserve">The Clinical Directorate of Laboratory Medicine is located between the lower ground and ground floors of Beaumont Hospital.  </w:t>
        <w:br/>
      </w:r>
      <w:r>
        <w:rPr/>
        <w:t>The postal address of the Directorate is:</w:t>
      </w:r>
    </w:p>
    <w:p>
      <w:pPr>
        <w:pStyle w:val="Normal"/>
        <w:shd w:val="clear" w:color="auto" w:fill="FFFFFF"/>
        <w:spacing w:before="0" w:after="0"/>
        <w:ind w:start="720" w:hanging="0"/>
        <w:rPr/>
      </w:pPr>
      <w:r>
        <w:rPr/>
        <w:t>Clinical Directorate of Laboratory Medicine</w:t>
      </w:r>
    </w:p>
    <w:p>
      <w:pPr>
        <w:pStyle w:val="Normal"/>
        <w:shd w:val="clear" w:color="auto" w:fill="FFFFFF"/>
        <w:spacing w:before="0" w:after="0"/>
        <w:ind w:start="720" w:hanging="0"/>
        <w:rPr/>
      </w:pPr>
      <w:r>
        <w:rPr/>
        <w:t>Beaumont Hospital</w:t>
      </w:r>
    </w:p>
    <w:p>
      <w:pPr>
        <w:pStyle w:val="Normal"/>
        <w:shd w:val="clear" w:color="auto" w:fill="FFFFFF"/>
        <w:spacing w:before="0" w:after="0"/>
        <w:ind w:start="720" w:hanging="0"/>
        <w:rPr/>
      </w:pPr>
      <w:r>
        <w:rPr/>
        <w:t>PO Box 1297</w:t>
      </w:r>
    </w:p>
    <w:p>
      <w:pPr>
        <w:pStyle w:val="Normal"/>
        <w:shd w:val="clear" w:color="auto" w:fill="FFFFFF"/>
        <w:spacing w:before="0" w:after="0"/>
        <w:ind w:start="720" w:hanging="0"/>
        <w:rPr/>
      </w:pPr>
      <w:r>
        <w:rPr/>
        <w:t>Beaumont Road</w:t>
      </w:r>
    </w:p>
    <w:p>
      <w:pPr>
        <w:pStyle w:val="Normal"/>
        <w:shd w:val="clear" w:color="auto" w:fill="FFFFFF"/>
        <w:spacing w:before="0" w:after="0"/>
        <w:ind w:start="720" w:hanging="0"/>
        <w:rPr/>
      </w:pPr>
      <w:r>
        <w:rPr/>
        <w:t>Dublin 9</w:t>
      </w:r>
    </w:p>
    <w:p>
      <w:pPr>
        <w:pStyle w:val="Normal"/>
        <w:shd w:val="clear" w:color="auto" w:fill="FFFFFF"/>
        <w:spacing w:before="0" w:after="0"/>
        <w:ind w:start="720" w:hanging="0"/>
        <w:rPr/>
      </w:pPr>
      <w:r>
        <w:rPr/>
        <w:t>D09 V2N0</w:t>
      </w:r>
    </w:p>
    <w:p>
      <w:pPr>
        <w:pStyle w:val="Normal"/>
        <w:shd w:val="clear" w:color="auto" w:fill="FFFFFF"/>
        <w:rPr/>
      </w:pPr>
      <w:r>
        <w:rPr/>
        <w:t>Visitors to any laboratory should go to the Pathology Reception Office on the Lower Ground Floor. Staff at pathology reception will contact the Department and a member of staff will accompany them to the relevant Laboratory.</w:t>
      </w:r>
    </w:p>
    <w:p>
      <w:pPr>
        <w:pStyle w:val="Heading3"/>
        <w:numPr>
          <w:ilvl w:val="2"/>
          <w:numId w:val="25"/>
        </w:numPr>
        <w:shd w:val="clear" w:color="auto" w:fill="FFFFFF"/>
        <w:rPr>
          <w:lang w:val="en-IE"/>
        </w:rPr>
      </w:pPr>
      <w:bookmarkStart w:id="4" w:name="_Toc192968349"/>
      <w:bookmarkStart w:id="5" w:name="_Ref303076906"/>
      <w:r>
        <w:rPr>
          <w:lang w:val="en-IE"/>
        </w:rPr>
        <w:t>Contacting the Department/Telephone Numbers</w:t>
      </w:r>
      <w:bookmarkEnd w:id="4"/>
      <w:bookmarkEnd w:id="5"/>
    </w:p>
    <w:tbl>
      <w:tblPr>
        <w:tblW w:w="9928" w:type="dxa"/>
        <w:jc w:val="center"/>
        <w:tblInd w:w="0" w:type="dxa"/>
        <w:tblLayout w:type="fixed"/>
        <w:tblCellMar>
          <w:top w:w="0" w:type="dxa"/>
          <w:start w:w="5" w:type="dxa"/>
          <w:bottom w:w="0" w:type="dxa"/>
          <w:end w:w="5" w:type="dxa"/>
        </w:tblCellMar>
        <w:tblLook w:val="04a0" w:noVBand="1" w:noHBand="0" w:lastColumn="0" w:firstColumn="1" w:lastRow="0" w:firstRow="1"/>
      </w:tblPr>
      <w:tblGrid>
        <w:gridCol w:w="2670"/>
        <w:gridCol w:w="3283"/>
        <w:gridCol w:w="3975"/>
      </w:tblGrid>
      <w:tr>
        <w:trPr>
          <w:tblHeader w:val="true"/>
        </w:trPr>
        <w:tc>
          <w:tcPr>
            <w:tcW w:w="2670"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FUNCTION</w:t>
            </w:r>
          </w:p>
        </w:tc>
        <w:tc>
          <w:tcPr>
            <w:tcW w:w="3283"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CONTACT</w:t>
            </w:r>
          </w:p>
        </w:tc>
        <w:tc>
          <w:tcPr>
            <w:tcW w:w="3975"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TELEPHONE/ EMAIL</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Beaumont Hospital Reception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Switchboard</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01-8093000/8377755</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Directorate Management</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Clinical Director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01-8092644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Laboratory Manager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01-7977925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Business Manager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01-8092508</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Quality Management</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Quality Manager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01-8092978</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Blood Transfusion &amp; Haemovigilance</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Philip Murphy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01-8093382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John Quinn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Patrick Thornton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Haematology Registrar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276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SP Registrar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887</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For Out-Of- Hours Service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Contact Switch Board</w:t>
            </w:r>
          </w:p>
        </w:tc>
      </w:tr>
      <w:tr>
        <w:trPr>
          <w:trHeight w:val="80" w:hRule="atLeast"/>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Senior Medical Scientists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Senior Scientist with Responsibility for Quality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 xml:space="preserve">Routine Laboratory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01-8092705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 xml:space="preserve">On Call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252</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Haemovigilance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Haemovigilance Officers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 xml:space="preserve">01-8093334/2034 </w:t>
            </w:r>
          </w:p>
          <w:p>
            <w:pPr>
              <w:pStyle w:val="Normal"/>
              <w:widowControl w:val="false"/>
              <w:shd w:val="clear" w:color="auto" w:fill="FFFFFF"/>
              <w:spacing w:before="0" w:after="0"/>
              <w:jc w:val="center"/>
              <w:rPr>
                <w:lang w:val="en-IE"/>
              </w:rPr>
            </w:pPr>
            <w:r>
              <w:rPr>
                <w:lang w:val="en-IE"/>
              </w:rPr>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Haematology Department</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Appointments/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Haematology Secretary Office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01-8092655</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 email</w:t>
            </w:r>
          </w:p>
        </w:tc>
        <w:tc>
          <w:tcPr>
            <w:tcW w:w="7258"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IE"/>
              </w:rPr>
            </w:pPr>
            <w:r>
              <w:rPr>
                <w:szCs w:val="28"/>
                <w:lang w:val="en-IE"/>
              </w:rPr>
              <w:t>haematologyadmin@beaumont.ie</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color w:val="000000"/>
                <w:szCs w:val="28"/>
              </w:rPr>
              <w:t>3914/2674/2669/4075</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Pathology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01-8092690</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Philip Murphy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01-8093382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John Quinn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Patrick Thornton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Siobhan Glavey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Karl Ewins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01-8528832</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Jeremy Sargent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Elizabeth Smyth</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rHeight w:val="80" w:hRule="atLeast"/>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bookmarkStart w:id="6" w:name="_Toc256798669"/>
            <w:r>
              <w:rPr/>
              <w:t>Clinical Advice and Laboratory Test Interpretation</w:t>
            </w:r>
            <w:bookmarkEnd w:id="6"/>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Coleman. K. Byrne Unit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01-8092150/2622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Registrars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IE"/>
              </w:rPr>
              <w:t>Contactable through switch</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Senior House Officers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IE"/>
              </w:rPr>
              <w:t>Contactable through switch</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01-8092662</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Clinic</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Coleman. K. Byrne Unit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01-8092150/2622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Warfarin Clinic</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01-8092083/3982</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01-8092703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Coagulation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01-8092656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Flow Cytometry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01-8092763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Morphology</w:t>
            </w:r>
          </w:p>
          <w:p>
            <w:pPr>
              <w:pStyle w:val="Normal"/>
              <w:widowControl w:val="false"/>
              <w:shd w:val="clear" w:color="auto" w:fill="FFFFFF"/>
              <w:spacing w:before="0" w:after="0"/>
              <w:rPr/>
            </w:pPr>
            <w:r>
              <w:rPr/>
              <w:t>Special Haematology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01-8093226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Emergencies only/on-call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Bleep 852</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Immunology Department</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Departmental Secretary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01-8093026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Secretary to Prof. Keogan/</w:t>
            </w:r>
            <w:r>
              <w:rPr>
                <w:lang w:val="en-IE"/>
              </w:rPr>
              <w:t>Dr Khalib</w:t>
            </w:r>
            <w:r>
              <w:rPr/>
              <w:t>/Dr Cox</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 xml:space="preserve">Specialist Registrar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797</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 Information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Secretary to Prof. Keogan</w:t>
            </w:r>
            <w:r>
              <w:rPr>
                <w:lang w:val="en-IE"/>
              </w:rPr>
              <w:t>/Dr Khalib</w:t>
            </w:r>
            <w:r>
              <w:rPr/>
              <w:t>/Dr Cox</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Clinical Advice and Laboratory Test Interpretation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 xml:space="preserve">Specialist Registrar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Bleep 797</w:t>
            </w:r>
          </w:p>
          <w:p>
            <w:pPr>
              <w:pStyle w:val="Normal"/>
              <w:widowControl w:val="false"/>
              <w:shd w:val="clear" w:color="auto" w:fill="FFFFFF"/>
              <w:spacing w:before="0" w:after="0"/>
              <w:jc w:val="center"/>
              <w:rPr>
                <w:lang w:val="en-IE"/>
              </w:rPr>
            </w:pPr>
            <w:r>
              <w:rPr/>
              <w:t>immunologydepartment@beaumont.ie</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color w:val="000000"/>
                <w:szCs w:val="28"/>
              </w:rPr>
              <w:t>3914/2674/2669/4075</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Pathology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01-8092690</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01-8093174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Immunology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01-8092635/2421</w:t>
            </w:r>
          </w:p>
          <w:p>
            <w:pPr>
              <w:pStyle w:val="Normal"/>
              <w:widowControl w:val="false"/>
              <w:shd w:val="clear" w:color="auto" w:fill="FFFFFF"/>
              <w:spacing w:before="0" w:after="0"/>
              <w:jc w:val="center"/>
              <w:rPr>
                <w:lang w:val="en-IE"/>
              </w:rPr>
            </w:pPr>
            <w:r>
              <w:rPr>
                <w:lang w:val="en-IE"/>
              </w:rPr>
              <w:t>immunologylab@beaumont.ie</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bookmarkStart w:id="7" w:name="_Toc214093843"/>
            <w:r>
              <w:rPr>
                <w:rStyle w:val="BookTitle"/>
              </w:rPr>
              <w:t>Chemical Pathology Department</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Pathology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01-8092507/4674</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Test 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Pathology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01-8092507/4674</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Medical </w:t>
            </w:r>
            <w:r>
              <w:rPr>
                <w:lang w:val="en-IE"/>
              </w:rPr>
              <w:t>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Dr. Shari Srinivasan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01-8092676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Dr Clodagh Loughrey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 xml:space="preserve">01-8092035 </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Specialist Registrar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01-8092666</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 xml:space="preserve">Chief Medical Scientist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01-8092670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01-7977811</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General Clinical Biochemistry/Endocrinology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01-8092668/2704 or</w:t>
            </w:r>
          </w:p>
          <w:p>
            <w:pPr>
              <w:pStyle w:val="Normal"/>
              <w:widowControl w:val="false"/>
              <w:shd w:val="clear" w:color="auto" w:fill="FFFFFF"/>
              <w:spacing w:before="0" w:after="0"/>
              <w:jc w:val="center"/>
              <w:rPr>
                <w:lang w:val="en-IE"/>
              </w:rPr>
            </w:pPr>
            <w:r>
              <w:rPr>
                <w:lang w:val="en-IE"/>
              </w:rPr>
              <w:t>01/8528727</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Proteins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01-8092305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Mass Spectrometey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01-8092351or 01-7977333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 xml:space="preserve">Emergency (on-call) service </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251</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Microbiology Department</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All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Microbiology office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Microbiology office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bookmarkStart w:id="8" w:name="_Toc214093843"/>
            <w:r>
              <w:rPr/>
              <w:t>01-8092646</w:t>
            </w:r>
            <w:bookmarkEnd w:id="8"/>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Medical </w:t>
            </w:r>
            <w:r>
              <w:rPr>
                <w:lang w:val="en-IE"/>
              </w:rPr>
              <w:t>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B. Dinesh</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F. Fitzpatrick</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K. Burns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Dr. Ciara O’ Connor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lang w:val="en-IE"/>
              </w:rPr>
            </w:pPr>
            <w:r>
              <w:rPr>
                <w:lang w:val="en-IE"/>
              </w:rPr>
              <w:t>01-</w:t>
            </w:r>
            <w:r>
              <w:rPr/>
              <w:t>8092646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lang w:val="en-IE"/>
              </w:rPr>
            </w:pPr>
            <w:r>
              <w:rPr/>
              <w:t>Dr. Sinead O’ Donnell</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lang w:val="en-IE"/>
              </w:rPr>
            </w:pPr>
            <w:r>
              <w:rPr/>
              <w:t>01-809 2646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Dr. Helene McDermott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pPr>
            <w:r>
              <w:rPr/>
              <w:t>01-809 2646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Registrars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01 -8093320/3321/2667</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 of Hours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Through Switchboard</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Medical scientist on-call</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Through the switchboard  or bleep.</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869</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Scientific Queries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Microbiology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01-8092971</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Histopathology &amp; Cytopathology Department</w:t>
            </w:r>
          </w:p>
        </w:tc>
      </w:tr>
      <w:tr>
        <w:trPr/>
        <w:tc>
          <w:tcPr>
            <w:tcW w:w="2670" w:type="dxa"/>
            <w:vMerge w:val="restart"/>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US"/>
              </w:rPr>
              <w:t>General Enquiries</w:t>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Department Office</w:t>
            </w:r>
          </w:p>
        </w:tc>
        <w:tc>
          <w:tcPr>
            <w:tcW w:w="3975"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01-8092636/2353</w:t>
            </w:r>
          </w:p>
        </w:tc>
      </w:tr>
      <w:tr>
        <w:trPr/>
        <w:tc>
          <w:tcPr>
            <w:tcW w:w="2670"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Department Email</w:t>
            </w:r>
          </w:p>
        </w:tc>
        <w:tc>
          <w:tcPr>
            <w:tcW w:w="3975"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hyperlink r:id="rId2">
              <w:r>
                <w:rPr>
                  <w:rStyle w:val="InternetLink"/>
                  <w:lang w:val="en-IE"/>
                </w:rPr>
                <w:t>histo@beaumont.ie</w:t>
              </w:r>
            </w:hyperlink>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Clíona Ryan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01-80922284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Marie Staunton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01-8092997</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Anthony Dorman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01-8094242/ Bleep 4240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Prof Brendan Doyle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Anne Marie O’Shea</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01-8093910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Maeve Redmond</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01-8092998</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Helen Barrett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01-8092641</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Christian Gulmann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01-8092078</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Neil Pilson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01-8093986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Clive Kilgallen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01-8092284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Odharnaith O’Brien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01-8094218</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US"/>
              </w:rPr>
              <w:t>Dr. Laura Mc Kenna</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01-8093286</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01-8092555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Main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01-8092353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Specimen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01-8092659</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Cytology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Molecular Histopathology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01-8093726</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Histopathology Office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01-8092636/2632/3919/3150/2154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MDT Co-Ordinator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01-8092640</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Renal Pathology</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Anthony Dorman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01-8092644/ Bleep 322</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ProfBrendan Doyle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Renal Pathology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Dect Phone (01-8528633)</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Renal Pathology Secretary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01-8092765 (Dect phone)</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Neuropathology</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Jane Cryan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01-8093973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Francesca Brett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01-8093143/ Bleep 324</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Alan Beausang</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01-8092615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IE"/>
              </w:rPr>
            </w:pPr>
            <w:r>
              <w:rPr>
                <w:szCs w:val="28"/>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US"/>
              </w:rPr>
            </w:pPr>
            <w:r>
              <w:rPr>
                <w:szCs w:val="28"/>
                <w:lang w:val="en-US"/>
              </w:rPr>
              <w:t>Specialist Registrar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w:t>
            </w:r>
            <w:r>
              <w:rPr>
                <w:lang w:val="en-US"/>
              </w:rPr>
              <w:t>2706</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Senior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Senior Medical Scientist (CJD)</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01-8092633</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IE"/>
              </w:rPr>
              <w:t>Research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01-8092706/ 3798</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Brain Bank</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01-8092706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Molecular Neuropathology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01-8098452/8453</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Neuropathology Office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01-8092631/2072</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NHISSOT</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Enquirines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Main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01-8092661</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Main Laboratory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Molecular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01-8093955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Scientists Office</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01-8093238/2960</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Reporting Room</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01-8092651/4246</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Antibody Screening</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01-8094248</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 of Hours</w:t>
            </w:r>
          </w:p>
          <w:p>
            <w:pPr>
              <w:pStyle w:val="Normal"/>
              <w:widowControl w:val="false"/>
              <w:shd w:val="clear" w:color="auto" w:fill="FFFFFF"/>
              <w:spacing w:before="0" w:after="0"/>
              <w:rPr>
                <w:lang w:val="en-IE"/>
              </w:rPr>
            </w:pPr>
            <w:r>
              <w:rPr>
                <w:lang w:val="en-IE"/>
              </w:rPr>
              <w:t>Medical Scientist on duty</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On-call mobile: 087 2615 112</w:t>
            </w:r>
          </w:p>
          <w:p>
            <w:pPr>
              <w:pStyle w:val="Normal"/>
              <w:widowControl w:val="false"/>
              <w:shd w:val="clear" w:color="auto" w:fill="FFFFFF"/>
              <w:spacing w:before="0" w:after="0"/>
              <w:jc w:val="center"/>
              <w:rPr/>
            </w:pPr>
            <w:r>
              <w:rPr/>
              <w:t>Speed Dial: 70128</w:t>
            </w:r>
          </w:p>
        </w:tc>
      </w:tr>
      <w:tr>
        <w:trPr>
          <w:trHeight w:val="155" w:hRule="atLeast"/>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Email Addresses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enquires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crossmatch@beaumont.ie</w:t>
            </w:r>
          </w:p>
        </w:tc>
      </w:tr>
      <w:tr>
        <w:trPr>
          <w:trHeight w:val="155" w:hRule="atLeast"/>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Patient enquires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transplantlab@beaumont.ie</w:t>
            </w:r>
          </w:p>
        </w:tc>
      </w:tr>
      <w:tr>
        <w:trPr>
          <w:trHeight w:val="155" w:hRule="atLeast"/>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Post transplant enquires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posttransplant@beaumont.ie</w:t>
            </w:r>
          </w:p>
        </w:tc>
      </w:tr>
      <w:tr>
        <w:trPr>
          <w:trHeight w:val="155" w:hRule="atLeast"/>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Clinical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Consultant Immunologist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rHeight w:val="154" w:hRule="atLeast"/>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Out-of-hours</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Through Switchboard</w:t>
            </w:r>
          </w:p>
        </w:tc>
      </w:tr>
      <w:tr>
        <w:trPr/>
        <w:tc>
          <w:tcPr>
            <w:tcW w:w="2670" w:type="dxa"/>
            <w:vMerge w:val="restart"/>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t xml:space="preserve">Renal Transplant </w:t>
              <w:br/>
              <w:t>Co-Ordinators</w:t>
              <w:br/>
              <w:t>Beaumont Hospital</w:t>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Office</w:t>
            </w:r>
          </w:p>
        </w:tc>
        <w:tc>
          <w:tcPr>
            <w:tcW w:w="3975"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01-8092759</w:t>
            </w:r>
          </w:p>
        </w:tc>
      </w:tr>
      <w:tr>
        <w:trPr/>
        <w:tc>
          <w:tcPr>
            <w:tcW w:w="2670"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E-Mail</w:t>
            </w:r>
          </w:p>
        </w:tc>
        <w:tc>
          <w:tcPr>
            <w:tcW w:w="3975"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sz w:val="26"/>
                <w:szCs w:val="26"/>
                <w:lang w:val="en-IE"/>
              </w:rPr>
            </w:pPr>
            <w:hyperlink r:id="rId3">
              <w:r>
                <w:rPr>
                  <w:rStyle w:val="InternetLink"/>
                  <w:sz w:val="26"/>
                  <w:lang w:val="en-IE"/>
                </w:rPr>
                <w:t>transplantcoordina@beaumont.ie</w:t>
              </w:r>
            </w:hyperlink>
          </w:p>
        </w:tc>
      </w:tr>
      <w:tr>
        <w:trPr/>
        <w:tc>
          <w:tcPr>
            <w:tcW w:w="2670"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Urgent Call via Switch</w:t>
            </w:r>
          </w:p>
        </w:tc>
        <w:tc>
          <w:tcPr>
            <w:tcW w:w="3975"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01-809300/8377755</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Phlebotomy</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Pathology Reception</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809 2669 / 2674/2507</w:t>
            </w:r>
          </w:p>
        </w:tc>
      </w:tr>
      <w:tr>
        <w:trPr/>
        <w:tc>
          <w:tcPr>
            <w:tcW w:w="9928" w:type="dxa"/>
            <w:gridSpan w:val="3"/>
            <w:tcBorders>
              <w:top w:val="single" w:sz="4" w:space="0" w:color="000000"/>
              <w:start w:val="single" w:sz="4" w:space="0" w:color="000000"/>
              <w:bottom w:val="single" w:sz="4" w:space="0" w:color="000000"/>
              <w:end w:val="single" w:sz="4" w:space="0" w:color="000000"/>
            </w:tcBorders>
          </w:tcPr>
          <w:p>
            <w:pPr>
              <w:pStyle w:val="Normal"/>
              <w:widowControl w:val="false"/>
              <w:spacing w:beforeAutospacing="1" w:after="0"/>
              <w:jc w:val="center"/>
              <w:rPr>
                <w:rStyle w:val="BookTitle"/>
              </w:rPr>
            </w:pPr>
            <w:r>
              <w:rPr>
                <w:rStyle w:val="BookTitle"/>
              </w:rPr>
              <w:t>Near Patient Testing (NPT)</w:t>
            </w:r>
          </w:p>
        </w:tc>
      </w:tr>
      <w:tr>
        <w:trPr/>
        <w:tc>
          <w:tcPr>
            <w:tcW w:w="267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NPT Manager</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highlight w:val="lightGray"/>
                <w:lang w:val="en-IE"/>
              </w:rPr>
              <w:t>DECT 01-7977885</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NPT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highlight w:val="lightGray"/>
                <w:lang w:val="en-IE"/>
              </w:rPr>
            </w:pPr>
            <w:r>
              <w:rPr>
                <w:highlight w:val="lightGray"/>
                <w:lang w:val="en-IE"/>
              </w:rPr>
              <w:t>01-7974786</w:t>
            </w:r>
            <w:r>
              <w:rPr>
                <w:lang w:val="en-IE"/>
              </w:rPr>
              <w:t xml:space="preserve"> </w:t>
            </w:r>
          </w:p>
        </w:tc>
      </w:tr>
      <w:tr>
        <w:trPr/>
        <w:tc>
          <w:tcPr>
            <w:tcW w:w="267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Departmental Email</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POCT@beaumont.ie</w:t>
            </w:r>
          </w:p>
        </w:tc>
      </w:tr>
      <w:tr>
        <w:trPr/>
        <w:tc>
          <w:tcPr>
            <w:tcW w:w="9928" w:type="dxa"/>
            <w:gridSpan w:val="3"/>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rStyle w:val="BookTitle"/>
              </w:rPr>
              <w:t xml:space="preserve">Molecular </w:t>
            </w:r>
          </w:p>
        </w:tc>
      </w:tr>
      <w:tr>
        <w:trPr/>
        <w:tc>
          <w:tcPr>
            <w:tcW w:w="267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5" w:type="dxa"/>
            <w:tcBorders>
              <w:top w:val="single" w:sz="4" w:space="0" w:color="000000"/>
              <w:start w:val="single" w:sz="4" w:space="0" w:color="000000"/>
              <w:bottom w:val="single" w:sz="4" w:space="0" w:color="000000"/>
              <w:end w:val="single" w:sz="4" w:space="0" w:color="000000"/>
            </w:tcBorders>
          </w:tcPr>
          <w:p>
            <w:pPr>
              <w:pStyle w:val="Normal"/>
              <w:widowControl w:val="false"/>
              <w:rPr/>
            </w:pPr>
            <w:r>
              <w:rPr/>
              <w:t>01-8092856</w:t>
            </w:r>
          </w:p>
          <w:p>
            <w:pPr>
              <w:pStyle w:val="Normal"/>
              <w:widowControl w:val="false"/>
              <w:rPr>
                <w:rFonts w:cs="" w:cstheme="majorBidi"/>
              </w:rPr>
            </w:pPr>
            <w:r>
              <w:rPr/>
              <w:t>molecular@beaumont.ie</w:t>
            </w:r>
          </w:p>
          <w:p>
            <w:pPr>
              <w:pStyle w:val="Normal"/>
              <w:widowControl w:val="false"/>
              <w:shd w:val="clear" w:color="auto" w:fill="FFFFFF"/>
              <w:spacing w:before="0" w:after="0"/>
              <w:jc w:val="center"/>
              <w:rPr>
                <w:lang w:val="en-IE"/>
              </w:rPr>
            </w:pPr>
            <w:r>
              <w:rPr>
                <w:lang w:val="en-IE"/>
              </w:rPr>
            </w:r>
          </w:p>
        </w:tc>
      </w:tr>
    </w:tbl>
    <w:p>
      <w:pPr>
        <w:pStyle w:val="Normal"/>
        <w:shd w:val="clear" w:color="auto" w:fill="FFFFFF"/>
        <w:rPr>
          <w:lang w:val="en-IE"/>
        </w:rPr>
      </w:pPr>
      <w:r>
        <w:rPr>
          <w:lang w:val="en-IE"/>
        </w:rPr>
        <w:t>When contacting the laboratory regarding a specific patient it is essential to have the current patient Case Number (Episode Number) available as it is the only way that laboratory staff can access the patient file. The Patient History number is required for the Blood Transfusion Department</w:t>
      </w:r>
    </w:p>
    <w:p>
      <w:pPr>
        <w:pStyle w:val="Normal"/>
        <w:shd w:val="clear" w:color="auto" w:fill="FFFFFF"/>
        <w:rPr>
          <w:lang w:val="en-IE"/>
        </w:rPr>
      </w:pPr>
      <w:r>
        <w:rPr>
          <w:lang w:val="en-IE"/>
        </w:rPr>
        <w:t xml:space="preserve">Check the status of all orders on Powerchart prior to contacting the laboratories. </w:t>
        <w:br/>
        <w:t>Powerchart clearly indicates the status of a sample:</w:t>
      </w:r>
    </w:p>
    <w:p>
      <w:pPr>
        <w:pStyle w:val="Normal"/>
        <w:numPr>
          <w:ilvl w:val="0"/>
          <w:numId w:val="26"/>
        </w:numPr>
        <w:shd w:val="clear" w:color="auto" w:fill="FFFFFF"/>
        <w:spacing w:before="0" w:after="0"/>
        <w:ind w:start="714" w:hanging="357"/>
        <w:rPr>
          <w:lang w:val="en-IE"/>
        </w:rPr>
      </w:pPr>
      <w:r>
        <w:rPr>
          <w:lang w:val="en-IE"/>
        </w:rPr>
        <w:t>Awaiting Collection = not received by the laboratory</w:t>
      </w:r>
    </w:p>
    <w:p>
      <w:pPr>
        <w:pStyle w:val="Normal"/>
        <w:numPr>
          <w:ilvl w:val="0"/>
          <w:numId w:val="26"/>
        </w:numPr>
        <w:shd w:val="clear" w:color="auto" w:fill="FFFFFF"/>
        <w:spacing w:before="0" w:after="0"/>
        <w:ind w:start="714" w:hanging="357"/>
        <w:rPr>
          <w:lang w:val="en-IE"/>
        </w:rPr>
      </w:pPr>
      <w:r>
        <w:rPr>
          <w:lang w:val="en-IE"/>
        </w:rPr>
        <w:t>Received in Laboratory = Sample is in process.</w:t>
      </w:r>
    </w:p>
    <w:p>
      <w:pPr>
        <w:pStyle w:val="Normal"/>
        <w:numPr>
          <w:ilvl w:val="0"/>
          <w:numId w:val="26"/>
        </w:numPr>
        <w:shd w:val="clear" w:color="auto" w:fill="FFFFFF"/>
        <w:spacing w:before="0" w:after="0"/>
        <w:ind w:start="714" w:hanging="357"/>
        <w:rPr>
          <w:lang w:val="en-IE"/>
        </w:rPr>
      </w:pPr>
      <w:r>
        <w:rPr>
          <w:lang w:val="en-IE"/>
        </w:rPr>
        <w:t>Partial Result = Some tests have been completed.</w:t>
      </w:r>
    </w:p>
    <w:p>
      <w:pPr>
        <w:sectPr>
          <w:type w:val="nextPage"/>
          <w:pgSz w:w="11906" w:h="16838"/>
          <w:pgMar w:left="1134" w:right="1134" w:gutter="0" w:header="0" w:top="1134" w:footer="0" w:bottom="1134"/>
          <w:pgNumType w:fmt="decimal"/>
          <w:formProt w:val="false"/>
          <w:textDirection w:val="lrTb"/>
          <w:docGrid w:type="default" w:linePitch="312" w:charSpace="0"/>
        </w:sectPr>
        <w:pStyle w:val="Normal"/>
        <w:numPr>
          <w:ilvl w:val="0"/>
          <w:numId w:val="26"/>
        </w:numPr>
        <w:shd w:val="clear" w:color="auto" w:fill="FFFFFF"/>
        <w:spacing w:before="0" w:after="0"/>
        <w:ind w:start="714" w:hanging="357"/>
        <w:rPr>
          <w:lang w:val="en-IE"/>
        </w:rPr>
      </w:pPr>
      <w:r>
        <w:rPr>
          <w:lang w:val="en-IE"/>
        </w:rPr>
        <w:t>Order Complete = All test on the sample are complete.</w:t>
      </w:r>
      <w:r>
        <w:br w:type="page"/>
      </w:r>
    </w:p>
    <w:p>
      <w:pPr>
        <w:pStyle w:val="Heading3"/>
        <w:numPr>
          <w:ilvl w:val="2"/>
          <w:numId w:val="25"/>
        </w:numPr>
        <w:shd w:val="clear" w:color="auto" w:fill="FFFFFF"/>
        <w:rPr/>
      </w:pPr>
      <w:bookmarkStart w:id="9" w:name="_Toc192968350"/>
      <w:r>
        <w:rPr/>
        <w:t>Department Opening Hours</w:t>
      </w:r>
      <w:bookmarkEnd w:id="9"/>
    </w:p>
    <w:p>
      <w:pPr>
        <w:pStyle w:val="Normal"/>
        <w:shd w:val="clear" w:color="auto" w:fill="FFFFFF"/>
        <w:rPr/>
      </w:pPr>
      <w:r>
        <w:rPr/>
        <w:t>The Clinical Directorate of Laboratory Medicine is open 8am to 8pm, Monday to Friday.  There is a routine Saturday, 09.00 – 13.00.   A reduced service is offered between Christmas, New Year and Easter.</w:t>
      </w:r>
    </w:p>
    <w:p>
      <w:pPr>
        <w:pStyle w:val="Normal"/>
        <w:numPr>
          <w:ilvl w:val="0"/>
          <w:numId w:val="27"/>
        </w:numPr>
        <w:shd w:val="clear" w:color="auto" w:fill="FFFFFF"/>
        <w:rPr/>
      </w:pPr>
      <w:r>
        <w:rPr/>
        <w:t>Immunology laboratory hours are from 9.00 am to 5.00pm, on Monday to Friday.</w:t>
      </w:r>
    </w:p>
    <w:p>
      <w:pPr>
        <w:pStyle w:val="Normal"/>
        <w:numPr>
          <w:ilvl w:val="0"/>
          <w:numId w:val="28"/>
        </w:numPr>
        <w:rPr/>
      </w:pPr>
      <w:r>
        <w:rPr/>
        <w:t>Blood Transfusion laboratory routine hours are: 8am -5pm Monday to Friday and 9am-1pm on Saturday contactable on Ext. 2705. An Emergency On –Call service from 5pm -8am Monday to Friday and 1pm - 8am Saturday to Monday contactable on Bleep. 252</w:t>
      </w:r>
    </w:p>
    <w:p>
      <w:pPr>
        <w:pStyle w:val="Normal"/>
        <w:numPr>
          <w:ilvl w:val="0"/>
          <w:numId w:val="28"/>
        </w:numPr>
        <w:rPr/>
      </w:pPr>
      <w:r>
        <w:rPr/>
        <w:t>Chemical Pathology laboratory routine hours 8am to 8pm, Monday to Friday.  There is a routine Saturday service from 9am to 1pm.   An Emergency On –Call service from 8pm - 8am Monday to Friday and 1pm - Saturday to 8am Monday. Contactable on Bleep. 251. A reduced service is available on public holidays.</w:t>
      </w:r>
    </w:p>
    <w:p>
      <w:pPr>
        <w:pStyle w:val="NormalWeb"/>
        <w:numPr>
          <w:ilvl w:val="0"/>
          <w:numId w:val="27"/>
        </w:numPr>
        <w:shd w:val="clear" w:color="auto" w:fill="FFFFFF"/>
        <w:spacing w:beforeAutospacing="0" w:before="335" w:after="119"/>
        <w:ind w:start="360" w:end="-502" w:hanging="360"/>
        <w:rPr/>
      </w:pPr>
      <w:r>
        <w:rPr>
          <w:color w:val="333333"/>
          <w:sz w:val="28"/>
          <w:szCs w:val="28"/>
        </w:rPr>
        <w:t xml:space="preserve">Haematology Laboratory routine hours 8am to 8pm, Monday to Friday.  There is a routine Saturday, 09.00 – 13.00.   </w:t>
      </w:r>
      <w:r>
        <w:rPr>
          <w:color w:val="FF0000"/>
          <w:sz w:val="28"/>
          <w:szCs w:val="28"/>
        </w:rPr>
        <w:t>An Emergency On –Call</w:t>
      </w:r>
      <w:r>
        <w:rPr>
          <w:color w:val="333333"/>
          <w:sz w:val="28"/>
          <w:szCs w:val="28"/>
        </w:rPr>
        <w:t xml:space="preserve"> service from 8pm -8am Monday to Friday and 1pm - 8am Saturday to Monday. Contactable on Bleep. 852. A reduced service is offered between Christmas, New Year </w:t>
      </w:r>
      <w:r>
        <w:rPr>
          <w:color w:val="333333"/>
          <w:sz w:val="28"/>
          <w:szCs w:val="28"/>
          <w:highlight w:val="lightGray"/>
        </w:rPr>
        <w:t>&amp;</w:t>
      </w:r>
      <w:r>
        <w:rPr>
          <w:color w:val="333333"/>
          <w:sz w:val="28"/>
          <w:szCs w:val="28"/>
        </w:rPr>
        <w:t xml:space="preserve"> Easter</w:t>
      </w:r>
    </w:p>
    <w:p>
      <w:pPr>
        <w:pStyle w:val="Normal"/>
        <w:numPr>
          <w:ilvl w:val="0"/>
          <w:numId w:val="27"/>
        </w:numPr>
        <w:shd w:val="clear" w:color="auto" w:fill="FFFFFF"/>
        <w:rPr/>
      </w:pPr>
      <w:r>
        <w:rPr/>
        <w:t>Microbiology laboratory hours are from 8:00am to 8.00pm, on Monday to Fridays and 09:00am to 1.00pm on Saturdays. After 8pm on weekdays, and from 1pm Saturday until 8:00am Mondays, Microbiology provides emergency on-call service only. The medical scientist on-call may be bleeped at 869.</w:t>
      </w:r>
    </w:p>
    <w:p>
      <w:pPr>
        <w:pStyle w:val="Normal"/>
        <w:numPr>
          <w:ilvl w:val="0"/>
          <w:numId w:val="27"/>
        </w:numPr>
        <w:rPr/>
      </w:pPr>
      <w:r>
        <w:rPr>
          <w:lang w:val="en-US"/>
        </w:rPr>
        <w:t>Only a limited Histopathology/Cytopathology/Neuropathology service is provided between 5pm to 8am and scientists on call can be contacted through switch.</w:t>
      </w:r>
    </w:p>
    <w:p>
      <w:pPr>
        <w:pStyle w:val="Normal"/>
        <w:numPr>
          <w:ilvl w:val="0"/>
          <w:numId w:val="27"/>
        </w:numPr>
        <w:shd w:val="clear" w:color="auto" w:fill="FFFFFF"/>
        <w:rPr/>
      </w:pPr>
      <w:r>
        <w:rPr/>
        <w:t>NHISSOT Laboratory hours are from 8am to 6pm Monday to Friday.  After 6pm, it is an emergency on call service. The laboratory is closed on Saturday, Sunday and Bank Holidays</w:t>
      </w:r>
    </w:p>
    <w:p>
      <w:pPr>
        <w:pStyle w:val="Normal"/>
        <w:numPr>
          <w:ilvl w:val="0"/>
          <w:numId w:val="27"/>
        </w:numPr>
        <w:shd w:val="clear" w:color="auto" w:fill="FFFFFF"/>
        <w:rPr/>
      </w:pPr>
      <w:r>
        <w:rPr/>
        <w:t>Molecular Pathology Laboratory hours are from 8am to 5pm Monday to Friday. The laboratory does not operate at weekends/bank holidays.</w:t>
      </w:r>
    </w:p>
    <w:p>
      <w:pPr>
        <w:pStyle w:val="Normal"/>
        <w:numPr>
          <w:ilvl w:val="0"/>
          <w:numId w:val="27"/>
        </w:numPr>
        <w:shd w:val="clear" w:color="auto" w:fill="FFFFFF"/>
        <w:rPr/>
      </w:pPr>
      <w:r>
        <w:rPr/>
        <w:t xml:space="preserve">NPT hours are from 8am to 4pm Monday to Friday. </w:t>
      </w:r>
    </w:p>
    <w:p>
      <w:pPr>
        <w:pStyle w:val="Normal"/>
        <w:shd w:val="clear" w:color="auto" w:fill="FFFFFF"/>
        <w:rPr/>
      </w:pPr>
      <w:r>
        <w:rPr/>
        <w:t>There is no clerical support outside Monday to Friday 09:00-17:00</w:t>
      </w:r>
    </w:p>
    <w:p>
      <w:pPr>
        <w:pStyle w:val="Normal"/>
        <w:shd w:val="clear" w:color="auto" w:fill="FFFFFF"/>
        <w:rPr/>
      </w:pPr>
      <w:r>
        <w:rPr/>
        <w:t xml:space="preserve">Please ensure samples arrive in the laboratory as early as possible in the working day. </w:t>
      </w:r>
      <w:r>
        <w:br w:type="page"/>
      </w:r>
    </w:p>
    <w:p>
      <w:pPr>
        <w:pStyle w:val="Heading3"/>
        <w:numPr>
          <w:ilvl w:val="2"/>
          <w:numId w:val="25"/>
        </w:numPr>
        <w:shd w:val="clear" w:color="auto" w:fill="FFFFFF"/>
        <w:rPr>
          <w:lang w:val="en-US"/>
        </w:rPr>
      </w:pPr>
      <w:bookmarkStart w:id="10" w:name="_Toc356037806"/>
      <w:bookmarkStart w:id="11" w:name="_Toc192968351"/>
      <w:bookmarkStart w:id="12" w:name="_Toc368597266"/>
      <w:bookmarkEnd w:id="12"/>
      <w:r>
        <w:rPr>
          <w:lang w:val="en-US"/>
        </w:rPr>
        <w:t>Use of The Laboratory I.T. System:</w:t>
      </w:r>
      <w:bookmarkEnd w:id="11"/>
      <w:r>
        <w:rPr>
          <w:lang w:val="en-US"/>
        </w:rPr>
        <w:t xml:space="preserve"> </w:t>
      </w:r>
      <w:bookmarkEnd w:id="10"/>
    </w:p>
    <w:p>
      <w:pPr>
        <w:pStyle w:val="Normal"/>
        <w:shd w:val="clear" w:color="auto" w:fill="FFFFFF"/>
        <w:rPr/>
      </w:pPr>
      <w:r>
        <w:rPr/>
        <w:t>The Powerchart system is used in Beaumont Hospital to access the laboratory service. Powerchart gives a user friendly image of the laboratory system such that what is seen on Powerchart is identical to what is seen in the laboratory system.</w:t>
      </w:r>
    </w:p>
    <w:p>
      <w:pPr>
        <w:pStyle w:val="Normal"/>
        <w:shd w:val="clear" w:color="auto" w:fill="FFFFFF"/>
        <w:jc w:val="start"/>
        <w:rPr/>
      </w:pPr>
      <w:r>
        <w:rPr/>
        <w:br/>
        <w:t>Access to the Powerchart (</w:t>
      </w:r>
      <w:r>
        <w:rPr>
          <w:highlight w:val="lightGray"/>
        </w:rPr>
        <w:t>Lab Ordering and Results icon</w:t>
      </w:r>
      <w:r>
        <w:rPr/>
        <w:t>) system is password protected and passwords are only granted when training has been completed.</w:t>
        <w:br/>
        <w:t>Contact the IT department with regard to training issues, 2550.</w:t>
      </w:r>
    </w:p>
    <w:p>
      <w:pPr>
        <w:pStyle w:val="Normal"/>
        <w:shd w:val="clear" w:color="auto" w:fill="FFFFFF"/>
        <w:jc w:val="start"/>
        <w:rPr/>
      </w:pPr>
      <w:r>
        <w:rPr/>
      </w:r>
    </w:p>
    <w:p>
      <w:pPr>
        <w:pStyle w:val="Heading4"/>
        <w:numPr>
          <w:ilvl w:val="3"/>
          <w:numId w:val="25"/>
        </w:numPr>
        <w:shd w:val="clear" w:color="auto" w:fill="FFFFFF"/>
        <w:rPr>
          <w:lang w:val="en-US"/>
        </w:rPr>
      </w:pPr>
      <w:bookmarkStart w:id="13" w:name="_Toc356037807"/>
      <w:r>
        <w:rPr>
          <w:lang w:val="en-US"/>
        </w:rPr>
        <w:t>Ordering</w:t>
      </w:r>
      <w:bookmarkEnd w:id="13"/>
    </w:p>
    <w:p>
      <w:pPr>
        <w:pStyle w:val="Normal"/>
        <w:shd w:val="clear" w:color="auto" w:fill="FFFFFF"/>
        <w:rPr/>
      </w:pPr>
      <w:r>
        <w:rPr/>
        <w:t xml:space="preserve">Ordering is electronic at ward level. Patient requests are placed on Powerchart and any specific requirements with regard to timings, fasting, foil covering, labile samples, special requirements regarding ice or days/times that samples cannot be drawn are specified on the computer screen within the order. When all orders have been placed and updated, the patient barcode labels are printed.  Routine orders are gathered for the phlebotomy rounds, routine requests must be placed before midnight for phlebotomy draw the next day. </w:t>
      </w:r>
    </w:p>
    <w:p>
      <w:pPr>
        <w:pStyle w:val="Normal"/>
        <w:shd w:val="clear" w:color="auto" w:fill="FFFFFF"/>
        <w:rPr/>
      </w:pPr>
      <w:r>
        <w:rPr/>
        <w:t xml:space="preserve">Draw one sample per barcode label. The barcode label gives all the required information with regard to sample type on the </w:t>
      </w:r>
      <w:r>
        <w:rPr>
          <w:highlight w:val="lightGray"/>
        </w:rPr>
        <w:t>lower left</w:t>
      </w:r>
      <w:r>
        <w:rPr/>
        <w:t xml:space="preserve"> hand corner of the label. In some cases this is replaced by a reference to special requirements for sample collection. </w:t>
      </w:r>
    </w:p>
    <w:p>
      <w:pPr>
        <w:pStyle w:val="Normal"/>
        <w:shd w:val="clear" w:color="auto" w:fill="FFFFFF"/>
        <w:rPr/>
      </w:pPr>
      <w:r>
        <w:rPr/>
        <w:t>All commonly requested tests are available to order on Powerchart, including tests that are referred externally for analysis. As some analytes are labile or require special processing conditions they can only be accepted in the laboratory Monday to Friday 9am to 5pm, see specific details when the order is placed on Powerchart. Samples that required shipping outside Ireland, with limited stability are normally only accepted Monday to Wednesday. Samples shipped on a Thursday are only dispatched if clinically urgent and can be repeated, as if there is any transport delay, referral sites will not accept samples on a Saturday/Sunday or Public Holiday.</w:t>
      </w:r>
    </w:p>
    <w:p>
      <w:pPr>
        <w:pStyle w:val="Normal"/>
        <w:shd w:val="clear" w:color="auto" w:fill="FFFFFF"/>
        <w:rPr/>
      </w:pPr>
      <w:r>
        <w:rPr/>
        <w:t>Urine orders may print more than one label depending on the combination of orders placed; multiple labels may be attached to a single 24 hour collection provided the sample type indicated on the upper right hand corner is the same on each label.</w:t>
      </w:r>
    </w:p>
    <w:p>
      <w:pPr>
        <w:pStyle w:val="Normal"/>
        <w:shd w:val="clear" w:color="auto" w:fill="FFFFFF"/>
        <w:rPr/>
      </w:pPr>
      <w:r>
        <w:rPr/>
        <w:t xml:space="preserve">Contact the laboratory for instructions on how to order rare/esoteric test requests that are not available to order on Powerchart. </w:t>
      </w:r>
    </w:p>
    <w:p>
      <w:pPr>
        <w:pStyle w:val="Heading4"/>
        <w:numPr>
          <w:ilvl w:val="3"/>
          <w:numId w:val="25"/>
        </w:numPr>
        <w:rPr>
          <w:lang w:val="en-US"/>
        </w:rPr>
      </w:pPr>
      <w:bookmarkStart w:id="14" w:name="_Toc390169114"/>
      <w:r>
        <w:rPr/>
        <w:t>Order-com</w:t>
      </w:r>
      <w:r>
        <w:rPr>
          <w:lang w:val="en-US"/>
        </w:rPr>
        <w:t xml:space="preserve"> Sample Label</w:t>
      </w:r>
      <w:bookmarkEnd w:id="14"/>
    </w:p>
    <w:p>
      <w:pPr>
        <w:pStyle w:val="Normal"/>
        <w:rPr>
          <w:lang w:val="en-US"/>
        </w:rPr>
      </w:pPr>
      <w:r>
        <w:rPr>
          <w:lang w:val="en-US"/>
        </w:rPr>
        <w:t>The label contains the following information:</w:t>
      </w:r>
    </w:p>
    <w:p>
      <w:pPr>
        <w:pStyle w:val="ListParagraph"/>
        <w:numPr>
          <w:ilvl w:val="0"/>
          <w:numId w:val="29"/>
        </w:numPr>
        <w:spacing w:before="0" w:after="0"/>
        <w:jc w:val="start"/>
        <w:rPr>
          <w:lang w:val="en-US"/>
        </w:rPr>
      </w:pPr>
      <w:r>
        <w:rPr>
          <w:lang w:val="en-US"/>
        </w:rPr>
        <w:t>Surname</w:t>
      </w:r>
    </w:p>
    <w:p>
      <w:pPr>
        <w:pStyle w:val="ListParagraph"/>
        <w:numPr>
          <w:ilvl w:val="0"/>
          <w:numId w:val="29"/>
        </w:numPr>
        <w:spacing w:before="0" w:after="0"/>
        <w:jc w:val="start"/>
        <w:rPr>
          <w:lang w:val="en-US"/>
        </w:rPr>
      </w:pPr>
      <w:r>
        <w:rPr>
          <w:lang w:val="en-US"/>
        </w:rPr>
        <w:t>First name</w:t>
      </w:r>
    </w:p>
    <w:p>
      <w:pPr>
        <w:pStyle w:val="ListParagraph"/>
        <w:numPr>
          <w:ilvl w:val="0"/>
          <w:numId w:val="29"/>
        </w:numPr>
        <w:spacing w:before="0" w:after="0"/>
        <w:jc w:val="start"/>
        <w:rPr>
          <w:lang w:val="en-US"/>
        </w:rPr>
      </w:pPr>
      <w:r>
        <w:rPr>
          <w:highlight w:val="lightGray"/>
          <w:lang w:val="en-US"/>
        </w:rPr>
        <w:t>MRN</w:t>
      </w:r>
      <w:r>
        <w:rPr>
          <w:lang w:val="en-US"/>
        </w:rPr>
        <w:t xml:space="preserve"> number</w:t>
      </w:r>
    </w:p>
    <w:p>
      <w:pPr>
        <w:pStyle w:val="ListParagraph"/>
        <w:numPr>
          <w:ilvl w:val="0"/>
          <w:numId w:val="29"/>
        </w:numPr>
        <w:spacing w:before="0" w:after="0"/>
        <w:jc w:val="start"/>
        <w:rPr>
          <w:highlight w:val="lightGray"/>
          <w:lang w:val="en-US"/>
        </w:rPr>
      </w:pPr>
      <w:r>
        <w:rPr>
          <w:highlight w:val="lightGray"/>
          <w:lang w:val="en-US"/>
        </w:rPr>
        <w:t>Accession number</w:t>
      </w:r>
    </w:p>
    <w:p>
      <w:pPr>
        <w:pStyle w:val="ListParagraph"/>
        <w:numPr>
          <w:ilvl w:val="0"/>
          <w:numId w:val="29"/>
        </w:numPr>
        <w:spacing w:before="0" w:after="0"/>
        <w:jc w:val="start"/>
        <w:rPr>
          <w:lang w:val="en-US"/>
        </w:rPr>
      </w:pPr>
      <w:r>
        <w:rPr>
          <w:lang w:val="en-US"/>
        </w:rPr>
        <w:t xml:space="preserve"> </w:t>
      </w:r>
      <w:r>
        <w:rPr>
          <w:highlight w:val="lightGray"/>
          <w:lang w:val="en-US"/>
        </w:rPr>
        <w:t>Anticoagulant</w:t>
      </w:r>
      <w:r>
        <w:rPr>
          <w:lang w:val="en-US"/>
        </w:rPr>
        <w:t xml:space="preserve"> Ward/ department</w:t>
      </w:r>
    </w:p>
    <w:p>
      <w:pPr>
        <w:pStyle w:val="ListParagraph"/>
        <w:numPr>
          <w:ilvl w:val="0"/>
          <w:numId w:val="29"/>
        </w:numPr>
        <w:spacing w:before="0" w:after="0"/>
        <w:jc w:val="start"/>
        <w:rPr>
          <w:lang w:val="en-US"/>
        </w:rPr>
      </w:pPr>
      <w:r>
        <w:rPr>
          <w:lang w:val="en-US"/>
        </w:rPr>
        <w:t>Date of Birth</w:t>
      </w:r>
    </w:p>
    <w:p>
      <w:pPr>
        <w:pStyle w:val="ListParagraph"/>
        <w:numPr>
          <w:ilvl w:val="0"/>
          <w:numId w:val="29"/>
        </w:numPr>
        <w:spacing w:before="0" w:after="0"/>
        <w:jc w:val="start"/>
        <w:rPr>
          <w:lang w:val="en-US"/>
        </w:rPr>
      </w:pPr>
      <w:r>
        <w:rPr>
          <w:lang w:val="en-US"/>
        </w:rPr>
        <w:t xml:space="preserve">Date/time label printed </w:t>
      </w:r>
    </w:p>
    <w:p>
      <w:pPr>
        <w:pStyle w:val="ListParagraph"/>
        <w:numPr>
          <w:ilvl w:val="0"/>
          <w:numId w:val="29"/>
        </w:numPr>
        <w:spacing w:before="0" w:after="0"/>
        <w:jc w:val="start"/>
        <w:rPr>
          <w:lang w:val="en-US"/>
        </w:rPr>
      </w:pPr>
      <w:r>
        <w:rPr>
          <w:lang w:val="en-US"/>
        </w:rPr>
        <w:t>Routine or Stat request</w:t>
      </w:r>
    </w:p>
    <w:p>
      <w:pPr>
        <w:pStyle w:val="ListParagraph"/>
        <w:numPr>
          <w:ilvl w:val="0"/>
          <w:numId w:val="29"/>
        </w:numPr>
        <w:spacing w:before="0" w:after="0"/>
        <w:jc w:val="start"/>
        <w:rPr>
          <w:lang w:val="en-US"/>
        </w:rPr>
      </w:pPr>
      <w:r>
        <w:rPr>
          <w:lang w:val="en-US"/>
        </w:rPr>
        <w:t>M/F Male or Female</w:t>
      </w:r>
    </w:p>
    <w:p>
      <w:pPr>
        <w:pStyle w:val="ListParagraph"/>
        <w:numPr>
          <w:ilvl w:val="0"/>
          <w:numId w:val="29"/>
        </w:numPr>
        <w:spacing w:before="0" w:after="0"/>
        <w:jc w:val="start"/>
        <w:rPr>
          <w:lang w:val="en-US"/>
        </w:rPr>
      </w:pPr>
      <w:r>
        <w:rPr>
          <w:highlight w:val="lightGray"/>
          <w:lang w:val="en-US"/>
        </w:rPr>
        <w:t>Bench routed in MedLIS</w:t>
      </w:r>
      <w:r>
        <w:rPr>
          <w:lang w:val="en-US"/>
        </w:rPr>
        <w:t xml:space="preserve">  </w:t>
      </w:r>
    </w:p>
    <w:p>
      <w:pPr>
        <w:pStyle w:val="ListParagraph"/>
        <w:numPr>
          <w:ilvl w:val="0"/>
          <w:numId w:val="29"/>
        </w:numPr>
        <w:spacing w:before="0" w:after="0"/>
        <w:jc w:val="start"/>
        <w:rPr>
          <w:lang w:val="en-US"/>
        </w:rPr>
      </w:pPr>
      <w:r>
        <w:rPr>
          <w:lang w:val="en-US"/>
        </w:rPr>
        <w:t>Mnemonic for test*</w:t>
      </w:r>
    </w:p>
    <w:p>
      <w:pPr>
        <w:pStyle w:val="Normal"/>
        <w:spacing w:before="0" w:after="0"/>
        <w:ind w:start="1080" w:hanging="0"/>
        <w:jc w:val="start"/>
        <w:rPr>
          <w:lang w:val="en-US"/>
        </w:rPr>
      </w:pPr>
      <w:r>
        <w:rPr>
          <w:lang w:val="en-US"/>
        </w:rPr>
      </w:r>
    </w:p>
    <w:p>
      <w:pPr>
        <w:pStyle w:val="Heading4"/>
        <w:numPr>
          <w:ilvl w:val="3"/>
          <w:numId w:val="25"/>
        </w:numPr>
        <w:shd w:val="clear" w:color="auto" w:fill="FFFFFF"/>
        <w:rPr/>
      </w:pPr>
      <w:r>
        <w:rPr/>
        <w:t>Haematology Requests</w:t>
      </w:r>
    </w:p>
    <w:p>
      <w:pPr>
        <w:pStyle w:val="Normal"/>
        <w:shd w:val="clear" w:color="auto" w:fill="FFFFFF"/>
        <w:rPr>
          <w:szCs w:val="28"/>
        </w:rPr>
      </w:pPr>
      <w:r>
        <w:rPr>
          <w:b/>
          <w:szCs w:val="28"/>
        </w:rPr>
        <w:t>HbA</w:t>
      </w:r>
      <w:r>
        <w:rPr>
          <w:b/>
          <w:szCs w:val="28"/>
          <w:vertAlign w:val="subscript"/>
        </w:rPr>
        <w:t>1</w:t>
      </w:r>
      <w:r>
        <w:rPr>
          <w:b/>
          <w:szCs w:val="28"/>
        </w:rPr>
        <w:t xml:space="preserve">c </w:t>
      </w:r>
      <w:r>
        <w:rPr>
          <w:szCs w:val="28"/>
        </w:rPr>
        <w:t>is analysed in the Chemical Pathology Laboratory. Patients requiring a FBC and HbA</w:t>
      </w:r>
      <w:r>
        <w:rPr>
          <w:szCs w:val="28"/>
          <w:vertAlign w:val="subscript"/>
        </w:rPr>
        <w:t>1</w:t>
      </w:r>
      <w:r>
        <w:rPr>
          <w:szCs w:val="28"/>
        </w:rPr>
        <w:t xml:space="preserve">c will require </w:t>
      </w:r>
      <w:r>
        <w:rPr>
          <w:b/>
          <w:szCs w:val="28"/>
        </w:rPr>
        <w:t>2</w:t>
      </w:r>
      <w:r>
        <w:rPr>
          <w:szCs w:val="28"/>
        </w:rPr>
        <w:t xml:space="preserve"> EDTA 2.6mL samples sent with the test requests.</w:t>
      </w:r>
    </w:p>
    <w:p>
      <w:pPr>
        <w:pStyle w:val="Normal"/>
        <w:shd w:val="clear" w:color="auto" w:fill="FFFFFF"/>
        <w:rPr>
          <w:szCs w:val="28"/>
        </w:rPr>
      </w:pPr>
      <w:r>
        <w:rPr>
          <w:b/>
          <w:szCs w:val="28"/>
        </w:rPr>
        <w:t xml:space="preserve">INR </w:t>
      </w:r>
      <w:r>
        <w:rPr>
          <w:szCs w:val="28"/>
        </w:rPr>
        <w:t>only should be requested for patients on Warfarin therapy and not a COAG screen.</w:t>
      </w:r>
    </w:p>
    <w:p>
      <w:pPr>
        <w:pStyle w:val="Normal"/>
        <w:shd w:val="clear" w:color="auto" w:fill="FFFFFF"/>
        <w:rPr/>
      </w:pPr>
      <w:r>
        <w:rPr/>
        <w:t xml:space="preserve">New </w:t>
      </w:r>
      <w:r>
        <w:rPr>
          <w:b/>
        </w:rPr>
        <w:t>CD4</w:t>
      </w:r>
      <w:r>
        <w:rPr/>
        <w:t xml:space="preserve"> Patients that require </w:t>
      </w:r>
      <w:r>
        <w:rPr>
          <w:b/>
        </w:rPr>
        <w:t>G6PD</w:t>
      </w:r>
      <w:r>
        <w:rPr/>
        <w:t xml:space="preserve">: These require </w:t>
      </w:r>
      <w:r>
        <w:rPr>
          <w:b/>
        </w:rPr>
        <w:t>2</w:t>
      </w:r>
      <w:r>
        <w:rPr/>
        <w:t xml:space="preserve"> EDTA 2.6mL samples. If only one sample is received, the G6PD assay will be performed and a repeat sample will be required for the CD4.</w:t>
      </w:r>
    </w:p>
    <w:p>
      <w:pPr>
        <w:pStyle w:val="Heading4"/>
        <w:numPr>
          <w:ilvl w:val="3"/>
          <w:numId w:val="25"/>
        </w:numPr>
        <w:shd w:val="clear" w:color="auto" w:fill="FFFFFF"/>
        <w:rPr>
          <w:lang w:val="en-US"/>
        </w:rPr>
      </w:pPr>
      <w:bookmarkStart w:id="15" w:name="_Toc356037808"/>
      <w:r>
        <w:rPr>
          <w:lang w:val="en-US"/>
        </w:rPr>
        <w:t>Microbiology Requests</w:t>
      </w:r>
    </w:p>
    <w:p>
      <w:pPr>
        <w:pStyle w:val="Normal"/>
        <w:numPr>
          <w:ilvl w:val="0"/>
          <w:numId w:val="3"/>
        </w:numPr>
        <w:shd w:val="clear" w:color="auto" w:fill="FFFFFF"/>
        <w:tabs>
          <w:tab w:val="clear" w:pos="709"/>
          <w:tab w:val="left" w:pos="360" w:leader="none"/>
          <w:tab w:val="left" w:pos="4170" w:leader="none"/>
        </w:tabs>
        <w:spacing w:before="0" w:after="0"/>
        <w:ind w:start="360" w:hanging="360"/>
        <w:rPr>
          <w:szCs w:val="28"/>
        </w:rPr>
      </w:pPr>
      <w:r>
        <w:rPr>
          <w:szCs w:val="28"/>
        </w:rPr>
        <w:t>Specimens should be collected using aseptic techniques to minimise contamination by normal flora. A sufficient volume of material must be submitted.</w:t>
      </w:r>
    </w:p>
    <w:p>
      <w:pPr>
        <w:pStyle w:val="Normal"/>
        <w:numPr>
          <w:ilvl w:val="0"/>
          <w:numId w:val="3"/>
        </w:numPr>
        <w:shd w:val="clear" w:color="auto" w:fill="FFFFFF"/>
        <w:tabs>
          <w:tab w:val="clear" w:pos="709"/>
          <w:tab w:val="left" w:pos="360" w:leader="none"/>
          <w:tab w:val="left" w:pos="4170" w:leader="none"/>
        </w:tabs>
        <w:spacing w:before="0" w:after="0"/>
        <w:ind w:start="360" w:hanging="360"/>
        <w:rPr>
          <w:szCs w:val="28"/>
        </w:rPr>
      </w:pPr>
      <w:r>
        <w:rPr>
          <w:szCs w:val="28"/>
        </w:rPr>
        <w:t>Swabs in transport media are acceptable for throat, eye, ear, vaginal and urethral specimens</w:t>
      </w:r>
      <w:r>
        <w:rPr>
          <w:b/>
          <w:szCs w:val="28"/>
        </w:rPr>
        <w:t xml:space="preserve"> </w:t>
      </w:r>
      <w:r>
        <w:rPr>
          <w:szCs w:val="28"/>
        </w:rPr>
        <w:t xml:space="preserve">otherwise pus or tissue is preferable to a swab. </w:t>
      </w:r>
    </w:p>
    <w:p>
      <w:pPr>
        <w:pStyle w:val="Normal"/>
        <w:numPr>
          <w:ilvl w:val="0"/>
          <w:numId w:val="3"/>
        </w:numPr>
        <w:shd w:val="clear" w:color="auto" w:fill="FFFFFF"/>
        <w:tabs>
          <w:tab w:val="clear" w:pos="709"/>
          <w:tab w:val="left" w:pos="360" w:leader="none"/>
          <w:tab w:val="left" w:pos="4170" w:leader="none"/>
        </w:tabs>
        <w:spacing w:before="0" w:after="0"/>
        <w:ind w:start="360" w:hanging="360"/>
        <w:rPr>
          <w:szCs w:val="28"/>
        </w:rPr>
      </w:pPr>
      <w:r>
        <w:rPr>
          <w:szCs w:val="28"/>
        </w:rPr>
        <w:t>Swabs with special transport media are available, e.g. viral transport swabs (available from Microbiology Dept.), chlamydia GenProbe swabs (available from NVRL or St. Johns ward).</w:t>
      </w:r>
    </w:p>
    <w:p>
      <w:pPr>
        <w:pStyle w:val="Normal"/>
        <w:numPr>
          <w:ilvl w:val="0"/>
          <w:numId w:val="3"/>
        </w:numPr>
        <w:shd w:val="clear" w:color="auto" w:fill="FFFFFF"/>
        <w:tabs>
          <w:tab w:val="clear" w:pos="709"/>
          <w:tab w:val="left" w:pos="360" w:leader="none"/>
          <w:tab w:val="left" w:pos="4170" w:leader="none"/>
        </w:tabs>
        <w:spacing w:before="0" w:after="0"/>
        <w:ind w:start="360" w:hanging="360"/>
        <w:rPr>
          <w:szCs w:val="28"/>
        </w:rPr>
      </w:pPr>
      <w:r>
        <w:rPr>
          <w:szCs w:val="28"/>
        </w:rPr>
        <w:t xml:space="preserve">If a diagnosis of a viral haemorrhagic fever (Lassa, Ebola, Marburg, Congo-Crimean fever), or CJD is suspected, the consultant microbiologist must be informed before any specimens are collected. </w:t>
      </w:r>
    </w:p>
    <w:p>
      <w:pPr>
        <w:pStyle w:val="Normal"/>
        <w:numPr>
          <w:ilvl w:val="0"/>
          <w:numId w:val="3"/>
        </w:numPr>
        <w:shd w:val="clear" w:color="auto" w:fill="FFFFFF"/>
        <w:tabs>
          <w:tab w:val="clear" w:pos="709"/>
          <w:tab w:val="left" w:pos="360" w:leader="none"/>
          <w:tab w:val="left" w:pos="4170" w:leader="none"/>
        </w:tabs>
        <w:spacing w:before="0" w:after="0"/>
        <w:ind w:start="360" w:hanging="360"/>
        <w:rPr>
          <w:szCs w:val="28"/>
        </w:rPr>
      </w:pPr>
      <w:r>
        <w:rPr>
          <w:szCs w:val="28"/>
        </w:rPr>
        <w:t xml:space="preserve">If a potentially cytotoxic specimen is being sent, the chief or senior medical scientists in microbiology </w:t>
      </w:r>
      <w:r>
        <w:rPr>
          <w:b/>
          <w:szCs w:val="28"/>
        </w:rPr>
        <w:t>must</w:t>
      </w:r>
      <w:r>
        <w:rPr>
          <w:szCs w:val="28"/>
        </w:rPr>
        <w:t xml:space="preserve"> be informed. </w:t>
      </w:r>
    </w:p>
    <w:p>
      <w:pPr>
        <w:pStyle w:val="Normal"/>
        <w:shd w:val="clear" w:color="auto" w:fill="FFFFFF"/>
        <w:tabs>
          <w:tab w:val="clear" w:pos="709"/>
          <w:tab w:val="left" w:pos="4170" w:leader="none"/>
        </w:tabs>
        <w:spacing w:before="0" w:after="0"/>
        <w:ind w:start="360" w:hanging="0"/>
        <w:rPr>
          <w:szCs w:val="28"/>
        </w:rPr>
      </w:pPr>
      <w:r>
        <w:rPr>
          <w:szCs w:val="28"/>
        </w:rPr>
      </w:r>
    </w:p>
    <w:p>
      <w:pPr>
        <w:pStyle w:val="Heading4"/>
        <w:numPr>
          <w:ilvl w:val="3"/>
          <w:numId w:val="25"/>
        </w:numPr>
        <w:shd w:val="clear" w:color="auto" w:fill="FFFFFF"/>
        <w:rPr>
          <w:lang w:val="en-US"/>
        </w:rPr>
      </w:pPr>
      <w:bookmarkStart w:id="16" w:name="_Toc356037808"/>
      <w:r>
        <w:rPr>
          <w:lang w:val="en-US"/>
        </w:rPr>
        <w:t>Molecular / Genetics Requests</w:t>
      </w:r>
      <w:bookmarkEnd w:id="16"/>
    </w:p>
    <w:p>
      <w:pPr>
        <w:pStyle w:val="Normal"/>
        <w:shd w:val="clear" w:color="auto" w:fill="FFFFFF"/>
        <w:rPr/>
      </w:pPr>
      <w:r>
        <w:rPr/>
        <w:t xml:space="preserve">Patient consent is required for all Molecular/Genetic tests and consent forms are available to download from The intranet under Quicklinks&gt;&gt; Laboratory User Guide and Request Forms. : Pathology Department: Lab User guide and forms. </w:t>
      </w:r>
    </w:p>
    <w:p>
      <w:pPr>
        <w:pStyle w:val="Normal"/>
        <w:shd w:val="clear" w:color="auto" w:fill="FFFFFF"/>
        <w:rPr/>
      </w:pPr>
      <w:r>
        <w:rPr/>
        <w:t>There are different consent forms:</w:t>
      </w:r>
    </w:p>
    <w:p>
      <w:pPr>
        <w:pStyle w:val="Normal"/>
        <w:numPr>
          <w:ilvl w:val="0"/>
          <w:numId w:val="30"/>
        </w:numPr>
        <w:shd w:val="clear" w:color="auto" w:fill="FFFFFF"/>
        <w:spacing w:before="0" w:after="0"/>
        <w:ind w:start="777" w:hanging="357"/>
        <w:rPr/>
      </w:pPr>
      <w:r>
        <w:rPr/>
        <w:t xml:space="preserve">Haemochromatosis, </w:t>
      </w:r>
    </w:p>
    <w:p>
      <w:pPr>
        <w:pStyle w:val="Normal"/>
        <w:numPr>
          <w:ilvl w:val="0"/>
          <w:numId w:val="30"/>
        </w:numPr>
        <w:shd w:val="clear" w:color="auto" w:fill="FFFFFF"/>
        <w:spacing w:before="0" w:after="0"/>
        <w:ind w:start="777" w:hanging="357"/>
        <w:rPr>
          <w:highlight w:val="lightGray"/>
        </w:rPr>
      </w:pPr>
      <w:r>
        <w:rPr>
          <w:highlight w:val="lightGray"/>
        </w:rPr>
        <w:t xml:space="preserve">Haematology Genetic Consent form </w:t>
      </w:r>
    </w:p>
    <w:p>
      <w:pPr>
        <w:pStyle w:val="Normal"/>
        <w:numPr>
          <w:ilvl w:val="0"/>
          <w:numId w:val="30"/>
        </w:numPr>
        <w:shd w:val="clear" w:color="auto" w:fill="FFFFFF"/>
        <w:spacing w:before="0" w:after="0"/>
        <w:ind w:start="777" w:hanging="357"/>
        <w:rPr/>
      </w:pPr>
      <w:r>
        <w:rPr/>
        <w:t xml:space="preserve">Huntington’s, </w:t>
      </w:r>
    </w:p>
    <w:p>
      <w:pPr>
        <w:pStyle w:val="Normal"/>
        <w:numPr>
          <w:ilvl w:val="0"/>
          <w:numId w:val="30"/>
        </w:numPr>
        <w:shd w:val="clear" w:color="auto" w:fill="FFFFFF"/>
        <w:spacing w:before="0" w:after="0"/>
        <w:ind w:start="777" w:hanging="357"/>
        <w:rPr/>
      </w:pPr>
      <w:r>
        <w:rPr/>
        <w:t xml:space="preserve">Cystic Fibrosis  </w:t>
      </w:r>
    </w:p>
    <w:p>
      <w:pPr>
        <w:pStyle w:val="Normal"/>
        <w:numPr>
          <w:ilvl w:val="0"/>
          <w:numId w:val="30"/>
        </w:numPr>
        <w:shd w:val="clear" w:color="auto" w:fill="FFFFFF"/>
        <w:spacing w:before="0" w:after="0"/>
        <w:ind w:start="777" w:hanging="357"/>
        <w:rPr/>
      </w:pPr>
      <w:r>
        <w:rPr/>
        <w:t>Karyotyping.</w:t>
      </w:r>
    </w:p>
    <w:p>
      <w:pPr>
        <w:pStyle w:val="Normal"/>
        <w:numPr>
          <w:ilvl w:val="0"/>
          <w:numId w:val="30"/>
        </w:numPr>
        <w:shd w:val="clear" w:color="auto" w:fill="FFFFFF"/>
        <w:spacing w:before="0" w:after="0"/>
        <w:ind w:start="777" w:hanging="357"/>
        <w:rPr/>
      </w:pPr>
      <w:r>
        <w:rPr/>
        <w:t xml:space="preserve">Familial Hypercholesterolaemia </w:t>
      </w:r>
    </w:p>
    <w:p>
      <w:pPr>
        <w:pStyle w:val="Normal"/>
        <w:numPr>
          <w:ilvl w:val="0"/>
          <w:numId w:val="30"/>
        </w:numPr>
        <w:shd w:val="clear" w:color="auto" w:fill="FFFFFF"/>
        <w:spacing w:before="0" w:after="0"/>
        <w:ind w:start="777" w:hanging="357"/>
        <w:rPr/>
      </w:pPr>
      <w:r>
        <w:rPr/>
        <w:t>FSHD requests for Bristol</w:t>
      </w:r>
    </w:p>
    <w:p>
      <w:pPr>
        <w:pStyle w:val="Normal"/>
        <w:numPr>
          <w:ilvl w:val="0"/>
          <w:numId w:val="30"/>
        </w:numPr>
        <w:shd w:val="clear" w:color="auto" w:fill="FFFFFF"/>
        <w:spacing w:before="0" w:after="0"/>
        <w:ind w:start="777" w:hanging="357"/>
        <w:rPr/>
      </w:pPr>
      <w:r>
        <w:rPr/>
        <w:t>All other requests for DCG</w:t>
      </w:r>
    </w:p>
    <w:p>
      <w:pPr>
        <w:pStyle w:val="Normal"/>
        <w:shd w:val="clear" w:color="auto" w:fill="FFFFFF"/>
        <w:jc w:val="start"/>
        <w:rPr/>
      </w:pPr>
      <w:r>
        <w:rPr/>
        <w:t>All samples must be accompanied by the specific request form above, and where appropriate, the patient consent form.</w:t>
      </w:r>
    </w:p>
    <w:p>
      <w:pPr>
        <w:pStyle w:val="Normal"/>
        <w:shd w:val="clear" w:color="auto" w:fill="FFFFFF"/>
        <w:jc w:val="start"/>
        <w:rPr/>
      </w:pPr>
      <w:r>
        <w:rPr/>
        <w:t>Demographic information on samples and forms must match completely – otherwise the request will be rejected. No changes are permitted to any demographics.</w:t>
        <w:br/>
        <w:t xml:space="preserve">Haemochromatosis, CF &amp; FHC are Powerchart orderable, </w:t>
      </w:r>
    </w:p>
    <w:p>
      <w:pPr>
        <w:pStyle w:val="Normal"/>
        <w:shd w:val="clear" w:color="auto" w:fill="FFFFFF"/>
        <w:rPr/>
      </w:pPr>
      <w:r>
        <w:rPr/>
        <w:t>Haemochromatosis testing is performed in Beaumont Hospital. All other test requests are referred to The National Centre for Medical Genetics, they extract the DNA and refer the request to a suitable laboratory if not done in DCMG.</w:t>
      </w:r>
    </w:p>
    <w:p>
      <w:pPr>
        <w:pStyle w:val="Normal"/>
        <w:rPr/>
      </w:pPr>
      <w:r>
        <w:rPr>
          <w:rStyle w:val="BookTitle"/>
        </w:rPr>
        <w:t>Attending</w:t>
      </w:r>
      <w:r>
        <w:rPr>
          <w:b/>
          <w:u w:val="single"/>
        </w:rPr>
        <w:t xml:space="preserve"> </w:t>
      </w:r>
      <w:r>
        <w:rPr>
          <w:rStyle w:val="BookTitle"/>
        </w:rPr>
        <w:t>Phlebotomy</w:t>
      </w:r>
      <w:r>
        <w:rPr>
          <w:b/>
          <w:u w:val="single"/>
        </w:rPr>
        <w:t>:</w:t>
      </w:r>
      <w:r>
        <w:rPr/>
        <w:t xml:space="preserve"> </w:t>
      </w:r>
    </w:p>
    <w:p>
      <w:pPr>
        <w:pStyle w:val="Normal"/>
        <w:rPr/>
      </w:pPr>
      <w:r>
        <w:rPr/>
        <w:t>Should a patient require any of these tests to be taken in Phlebotomy, the appropriate request form must be completed in full in the clinic (including patient consent obtained), and given to the patient to bring to phlebotomy. Both the completed form and the bloods must be sent together to the Laboratory.</w:t>
      </w:r>
    </w:p>
    <w:p>
      <w:pPr>
        <w:pStyle w:val="Heading4"/>
        <w:numPr>
          <w:ilvl w:val="3"/>
          <w:numId w:val="25"/>
        </w:numPr>
        <w:shd w:val="clear" w:color="auto" w:fill="FFFFFF"/>
        <w:rPr>
          <w:lang w:val="en-US"/>
        </w:rPr>
      </w:pPr>
      <w:bookmarkStart w:id="17" w:name="_Toc356037809"/>
      <w:r>
        <w:rPr>
          <w:lang w:val="en-US"/>
        </w:rPr>
        <w:t>Out Patient Requests</w:t>
      </w:r>
      <w:bookmarkEnd w:id="17"/>
    </w:p>
    <w:p>
      <w:pPr>
        <w:pStyle w:val="Normal"/>
        <w:shd w:val="clear" w:color="auto" w:fill="FFFFFF"/>
        <w:rPr>
          <w:b/>
          <w:u w:val="single"/>
        </w:rPr>
      </w:pPr>
      <w:r>
        <w:rPr/>
        <w:t xml:space="preserve">All orders are placed on Powerchart by the requesting clinician or by clerical staff in the Phlebotomy department. </w:t>
      </w:r>
    </w:p>
    <w:p>
      <w:pPr>
        <w:pStyle w:val="Normal"/>
        <w:shd w:val="clear" w:color="auto" w:fill="FFFFFF"/>
        <w:rPr>
          <w:b/>
          <w:u w:val="single"/>
        </w:rPr>
      </w:pPr>
      <w:r>
        <w:rPr>
          <w:b/>
          <w:u w:val="single"/>
        </w:rPr>
        <w:t>A bleep number must be clearly indicated on the form so that the requesting clinician can be contacted with clinically urgent results.</w:t>
      </w:r>
    </w:p>
    <w:p>
      <w:pPr>
        <w:pStyle w:val="Normal"/>
        <w:shd w:val="clear" w:color="auto" w:fill="FFFFFF"/>
        <w:rPr/>
      </w:pPr>
      <w:r>
        <w:rPr/>
      </w:r>
    </w:p>
    <w:p>
      <w:pPr>
        <w:pStyle w:val="Heading4"/>
        <w:numPr>
          <w:ilvl w:val="3"/>
          <w:numId w:val="25"/>
        </w:numPr>
        <w:shd w:val="clear" w:color="auto" w:fill="FFFFFF"/>
        <w:rPr/>
      </w:pPr>
      <w:r>
        <w:rPr/>
        <w:t>H&amp;I Requests</w:t>
      </w:r>
    </w:p>
    <w:p>
      <w:pPr>
        <w:pStyle w:val="Normal"/>
        <w:shd w:val="clear" w:color="auto" w:fill="FFFFFF"/>
        <w:rPr>
          <w:rStyle w:val="InternetLink"/>
        </w:rPr>
      </w:pPr>
      <w:r>
        <w:rPr/>
        <w:t xml:space="preserve">Consent forms for HLA typing and HLA Antibody screening can be obtained by emailing </w:t>
      </w:r>
      <w:hyperlink r:id="rId4">
        <w:r>
          <w:rPr>
            <w:rStyle w:val="InternetLink"/>
          </w:rPr>
          <w:t>crossmatch@beaumont.ie</w:t>
        </w:r>
      </w:hyperlink>
    </w:p>
    <w:p>
      <w:pPr>
        <w:pStyle w:val="Normal"/>
        <w:shd w:val="clear" w:color="auto" w:fill="FFFFFF"/>
        <w:rPr>
          <w:rStyle w:val="InternetLink"/>
        </w:rPr>
      </w:pPr>
      <w:r>
        <w:rPr/>
      </w:r>
    </w:p>
    <w:p>
      <w:pPr>
        <w:pStyle w:val="Heading4"/>
        <w:numPr>
          <w:ilvl w:val="3"/>
          <w:numId w:val="25"/>
        </w:numPr>
        <w:rPr>
          <w:rStyle w:val="InternetLink"/>
          <w:color w:val="auto"/>
        </w:rPr>
      </w:pPr>
      <w:r>
        <w:rPr>
          <w:rStyle w:val="InternetLink"/>
          <w:color w:val="auto"/>
        </w:rPr>
        <w:t>NPT Requests</w:t>
      </w:r>
    </w:p>
    <w:p>
      <w:pPr>
        <w:pStyle w:val="ListParagraph"/>
        <w:numPr>
          <w:ilvl w:val="0"/>
          <w:numId w:val="31"/>
        </w:numPr>
        <w:rPr>
          <w:highlight w:val="lightGray"/>
        </w:rPr>
      </w:pPr>
      <w:r>
        <w:rPr>
          <w:highlight w:val="lightGray"/>
        </w:rPr>
        <w:t xml:space="preserve">Blood Gases, Glucose, Ketone, INR, HbA1c analysis: </w:t>
      </w:r>
    </w:p>
    <w:p>
      <w:pPr>
        <w:pStyle w:val="Normal"/>
        <w:rPr/>
      </w:pPr>
      <w:r>
        <w:rPr>
          <w:highlight w:val="lightGray"/>
        </w:rPr>
        <w:t xml:space="preserve">There is no requirement to order any of the above NPT tests on Powerchart. These NPT requests are classified as unsolicited orders. This means that the order is generated as the patient’s details are scanned by the analysers/devices which are located at or near the patient’s bedside. The patient’s </w:t>
      </w:r>
      <w:r>
        <w:rPr>
          <w:b/>
          <w:highlight w:val="lightGray"/>
          <w:u w:val="single"/>
        </w:rPr>
        <w:t>current number</w:t>
      </w:r>
      <w:r>
        <w:rPr>
          <w:highlight w:val="lightGray"/>
        </w:rPr>
        <w:t xml:space="preserve"> (available on the patient’s wristband and/or addressograph label) is the only acceptable patient ID to be scanned/entered on any NPT device when processing samples.</w:t>
      </w:r>
    </w:p>
    <w:p>
      <w:pPr>
        <w:pStyle w:val="Normal"/>
        <w:rPr/>
      </w:pPr>
      <w:r>
        <w:rPr/>
        <w:t xml:space="preserve">All blood gas samples are to be correctly labelled with the patient’s addressograph label prior to analysis. This is to ensure the samples are correctly identified. </w:t>
      </w:r>
    </w:p>
    <w:p>
      <w:pPr>
        <w:pStyle w:val="TextBody"/>
        <w:rPr/>
      </w:pPr>
      <w:r>
        <w:rPr>
          <w:b w:val="false"/>
        </w:rPr>
        <w:t>The only test which must be pre ordered on Powerchart are blood gases to be analysed in the Chemical Pathology Laboratory. These samples must be labelled with the barcode label.</w:t>
      </w:r>
    </w:p>
    <w:p>
      <w:pPr>
        <w:pStyle w:val="Normal"/>
        <w:rPr/>
      </w:pPr>
      <w:r>
        <w:rPr/>
        <w:t>Quick Reference Guides are available on the hospitals intranet page (link below) which provide step by step guidance for trained staff on how to perform relevant NPT.</w:t>
      </w:r>
    </w:p>
    <w:p>
      <w:pPr>
        <w:pStyle w:val="Normal"/>
        <w:rPr/>
      </w:pPr>
      <w:hyperlink r:id="rId5">
        <w:r>
          <w:rPr>
            <w:color w:val="0000FF"/>
            <w:highlight w:val="lightGray"/>
            <w:u w:val="single"/>
          </w:rPr>
          <w:t>Point of Care Testing - All Documents (beaumont.ie)</w:t>
        </w:r>
      </w:hyperlink>
    </w:p>
    <w:p>
      <w:pPr>
        <w:pStyle w:val="TextBody"/>
        <w:numPr>
          <w:ilvl w:val="0"/>
          <w:numId w:val="31"/>
        </w:numPr>
        <w:rPr>
          <w:b w:val="false"/>
        </w:rPr>
      </w:pPr>
      <w:r>
        <w:rPr>
          <w:b w:val="false"/>
        </w:rPr>
        <w:t xml:space="preserve">Liat Covid &amp; Influenza A/B analysis: </w:t>
      </w:r>
    </w:p>
    <w:p>
      <w:pPr>
        <w:pStyle w:val="TextBody"/>
        <w:rPr/>
      </w:pPr>
      <w:r>
        <w:rPr>
          <w:b w:val="false"/>
          <w:highlight w:val="lightGray"/>
        </w:rPr>
        <w:t>There is no requirement to pre order NPT Covid and Flu A/B tests for the Liat</w:t>
      </w:r>
      <w:r>
        <w:rPr>
          <w:b w:val="false"/>
        </w:rPr>
        <w:t xml:space="preserve">. Three identical </w:t>
      </w:r>
      <w:r>
        <w:rPr>
          <w:b w:val="false"/>
          <w:highlight w:val="lightGray"/>
        </w:rPr>
        <w:t>addressograph</w:t>
      </w:r>
      <w:r>
        <w:rPr>
          <w:b w:val="false"/>
        </w:rPr>
        <w:t xml:space="preserve"> labels </w:t>
      </w:r>
      <w:r>
        <w:rPr>
          <w:b w:val="false"/>
          <w:highlight w:val="lightGray"/>
        </w:rPr>
        <w:t>must</w:t>
      </w:r>
      <w:r>
        <w:rPr>
          <w:b w:val="false"/>
        </w:rPr>
        <w:t xml:space="preserve"> be printed together. One </w:t>
      </w:r>
      <w:r>
        <w:rPr>
          <w:b w:val="false"/>
          <w:highlight w:val="lightGray"/>
        </w:rPr>
        <w:t>addressograph</w:t>
      </w:r>
      <w:r>
        <w:rPr>
          <w:b w:val="false"/>
        </w:rPr>
        <w:t xml:space="preserve"> label is to be placed on the </w:t>
      </w:r>
      <w:r>
        <w:rPr>
          <w:b w:val="false"/>
          <w:highlight w:val="lightGray"/>
        </w:rPr>
        <w:t>sample to be tested</w:t>
      </w:r>
      <w:r>
        <w:rPr>
          <w:b w:val="false"/>
        </w:rPr>
        <w:t xml:space="preserve"> and the other two are to accompany the sample </w:t>
      </w:r>
      <w:r>
        <w:rPr>
          <w:b w:val="false"/>
          <w:highlight w:val="lightGray"/>
        </w:rPr>
        <w:t>to</w:t>
      </w:r>
      <w:r>
        <w:rPr>
          <w:b w:val="false"/>
        </w:rPr>
        <w:t xml:space="preserve"> the Liat room. All samples requested on patients outside of the approved patient pathway must be pre-approved by site/incident manager </w:t>
      </w:r>
      <w:r>
        <w:rPr>
          <w:b w:val="false"/>
          <w:highlight w:val="lightGray"/>
        </w:rPr>
        <w:t>or Microbiology Consultant</w:t>
      </w:r>
      <w:r>
        <w:rPr>
          <w:b w:val="false"/>
        </w:rPr>
        <w:t xml:space="preserve"> on duty. </w:t>
      </w:r>
    </w:p>
    <w:p>
      <w:pPr>
        <w:pStyle w:val="Heading3"/>
        <w:numPr>
          <w:ilvl w:val="2"/>
          <w:numId w:val="25"/>
        </w:numPr>
        <w:shd w:val="clear" w:color="auto" w:fill="FFFFFF"/>
        <w:rPr/>
      </w:pPr>
      <w:bookmarkStart w:id="18" w:name="_Toc192968352"/>
      <w:r>
        <w:rPr/>
        <w:t>Consent</w:t>
      </w:r>
      <w:bookmarkEnd w:id="18"/>
    </w:p>
    <w:p>
      <w:pPr>
        <w:pStyle w:val="Normal"/>
        <w:shd w:val="clear" w:color="auto" w:fill="FFFFFF"/>
        <w:rPr>
          <w:lang w:val="en-US"/>
        </w:rPr>
      </w:pPr>
      <w:r>
        <w:rPr>
          <w:highlight w:val="lightGray"/>
          <w:lang w:val="en-US"/>
        </w:rPr>
        <w:t>The laboratory shall obtain the informed consent of the patient for all procedures carried out on the patient.</w:t>
      </w:r>
      <w:r>
        <w:rPr>
          <w:lang w:val="en-US"/>
        </w:rPr>
        <w:t xml:space="preserve"> For most routine procedures, consent can be inferred when the patient presents himself or herself with a request form and willingly submits to the collecting procedure e.g. venepuncture.  Patients in a hospital bed should normally be given the opportunity to refuse.</w:t>
      </w:r>
    </w:p>
    <w:p>
      <w:pPr>
        <w:pStyle w:val="Normal"/>
        <w:shd w:val="clear" w:color="auto" w:fill="FFFFFF"/>
        <w:rPr>
          <w:lang w:val="en-US"/>
        </w:rPr>
      </w:pPr>
      <w:r>
        <w:rPr>
          <w:lang w:val="en-US"/>
        </w:rPr>
        <w:t xml:space="preserve">Special procedures, including more invasive procedures, or those with an increased risk of complications to the procedure, may need a more detailed explanation and, in some cases, </w:t>
      </w:r>
      <w:r>
        <w:rPr>
          <w:highlight w:val="lightGray"/>
          <w:lang w:val="en-US"/>
        </w:rPr>
        <w:t>recorded</w:t>
      </w:r>
      <w:r>
        <w:rPr>
          <w:lang w:val="en-US"/>
        </w:rPr>
        <w:t xml:space="preserve"> consent. </w:t>
      </w:r>
    </w:p>
    <w:p>
      <w:pPr>
        <w:pStyle w:val="Normal"/>
        <w:shd w:val="clear" w:color="auto" w:fill="FFFFFF"/>
        <w:rPr>
          <w:lang w:val="en-US"/>
        </w:rPr>
      </w:pPr>
      <w:r>
        <w:rPr>
          <w:lang w:val="en-US"/>
        </w:rPr>
        <w:t>If obtaining consent is not possible in emergency situations, the laboratory may carry out necessary procedures, provided they are in the patient’s best interest</w:t>
      </w:r>
    </w:p>
    <w:p>
      <w:pPr>
        <w:pStyle w:val="Normal"/>
        <w:shd w:val="clear" w:color="auto" w:fill="FFFFFF"/>
        <w:rPr>
          <w:lang w:val="en-US"/>
        </w:rPr>
      </w:pPr>
      <w:r>
        <w:rPr>
          <w:highlight w:val="lightGray"/>
          <w:lang w:val="en-US"/>
        </w:rPr>
        <w:t>The requirement for consent for individual tests performed is outlined in the relevant departmental sections of this laboratory manual.</w:t>
      </w:r>
      <w:r>
        <w:rPr>
          <w:lang w:val="en-US"/>
        </w:rPr>
        <w:t xml:space="preserve">  </w:t>
      </w:r>
    </w:p>
    <w:p>
      <w:pPr>
        <w:pStyle w:val="Heading3"/>
        <w:numPr>
          <w:ilvl w:val="2"/>
          <w:numId w:val="25"/>
        </w:numPr>
        <w:shd w:val="clear" w:color="auto" w:fill="FFFFFF"/>
        <w:rPr/>
      </w:pPr>
      <w:bookmarkStart w:id="19" w:name="_Toc351113398"/>
      <w:bookmarkStart w:id="20" w:name="_Toc350955632"/>
      <w:bookmarkStart w:id="21" w:name="_Toc192968353"/>
      <w:r>
        <w:rPr/>
        <w:t>Specimen Collection Guidelines &amp; Order of Draw</w:t>
      </w:r>
      <w:bookmarkEnd w:id="21"/>
    </w:p>
    <w:p>
      <w:pPr>
        <w:pStyle w:val="Heading4"/>
        <w:numPr>
          <w:ilvl w:val="3"/>
          <w:numId w:val="25"/>
        </w:numPr>
        <w:rPr/>
      </w:pPr>
      <w:bookmarkStart w:id="22" w:name="_Toc351113398"/>
      <w:bookmarkStart w:id="23" w:name="_Toc350955632"/>
      <w:r>
        <w:rPr/>
        <w:t>Patient Preparation</w:t>
      </w:r>
      <w:bookmarkEnd w:id="22"/>
      <w:bookmarkEnd w:id="23"/>
    </w:p>
    <w:p>
      <w:pPr>
        <w:pStyle w:val="Normal"/>
        <w:shd w:val="clear" w:color="auto" w:fill="FFFFFF"/>
        <w:rPr/>
      </w:pPr>
      <w:r>
        <w:rPr>
          <w:lang w:val="en-IE"/>
        </w:rPr>
        <w:t xml:space="preserve">Patients should adhere strictly to any conditions which are required prior to and during primary sample collection. Caregivers and phlebotomists should ensure that patients are informed of the procedure required for specialist primary sample collection and that they have the required equipment e.g. 24hr urine collection containers. </w:t>
      </w:r>
      <w:r>
        <w:rPr/>
        <w:t xml:space="preserve">For further information on patient preparation for primary sample collection, please contact the relevant laboratory using the contact details provided in section </w:t>
      </w:r>
      <w:r>
        <w:rPr/>
        <w:fldChar w:fldCharType="begin"/>
      </w:r>
      <w:r>
        <w:rPr/>
        <w:instrText xml:space="preserve"> REF _Ref303076906 \r \h </w:instrText>
      </w:r>
      <w:r>
        <w:rPr/>
        <w:fldChar w:fldCharType="separate"/>
      </w:r>
      <w:r>
        <w:rPr/>
        <w:t>1.1.2</w:t>
      </w:r>
      <w:r>
        <w:rPr/>
        <w:fldChar w:fldCharType="end"/>
      </w:r>
      <w:r>
        <w:rPr/>
        <w:t xml:space="preserve"> above.</w:t>
      </w:r>
    </w:p>
    <w:p>
      <w:pPr>
        <w:pStyle w:val="Normal"/>
        <w:shd w:val="clear" w:color="auto" w:fill="FFFFFF"/>
        <w:rPr/>
      </w:pPr>
      <w:r>
        <w:rPr/>
        <w:t xml:space="preserve">Specific sampling conditions and requirements are outlined in the orders in </w:t>
      </w:r>
      <w:r>
        <w:rPr>
          <w:highlight w:val="lightGray"/>
        </w:rPr>
        <w:t>Powerchart</w:t>
      </w:r>
      <w:r>
        <w:rPr/>
        <w:t xml:space="preserve"> where they apply,e.g. fasting sample required, or sample must be on ice etc. These conditions must be adhered to.</w:t>
      </w:r>
      <w:r>
        <w:br w:type="page"/>
      </w:r>
    </w:p>
    <w:p>
      <w:pPr>
        <w:pStyle w:val="Heading4"/>
        <w:numPr>
          <w:ilvl w:val="3"/>
          <w:numId w:val="25"/>
        </w:numPr>
        <w:shd w:val="clear" w:color="auto" w:fill="FFFFFF"/>
        <w:rPr/>
      </w:pPr>
      <w:r>
        <w:rPr/>
        <w:t>Specimen Labelling</w:t>
      </w:r>
    </w:p>
    <w:p>
      <w:pPr>
        <w:pStyle w:val="Normal"/>
        <w:numPr>
          <w:ilvl w:val="0"/>
          <w:numId w:val="32"/>
        </w:numPr>
        <w:shd w:val="clear" w:color="auto" w:fill="FFFFFF"/>
        <w:rPr/>
      </w:pPr>
      <w:r>
        <w:rPr/>
        <w:t xml:space="preserve">Samples must be labelled with an order-com label generated in Powerchart, which is placed over the </w:t>
      </w:r>
      <w:r>
        <w:rPr>
          <w:b/>
        </w:rPr>
        <w:t>existing</w:t>
      </w:r>
      <w:r>
        <w:rPr/>
        <w:t xml:space="preserve"> bottle label, with the writing in the same direction (to facilitate barcode scanners), see below.</w:t>
      </w:r>
    </w:p>
    <w:p>
      <w:pPr>
        <w:pStyle w:val="Normal"/>
        <w:numPr>
          <w:ilvl w:val="0"/>
          <w:numId w:val="32"/>
        </w:numPr>
        <w:shd w:val="clear" w:color="auto" w:fill="FFFFFF"/>
        <w:rPr/>
      </w:pPr>
      <w:r>
        <w:rPr>
          <w:lang w:val="en-IE"/>
        </w:rPr>
        <w:t xml:space="preserve">The barcode label must be stuck to the blood sample bottle </w:t>
      </w:r>
      <w:r>
        <w:rPr>
          <w:u w:val="single"/>
          <w:lang w:val="en-IE"/>
        </w:rPr>
        <w:t xml:space="preserve">straight </w:t>
      </w:r>
      <w:r>
        <w:rPr>
          <w:lang w:val="en-IE"/>
        </w:rPr>
        <w:t>down the length of the tube without any creases. Never wrap a label around a tube. Only one barcode label per tube.</w:t>
      </w:r>
    </w:p>
    <w:p>
      <w:pPr>
        <w:pStyle w:val="Normal"/>
        <w:shd w:val="clear" w:color="auto" w:fill="FFFFFF"/>
        <w:spacing w:before="0" w:after="0"/>
        <w:jc w:val="center"/>
        <w:rPr/>
      </w:pPr>
      <w:r>
        <w:rPr/>
      </w:r>
    </w:p>
    <w:p>
      <w:pPr>
        <w:pStyle w:val="Normal"/>
        <w:numPr>
          <w:ilvl w:val="0"/>
          <w:numId w:val="32"/>
        </w:numPr>
        <w:shd w:val="clear" w:color="auto" w:fill="FFFFFF"/>
        <w:rPr>
          <w:lang w:val="en-IE"/>
        </w:rPr>
      </w:pPr>
      <w:r>
        <w:rPr>
          <w:lang w:val="en-IE"/>
        </w:rPr>
        <w:t xml:space="preserve">The sample bottle must be labelled immediately after the sample is drawn and before moving on to the next patient.  </w:t>
      </w:r>
      <w:r>
        <w:rPr>
          <w:b/>
          <w:lang w:val="en-IE"/>
        </w:rPr>
        <w:t xml:space="preserve">The patient wrist band must be checked against the name on the barcode label. </w:t>
      </w:r>
      <w:r>
        <w:rPr>
          <w:lang w:val="en-IE"/>
        </w:rPr>
        <w:t>Refer to section 2.1.5 for Specimen labelling requirements for Blood Transfusion.</w:t>
      </w:r>
    </w:p>
    <w:p>
      <w:pPr>
        <w:pStyle w:val="Normal"/>
        <w:shd w:val="clear" w:color="auto" w:fill="FFFFFF"/>
        <w:rPr>
          <w:lang w:val="en-IE"/>
        </w:rPr>
      </w:pPr>
      <w:r>
        <w:rPr>
          <w:lang w:val="en-IE"/>
        </w:rPr>
        <w:t>In the case of 24 hour urine collections – if multiple barcode labels are generated that indicate the same sample requirement e.g. 24HU – then all labels with a 24HU sample type requirement can be attached to the same collection.</w:t>
      </w:r>
    </w:p>
    <w:p>
      <w:pPr>
        <w:pStyle w:val="Heading4"/>
        <w:numPr>
          <w:ilvl w:val="3"/>
          <w:numId w:val="25"/>
        </w:numPr>
        <w:shd w:val="clear" w:color="auto" w:fill="FFFFFF"/>
        <w:rPr/>
      </w:pPr>
      <w:r>
        <w:rPr/>
        <w:t>Venepuncutre Instructions</w:t>
      </w:r>
    </w:p>
    <w:p>
      <w:pPr>
        <w:pStyle w:val="Normal"/>
        <w:shd w:val="clear" w:color="auto" w:fill="FFFFFF"/>
        <w:rPr/>
      </w:pPr>
      <w:r>
        <w:rPr/>
        <w:t>The collection of a venous sample means the identification of the best vein to source the sample.  The arm veins are normally the first choice for a phlebotomist.  The most commonly used veins are the cephalic, medial cubital or basilic veins.</w:t>
      </w:r>
    </w:p>
    <w:p>
      <w:pPr>
        <w:pStyle w:val="Normal"/>
        <w:numPr>
          <w:ilvl w:val="0"/>
          <w:numId w:val="33"/>
        </w:numPr>
        <w:shd w:val="clear" w:color="auto" w:fill="FFFFFF"/>
        <w:spacing w:before="0" w:after="0"/>
        <w:rPr/>
      </w:pPr>
      <w:r>
        <w:rPr/>
        <w:t>The Limb should be supported on a pillow or armrest of a phlebotomy chair.</w:t>
      </w:r>
    </w:p>
    <w:p>
      <w:pPr>
        <w:pStyle w:val="Normal"/>
        <w:numPr>
          <w:ilvl w:val="0"/>
          <w:numId w:val="33"/>
        </w:numPr>
        <w:shd w:val="clear" w:color="auto" w:fill="FFFFFF"/>
        <w:spacing w:before="0" w:after="0"/>
        <w:rPr/>
      </w:pPr>
      <w:r>
        <w:rPr/>
        <w:t>Apply the tourniquet 2 – 3 inches above the selected site.</w:t>
      </w:r>
    </w:p>
    <w:p>
      <w:pPr>
        <w:pStyle w:val="Normal"/>
        <w:numPr>
          <w:ilvl w:val="0"/>
          <w:numId w:val="33"/>
        </w:numPr>
        <w:shd w:val="clear" w:color="auto" w:fill="FFFFFF"/>
        <w:spacing w:before="0" w:after="0"/>
        <w:rPr/>
      </w:pPr>
      <w:r>
        <w:rPr/>
        <w:t>Wear your disposable gloves, cleanse the patients skin with a mediswab.</w:t>
      </w:r>
    </w:p>
    <w:p>
      <w:pPr>
        <w:pStyle w:val="Normal"/>
        <w:numPr>
          <w:ilvl w:val="0"/>
          <w:numId w:val="33"/>
        </w:numPr>
        <w:shd w:val="clear" w:color="auto" w:fill="FFFFFF"/>
        <w:spacing w:before="0" w:after="0"/>
        <w:rPr/>
      </w:pPr>
      <w:r>
        <w:rPr/>
        <w:t>Anchor the vein using manual traction below the site of entry.  The vein should feel firm and slightly bouncy.</w:t>
      </w:r>
    </w:p>
    <w:p>
      <w:pPr>
        <w:pStyle w:val="Normal"/>
        <w:numPr>
          <w:ilvl w:val="0"/>
          <w:numId w:val="33"/>
        </w:numPr>
        <w:shd w:val="clear" w:color="auto" w:fill="FFFFFF"/>
        <w:spacing w:before="0" w:after="0"/>
        <w:rPr/>
      </w:pPr>
      <w:r>
        <w:rPr/>
        <w:t>Insert the needle with the bevel facing upwards and the needle at 15° angle.</w:t>
      </w:r>
    </w:p>
    <w:p>
      <w:pPr>
        <w:pStyle w:val="Normal"/>
        <w:numPr>
          <w:ilvl w:val="0"/>
          <w:numId w:val="33"/>
        </w:numPr>
        <w:shd w:val="clear" w:color="auto" w:fill="FFFFFF"/>
        <w:spacing w:before="0" w:after="0"/>
        <w:rPr/>
      </w:pPr>
      <w:r>
        <w:rPr/>
        <w:t>There should be a flashback of blood to denote a vein has been accessed.</w:t>
      </w:r>
    </w:p>
    <w:p>
      <w:pPr>
        <w:pStyle w:val="Normal"/>
        <w:numPr>
          <w:ilvl w:val="0"/>
          <w:numId w:val="33"/>
        </w:numPr>
        <w:shd w:val="clear" w:color="auto" w:fill="FFFFFF"/>
        <w:spacing w:before="0" w:after="0"/>
        <w:rPr/>
      </w:pPr>
      <w:r>
        <w:rPr/>
        <w:t>The needle should be held firmly between your thumb and fingers to allow the change of the different tubes onto the needle.</w:t>
      </w:r>
    </w:p>
    <w:p>
      <w:pPr>
        <w:pStyle w:val="Normal"/>
        <w:numPr>
          <w:ilvl w:val="0"/>
          <w:numId w:val="33"/>
        </w:numPr>
        <w:shd w:val="clear" w:color="auto" w:fill="FFFFFF"/>
        <w:spacing w:before="0" w:after="0"/>
        <w:rPr/>
      </w:pPr>
      <w:r>
        <w:rPr/>
        <w:t>When all blood specimens have been obtained, release the tourniquet, detach the last tube and now remove the needle smoothly and quickly.</w:t>
      </w:r>
    </w:p>
    <w:p>
      <w:pPr>
        <w:pStyle w:val="Normal"/>
        <w:numPr>
          <w:ilvl w:val="0"/>
          <w:numId w:val="33"/>
        </w:numPr>
        <w:shd w:val="clear" w:color="auto" w:fill="FFFFFF"/>
        <w:spacing w:before="0" w:after="0"/>
        <w:rPr/>
      </w:pPr>
      <w:r>
        <w:rPr/>
        <w:t>Apply pressure to the venous site for as long as required.  This avoids a haematoma forming.</w:t>
      </w:r>
    </w:p>
    <w:p>
      <w:pPr>
        <w:pStyle w:val="Normal"/>
        <w:numPr>
          <w:ilvl w:val="0"/>
          <w:numId w:val="33"/>
        </w:numPr>
        <w:shd w:val="clear" w:color="auto" w:fill="FFFFFF"/>
        <w:spacing w:before="0" w:after="0"/>
        <w:rPr/>
      </w:pPr>
      <w:r>
        <w:rPr/>
        <w:t>Dispose of the used needle immediately into the sharps bin.  Do not recap the needle</w:t>
      </w:r>
    </w:p>
    <w:p>
      <w:pPr>
        <w:pStyle w:val="Normal"/>
        <w:shd w:val="clear" w:color="auto" w:fill="FFFFFF"/>
        <w:spacing w:before="0" w:after="0"/>
        <w:rPr/>
      </w:pPr>
      <w:r>
        <w:rPr/>
        <w:t>The blood bottles must now be labelled correctly and any special requirements adhered to.</w:t>
      </w:r>
    </w:p>
    <w:p>
      <w:pPr>
        <w:pStyle w:val="Heading4"/>
        <w:numPr>
          <w:ilvl w:val="3"/>
          <w:numId w:val="25"/>
        </w:numPr>
        <w:shd w:val="clear" w:color="auto" w:fill="FFFFFF"/>
        <w:rPr/>
      </w:pPr>
      <w:bookmarkStart w:id="24" w:name="_Toc311473029"/>
      <w:bookmarkStart w:id="25" w:name="_Toc351113406"/>
      <w:bookmarkStart w:id="26" w:name="_Toc350955640"/>
      <w:r>
        <w:rPr/>
        <w:t xml:space="preserve">Blood Sample </w:t>
      </w:r>
      <w:bookmarkEnd w:id="24"/>
      <w:bookmarkEnd w:id="25"/>
      <w:bookmarkEnd w:id="26"/>
      <w:r>
        <w:rPr/>
        <w:t>Order of Draw</w:t>
      </w:r>
    </w:p>
    <w:p>
      <w:pPr>
        <w:pStyle w:val="Normal"/>
        <w:shd w:val="clear" w:color="auto" w:fill="FFFFFF"/>
        <w:tabs>
          <w:tab w:val="clear" w:pos="709"/>
          <w:tab w:val="left" w:pos="283" w:leader="none"/>
        </w:tabs>
        <w:spacing w:before="0" w:after="0"/>
        <w:rPr/>
      </w:pPr>
      <w:r>
        <w:rPr/>
        <w:t>Samples must be drawn in the order as tabulated below, to avoid any cross contamination of samples.</w:t>
      </w:r>
    </w:p>
    <w:tbl>
      <w:tblPr>
        <w:tblW w:w="10378" w:type="dxa"/>
        <w:jc w:val="start"/>
        <w:tblInd w:w="-772" w:type="dxa"/>
        <w:tblLayout w:type="fixed"/>
        <w:tblCellMar>
          <w:top w:w="0" w:type="dxa"/>
          <w:start w:w="108" w:type="dxa"/>
          <w:bottom w:w="0" w:type="dxa"/>
          <w:end w:w="108" w:type="dxa"/>
        </w:tblCellMar>
        <w:tblLook w:val="04a0" w:noVBand="1" w:noHBand="0" w:lastColumn="0" w:firstColumn="1" w:lastRow="0" w:firstRow="1"/>
      </w:tblPr>
      <w:tblGrid>
        <w:gridCol w:w="2694"/>
        <w:gridCol w:w="3544"/>
        <w:gridCol w:w="4140"/>
      </w:tblGrid>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b/>
                <w:sz w:val="16"/>
                <w:szCs w:val="16"/>
                <w:highlight w:val="lightGray"/>
                <w:u w:val="single"/>
              </w:rPr>
            </w:pPr>
            <w:r>
              <w:rPr>
                <w:b/>
                <w:sz w:val="16"/>
                <w:szCs w:val="16"/>
                <w:highlight w:val="lightGray"/>
                <w:u w:val="single"/>
              </w:rPr>
              <w:t>Colour Code</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b/>
                <w:sz w:val="16"/>
                <w:szCs w:val="16"/>
                <w:highlight w:val="lightGray"/>
                <w:u w:val="single"/>
              </w:rPr>
            </w:pPr>
            <w:r>
              <w:rPr>
                <w:b/>
                <w:sz w:val="16"/>
                <w:szCs w:val="16"/>
                <w:highlight w:val="lightGray"/>
                <w:u w:val="single"/>
              </w:rPr>
              <w:t>Tube type and Order of Draw</w:t>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b/>
                <w:sz w:val="16"/>
                <w:szCs w:val="16"/>
                <w:highlight w:val="lightGray"/>
                <w:u w:val="single"/>
              </w:rPr>
            </w:pPr>
            <w:r>
              <w:rPr>
                <w:b/>
                <w:sz w:val="16"/>
                <w:szCs w:val="16"/>
                <w:highlight w:val="lightGray"/>
                <w:u w:val="single"/>
              </w:rPr>
              <w:t>Investigations</w:t>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487680" cy="647700"/>
                  <wp:effectExtent l="0" t="0" r="0" b="0"/>
                  <wp:docPr id="1" name="Picture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title=""/>
                          <pic:cNvPicPr>
                            <a:picLocks noChangeAspect="1" noChangeArrowheads="1"/>
                          </pic:cNvPicPr>
                        </pic:nvPicPr>
                        <pic:blipFill>
                          <a:blip r:embed="rId6"/>
                          <a:stretch>
                            <a:fillRect/>
                          </a:stretch>
                        </pic:blipFill>
                        <pic:spPr bwMode="auto">
                          <a:xfrm>
                            <a:off x="0" y="0"/>
                            <a:ext cx="487680" cy="64770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Brown</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1st</w:t>
            </w:r>
          </w:p>
          <w:tbl>
            <w:tblPr>
              <w:tblW w:w="3328"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3328"/>
            </w:tblGrid>
            <w:tr>
              <w:trPr>
                <w:trHeight w:val="609" w:hRule="atLeast"/>
              </w:trPr>
              <w:tc>
                <w:tcPr>
                  <w:tcW w:w="3328" w:type="dxa"/>
                  <w:tcBorders/>
                </w:tcPr>
                <w:p>
                  <w:pPr>
                    <w:pStyle w:val="Default"/>
                    <w:widowControl w:val="false"/>
                    <w:jc w:val="center"/>
                    <w:rPr>
                      <w:sz w:val="16"/>
                      <w:szCs w:val="16"/>
                      <w:highlight w:val="lightGray"/>
                    </w:rPr>
                  </w:pPr>
                  <w:r>
                    <w:rPr>
                      <w:b/>
                      <w:bCs/>
                      <w:sz w:val="16"/>
                      <w:szCs w:val="16"/>
                      <w:highlight w:val="lightGray"/>
                    </w:rPr>
                    <w:t>Serum Gel</w:t>
                  </w:r>
                </w:p>
                <w:p>
                  <w:pPr>
                    <w:pStyle w:val="Default"/>
                    <w:widowControl w:val="false"/>
                    <w:rPr>
                      <w:color w:val="FF0000"/>
                      <w:sz w:val="16"/>
                      <w:szCs w:val="16"/>
                      <w:highlight w:val="lightGray"/>
                    </w:rPr>
                  </w:pPr>
                  <w:r>
                    <w:rPr>
                      <w:b/>
                      <w:bCs/>
                      <w:color w:val="FF0000"/>
                      <w:sz w:val="16"/>
                      <w:szCs w:val="16"/>
                      <w:highlight w:val="lightGray"/>
                    </w:rPr>
                    <w:t xml:space="preserve">STAND UPRIGHT ONCE DRAWN </w:t>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tbl>
            <w:tblPr>
              <w:tblW w:w="4159"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4159"/>
            </w:tblGrid>
            <w:tr>
              <w:trPr>
                <w:trHeight w:val="471" w:hRule="atLeast"/>
              </w:trPr>
              <w:tc>
                <w:tcPr>
                  <w:tcW w:w="4159" w:type="dxa"/>
                  <w:tcBorders/>
                </w:tcPr>
                <w:p>
                  <w:pPr>
                    <w:pStyle w:val="Default"/>
                    <w:widowControl w:val="false"/>
                    <w:rPr>
                      <w:sz w:val="16"/>
                      <w:szCs w:val="16"/>
                      <w:highlight w:val="lightGray"/>
                    </w:rPr>
                  </w:pPr>
                  <w:r>
                    <w:rPr>
                      <w:b/>
                      <w:sz w:val="16"/>
                      <w:szCs w:val="16"/>
                      <w:highlight w:val="lightGray"/>
                    </w:rPr>
                    <w:t>4.9ml</w:t>
                  </w:r>
                  <w:r>
                    <w:rPr>
                      <w:sz w:val="16"/>
                      <w:szCs w:val="16"/>
                      <w:highlight w:val="lightGray"/>
                    </w:rPr>
                    <w:t xml:space="preserve"> </w:t>
                  </w:r>
                  <w:r>
                    <w:rPr>
                      <w:b/>
                      <w:sz w:val="16"/>
                      <w:szCs w:val="16"/>
                      <w:highlight w:val="lightGray"/>
                    </w:rPr>
                    <w:t>Chemical Pathology</w:t>
                  </w:r>
                  <w:r>
                    <w:rPr>
                      <w:sz w:val="16"/>
                      <w:szCs w:val="16"/>
                      <w:highlight w:val="lightGray"/>
                    </w:rPr>
                    <w:t xml:space="preserve"> (specific tests only, see label)</w:t>
                  </w:r>
                </w:p>
                <w:p>
                  <w:pPr>
                    <w:pStyle w:val="Default"/>
                    <w:widowControl w:val="false"/>
                    <w:rPr>
                      <w:sz w:val="16"/>
                      <w:szCs w:val="16"/>
                      <w:highlight w:val="lightGray"/>
                    </w:rPr>
                  </w:pPr>
                  <w:r>
                    <w:rPr>
                      <w:b/>
                      <w:sz w:val="16"/>
                      <w:szCs w:val="16"/>
                      <w:highlight w:val="lightGray"/>
                    </w:rPr>
                    <w:t>4.9ml Immunology</w:t>
                  </w:r>
                  <w:r>
                    <w:rPr>
                      <w:sz w:val="16"/>
                      <w:szCs w:val="16"/>
                      <w:highlight w:val="lightGray"/>
                    </w:rPr>
                    <w:t xml:space="preserve"> </w:t>
                  </w:r>
                </w:p>
              </w:tc>
            </w:tr>
          </w:tbl>
          <w:p>
            <w:pPr>
              <w:pStyle w:val="Normal"/>
              <w:widowControl w:val="false"/>
              <w:rPr>
                <w:sz w:val="16"/>
                <w:szCs w:val="16"/>
                <w:highlight w:val="lightGray"/>
              </w:rPr>
            </w:pPr>
            <w:r>
              <w:rPr>
                <w:sz w:val="16"/>
                <w:szCs w:val="16"/>
                <w:highlight w:val="lightGray"/>
              </w:rPr>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449580" cy="617220"/>
                  <wp:effectExtent l="0" t="0" r="0" b="0"/>
                  <wp:docPr id="2"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title=""/>
                          <pic:cNvPicPr>
                            <a:picLocks noChangeAspect="1" noChangeArrowheads="1"/>
                          </pic:cNvPicPr>
                        </pic:nvPicPr>
                        <pic:blipFill>
                          <a:blip r:embed="rId7"/>
                          <a:stretch>
                            <a:fillRect/>
                          </a:stretch>
                        </pic:blipFill>
                        <pic:spPr bwMode="auto">
                          <a:xfrm>
                            <a:off x="0" y="0"/>
                            <a:ext cx="449580" cy="61722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White</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2nd</w:t>
            </w:r>
          </w:p>
          <w:tbl>
            <w:tblPr>
              <w:tblW w:w="3328"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3328"/>
            </w:tblGrid>
            <w:tr>
              <w:trPr>
                <w:trHeight w:val="609" w:hRule="atLeast"/>
              </w:trPr>
              <w:tc>
                <w:tcPr>
                  <w:tcW w:w="3328" w:type="dxa"/>
                  <w:tcBorders/>
                </w:tcPr>
                <w:p>
                  <w:pPr>
                    <w:pStyle w:val="Default"/>
                    <w:widowControl w:val="false"/>
                    <w:jc w:val="center"/>
                    <w:rPr>
                      <w:sz w:val="16"/>
                      <w:szCs w:val="16"/>
                      <w:highlight w:val="lightGray"/>
                    </w:rPr>
                  </w:pPr>
                  <w:r>
                    <w:rPr>
                      <w:b/>
                      <w:bCs/>
                      <w:sz w:val="16"/>
                      <w:szCs w:val="16"/>
                      <w:highlight w:val="lightGray"/>
                    </w:rPr>
                    <w:t>Serum</w:t>
                  </w:r>
                </w:p>
                <w:p>
                  <w:pPr>
                    <w:pStyle w:val="Default"/>
                    <w:widowControl w:val="false"/>
                    <w:rPr>
                      <w:color w:val="FF0000"/>
                      <w:sz w:val="16"/>
                      <w:szCs w:val="16"/>
                      <w:highlight w:val="lightGray"/>
                    </w:rPr>
                  </w:pPr>
                  <w:r>
                    <w:rPr>
                      <w:b/>
                      <w:bCs/>
                      <w:color w:val="FF0000"/>
                      <w:sz w:val="16"/>
                      <w:szCs w:val="16"/>
                      <w:highlight w:val="lightGray"/>
                    </w:rPr>
                    <w:t xml:space="preserve">STAND UPRIGHT ONCE DRAWN </w:t>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tbl>
            <w:tblPr>
              <w:tblW w:w="1480"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1480"/>
            </w:tblGrid>
            <w:tr>
              <w:trPr>
                <w:trHeight w:val="120" w:hRule="atLeast"/>
              </w:trPr>
              <w:tc>
                <w:tcPr>
                  <w:tcW w:w="1480" w:type="dxa"/>
                  <w:tcBorders/>
                </w:tcPr>
                <w:p>
                  <w:pPr>
                    <w:pStyle w:val="Default"/>
                    <w:widowControl w:val="false"/>
                    <w:rPr>
                      <w:sz w:val="16"/>
                      <w:szCs w:val="16"/>
                      <w:highlight w:val="lightGray"/>
                    </w:rPr>
                  </w:pPr>
                  <w:r>
                    <w:rPr>
                      <w:sz w:val="16"/>
                      <w:szCs w:val="16"/>
                      <w:highlight w:val="lightGray"/>
                    </w:rPr>
                    <w:t xml:space="preserve"> </w:t>
                  </w:r>
                  <w:r>
                    <w:rPr>
                      <w:b/>
                      <w:sz w:val="16"/>
                      <w:szCs w:val="16"/>
                      <w:highlight w:val="lightGray"/>
                    </w:rPr>
                    <w:t>4.9ml</w:t>
                  </w:r>
                  <w:r>
                    <w:rPr>
                      <w:sz w:val="16"/>
                      <w:szCs w:val="16"/>
                      <w:highlight w:val="lightGray"/>
                    </w:rPr>
                    <w:t xml:space="preserve"> </w:t>
                  </w:r>
                  <w:r>
                    <w:rPr>
                      <w:b/>
                      <w:sz w:val="16"/>
                      <w:szCs w:val="16"/>
                      <w:highlight w:val="lightGray"/>
                    </w:rPr>
                    <w:t>Chemical Pathology</w:t>
                  </w:r>
                  <w:r>
                    <w:rPr>
                      <w:sz w:val="16"/>
                      <w:szCs w:val="16"/>
                      <w:highlight w:val="lightGray"/>
                    </w:rPr>
                    <w:t xml:space="preserve"> (specific tests only,  see label)</w:t>
                  </w:r>
                  <w:r>
                    <w:rPr>
                      <w:b/>
                      <w:sz w:val="16"/>
                      <w:szCs w:val="16"/>
                      <w:highlight w:val="lightGray"/>
                    </w:rPr>
                    <w:t xml:space="preserve">             Virology (</w:t>
                  </w:r>
                  <w:r>
                    <w:rPr>
                      <w:sz w:val="16"/>
                      <w:szCs w:val="16"/>
                      <w:highlight w:val="lightGray"/>
                    </w:rPr>
                    <w:t>Serological testing)</w:t>
                  </w:r>
                </w:p>
              </w:tc>
            </w:tr>
            <w:tr>
              <w:trPr>
                <w:trHeight w:val="120" w:hRule="atLeast"/>
              </w:trPr>
              <w:tc>
                <w:tcPr>
                  <w:tcW w:w="1480" w:type="dxa"/>
                  <w:tcBorders/>
                </w:tcPr>
                <w:p>
                  <w:pPr>
                    <w:pStyle w:val="Default"/>
                    <w:widowControl w:val="false"/>
                    <w:rPr>
                      <w:sz w:val="16"/>
                      <w:szCs w:val="16"/>
                      <w:highlight w:val="lightGray"/>
                    </w:rPr>
                  </w:pPr>
                  <w:r>
                    <w:rPr>
                      <w:sz w:val="16"/>
                      <w:szCs w:val="16"/>
                      <w:highlight w:val="lightGray"/>
                    </w:rPr>
                    <w:t xml:space="preserve"> </w:t>
                  </w:r>
                  <w:r>
                    <w:rPr>
                      <w:b/>
                      <w:bCs/>
                      <w:sz w:val="16"/>
                      <w:szCs w:val="16"/>
                      <w:highlight w:val="lightGray"/>
                    </w:rPr>
                    <w:t xml:space="preserve">4.9ml </w:t>
                  </w:r>
                  <w:r>
                    <w:rPr>
                      <w:sz w:val="16"/>
                      <w:szCs w:val="16"/>
                      <w:highlight w:val="lightGray"/>
                    </w:rPr>
                    <w:t>WHITE on ICE</w:t>
                  </w:r>
                </w:p>
              </w:tc>
            </w:tr>
          </w:tbl>
          <w:p>
            <w:pPr>
              <w:pStyle w:val="Normal"/>
              <w:widowControl w:val="false"/>
              <w:rPr>
                <w:sz w:val="16"/>
                <w:szCs w:val="16"/>
                <w:highlight w:val="lightGray"/>
              </w:rPr>
            </w:pPr>
            <w:r>
              <w:rPr>
                <w:sz w:val="16"/>
                <w:szCs w:val="16"/>
                <w:highlight w:val="lightGray"/>
              </w:rPr>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982980" cy="518160"/>
                  <wp:effectExtent l="0" t="0" r="0" b="0"/>
                  <wp:docPr id="3"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title=""/>
                          <pic:cNvPicPr>
                            <a:picLocks noChangeAspect="1" noChangeArrowheads="1"/>
                          </pic:cNvPicPr>
                        </pic:nvPicPr>
                        <pic:blipFill>
                          <a:blip r:embed="rId8"/>
                          <a:stretch>
                            <a:fillRect/>
                          </a:stretch>
                        </pic:blipFill>
                        <pic:spPr bwMode="auto">
                          <a:xfrm>
                            <a:off x="0" y="0"/>
                            <a:ext cx="982980" cy="51816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Green</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3rd</w:t>
            </w:r>
          </w:p>
          <w:tbl>
            <w:tblPr>
              <w:tblW w:w="3328"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3328"/>
            </w:tblGrid>
            <w:tr>
              <w:trPr>
                <w:trHeight w:val="481" w:hRule="atLeast"/>
              </w:trPr>
              <w:tc>
                <w:tcPr>
                  <w:tcW w:w="3328" w:type="dxa"/>
                  <w:tcBorders/>
                </w:tcPr>
                <w:p>
                  <w:pPr>
                    <w:pStyle w:val="Default"/>
                    <w:widowControl w:val="false"/>
                    <w:jc w:val="center"/>
                    <w:rPr>
                      <w:sz w:val="16"/>
                      <w:szCs w:val="16"/>
                      <w:highlight w:val="lightGray"/>
                    </w:rPr>
                  </w:pPr>
                  <w:r>
                    <w:rPr>
                      <w:b/>
                      <w:bCs/>
                      <w:sz w:val="16"/>
                      <w:szCs w:val="16"/>
                      <w:highlight w:val="lightGray"/>
                    </w:rPr>
                    <w:t xml:space="preserve">        </w:t>
                  </w:r>
                  <w:r>
                    <w:rPr>
                      <w:b/>
                      <w:bCs/>
                      <w:sz w:val="16"/>
                      <w:szCs w:val="16"/>
                      <w:highlight w:val="lightGray"/>
                    </w:rPr>
                    <w:t>Sodium Citrate</w:t>
                  </w:r>
                  <w:r>
                    <w:rPr>
                      <w:sz w:val="16"/>
                      <w:szCs w:val="16"/>
                      <w:highlight w:val="lightGray"/>
                    </w:rPr>
                    <w:t xml:space="preserve"> </w:t>
                  </w:r>
                  <w:r>
                    <w:rPr>
                      <w:b/>
                      <w:bCs/>
                      <w:sz w:val="16"/>
                      <w:szCs w:val="16"/>
                      <w:highlight w:val="lightGray"/>
                    </w:rPr>
                    <w:t>Coag</w:t>
                  </w:r>
                </w:p>
                <w:p>
                  <w:pPr>
                    <w:pStyle w:val="Default"/>
                    <w:widowControl w:val="false"/>
                    <w:jc w:val="center"/>
                    <w:rPr>
                      <w:sz w:val="16"/>
                      <w:szCs w:val="16"/>
                      <w:highlight w:val="lightGray"/>
                    </w:rPr>
                  </w:pPr>
                  <w:r>
                    <w:rPr>
                      <w:sz w:val="16"/>
                      <w:szCs w:val="16"/>
                      <w:highlight w:val="lightGray"/>
                    </w:rPr>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tbl>
            <w:tblPr>
              <w:tblW w:w="4710"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4710"/>
            </w:tblGrid>
            <w:tr>
              <w:trPr>
                <w:trHeight w:val="412" w:hRule="atLeast"/>
              </w:trPr>
              <w:tc>
                <w:tcPr>
                  <w:tcW w:w="4710" w:type="dxa"/>
                  <w:tcBorders/>
                </w:tcPr>
                <w:p>
                  <w:pPr>
                    <w:pStyle w:val="Default"/>
                    <w:widowControl w:val="false"/>
                    <w:rPr>
                      <w:sz w:val="16"/>
                      <w:szCs w:val="16"/>
                      <w:highlight w:val="lightGray"/>
                    </w:rPr>
                  </w:pPr>
                  <w:r>
                    <w:rPr>
                      <w:b/>
                      <w:bCs/>
                      <w:sz w:val="16"/>
                      <w:szCs w:val="16"/>
                      <w:highlight w:val="lightGray"/>
                    </w:rPr>
                    <w:t xml:space="preserve">10ml </w:t>
                  </w:r>
                  <w:r>
                    <w:rPr>
                      <w:sz w:val="16"/>
                      <w:szCs w:val="16"/>
                      <w:highlight w:val="lightGray"/>
                    </w:rPr>
                    <w:t xml:space="preserve">required for </w:t>
                  </w:r>
                  <w:r>
                    <w:rPr>
                      <w:b/>
                      <w:sz w:val="16"/>
                      <w:szCs w:val="16"/>
                      <w:highlight w:val="lightGray"/>
                    </w:rPr>
                    <w:t>HLA27 / Tissue Typing</w:t>
                  </w:r>
                  <w:r>
                    <w:rPr>
                      <w:sz w:val="16"/>
                      <w:szCs w:val="16"/>
                      <w:highlight w:val="lightGray"/>
                    </w:rPr>
                    <w:t xml:space="preserve"> </w:t>
                  </w:r>
                </w:p>
                <w:p>
                  <w:pPr>
                    <w:pStyle w:val="Default"/>
                    <w:widowControl w:val="false"/>
                    <w:rPr>
                      <w:sz w:val="16"/>
                      <w:szCs w:val="16"/>
                      <w:highlight w:val="lightGray"/>
                    </w:rPr>
                  </w:pPr>
                  <w:r>
                    <w:rPr>
                      <w:b/>
                      <w:bCs/>
                      <w:sz w:val="16"/>
                      <w:szCs w:val="16"/>
                      <w:highlight w:val="lightGray"/>
                    </w:rPr>
                    <w:t xml:space="preserve">2.9ml / 1.8ml </w:t>
                  </w:r>
                  <w:r>
                    <w:rPr>
                      <w:sz w:val="16"/>
                      <w:szCs w:val="16"/>
                      <w:highlight w:val="lightGray"/>
                    </w:rPr>
                    <w:t xml:space="preserve">for </w:t>
                  </w:r>
                  <w:r>
                    <w:rPr>
                      <w:b/>
                      <w:sz w:val="16"/>
                      <w:szCs w:val="16"/>
                      <w:highlight w:val="lightGray"/>
                    </w:rPr>
                    <w:t>Coagulation Tests</w:t>
                  </w:r>
                </w:p>
                <w:p>
                  <w:pPr>
                    <w:pStyle w:val="Default"/>
                    <w:widowControl w:val="false"/>
                    <w:rPr>
                      <w:color w:val="FF0000"/>
                      <w:sz w:val="16"/>
                      <w:szCs w:val="16"/>
                      <w:highlight w:val="lightGray"/>
                    </w:rPr>
                  </w:pPr>
                  <w:r>
                    <w:rPr>
                      <w:b/>
                      <w:bCs/>
                      <w:i/>
                      <w:iCs/>
                      <w:color w:val="FF0000"/>
                      <w:sz w:val="16"/>
                      <w:szCs w:val="16"/>
                      <w:highlight w:val="lightGray"/>
                    </w:rPr>
                    <w:t xml:space="preserve">Under-filled or over-filled tubes will be rejected </w:t>
                  </w:r>
                </w:p>
              </w:tc>
            </w:tr>
          </w:tbl>
          <w:p>
            <w:pPr>
              <w:pStyle w:val="Normal"/>
              <w:widowControl w:val="false"/>
              <w:rPr>
                <w:sz w:val="16"/>
                <w:szCs w:val="16"/>
                <w:highlight w:val="lightGray"/>
              </w:rPr>
            </w:pPr>
            <w:r>
              <w:rPr>
                <w:sz w:val="16"/>
                <w:szCs w:val="16"/>
                <w:highlight w:val="lightGray"/>
              </w:rPr>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868680" cy="563880"/>
                  <wp:effectExtent l="0" t="0" r="0" b="0"/>
                  <wp:docPr id="4"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title=""/>
                          <pic:cNvPicPr>
                            <a:picLocks noChangeAspect="1" noChangeArrowheads="1"/>
                          </pic:cNvPicPr>
                        </pic:nvPicPr>
                        <pic:blipFill>
                          <a:blip r:embed="rId9"/>
                          <a:stretch>
                            <a:fillRect/>
                          </a:stretch>
                        </pic:blipFill>
                        <pic:spPr bwMode="auto">
                          <a:xfrm>
                            <a:off x="0" y="0"/>
                            <a:ext cx="868680" cy="56388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Orange</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4th</w:t>
            </w:r>
          </w:p>
          <w:tbl>
            <w:tblPr>
              <w:tblW w:w="2348" w:type="dxa"/>
              <w:jc w:val="start"/>
              <w:tblInd w:w="484" w:type="dxa"/>
              <w:tblLayout w:type="fixed"/>
              <w:tblCellMar>
                <w:top w:w="0" w:type="dxa"/>
                <w:start w:w="108" w:type="dxa"/>
                <w:bottom w:w="0" w:type="dxa"/>
                <w:end w:w="108" w:type="dxa"/>
              </w:tblCellMar>
              <w:tblLook w:val="0000" w:noVBand="0" w:noHBand="0" w:lastColumn="0" w:firstColumn="0" w:lastRow="0" w:firstRow="0"/>
            </w:tblPr>
            <w:tblGrid>
              <w:gridCol w:w="2348"/>
            </w:tblGrid>
            <w:tr>
              <w:trPr>
                <w:trHeight w:val="458" w:hRule="atLeast"/>
              </w:trPr>
              <w:tc>
                <w:tcPr>
                  <w:tcW w:w="2348" w:type="dxa"/>
                  <w:tcBorders/>
                </w:tcPr>
                <w:p>
                  <w:pPr>
                    <w:pStyle w:val="Default"/>
                    <w:widowControl w:val="false"/>
                    <w:jc w:val="center"/>
                    <w:rPr>
                      <w:sz w:val="16"/>
                      <w:szCs w:val="16"/>
                      <w:highlight w:val="lightGray"/>
                    </w:rPr>
                  </w:pPr>
                  <w:r>
                    <w:rPr>
                      <w:b/>
                      <w:bCs/>
                      <w:sz w:val="16"/>
                      <w:szCs w:val="16"/>
                      <w:highlight w:val="lightGray"/>
                    </w:rPr>
                    <w:t>Lithium Heparin</w:t>
                  </w:r>
                </w:p>
                <w:p>
                  <w:pPr>
                    <w:pStyle w:val="Default"/>
                    <w:widowControl w:val="false"/>
                    <w:jc w:val="center"/>
                    <w:rPr>
                      <w:sz w:val="16"/>
                      <w:szCs w:val="16"/>
                      <w:highlight w:val="lightGray"/>
                    </w:rPr>
                  </w:pPr>
                  <w:r>
                    <w:rPr>
                      <w:sz w:val="16"/>
                      <w:szCs w:val="16"/>
                      <w:highlight w:val="lightGray"/>
                    </w:rPr>
                    <w:t>4.9ml</w:t>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tbl>
            <w:tblPr>
              <w:tblW w:w="3884"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3884"/>
            </w:tblGrid>
            <w:tr>
              <w:trPr>
                <w:trHeight w:val="266" w:hRule="atLeast"/>
              </w:trPr>
              <w:tc>
                <w:tcPr>
                  <w:tcW w:w="3884" w:type="dxa"/>
                  <w:tcBorders/>
                </w:tcPr>
                <w:p>
                  <w:pPr>
                    <w:pStyle w:val="Default"/>
                    <w:widowControl w:val="false"/>
                    <w:rPr>
                      <w:sz w:val="16"/>
                      <w:szCs w:val="16"/>
                      <w:highlight w:val="lightGray"/>
                    </w:rPr>
                  </w:pPr>
                  <w:r>
                    <w:rPr>
                      <w:b/>
                      <w:sz w:val="16"/>
                      <w:szCs w:val="16"/>
                      <w:highlight w:val="lightGray"/>
                    </w:rPr>
                    <w:t>Troponin</w:t>
                  </w:r>
                  <w:r>
                    <w:rPr>
                      <w:sz w:val="16"/>
                      <w:szCs w:val="16"/>
                      <w:highlight w:val="lightGray"/>
                    </w:rPr>
                    <w:t xml:space="preserve"> only </w:t>
                  </w:r>
                </w:p>
                <w:p>
                  <w:pPr>
                    <w:pStyle w:val="Default"/>
                    <w:widowControl w:val="false"/>
                    <w:rPr>
                      <w:sz w:val="16"/>
                      <w:szCs w:val="16"/>
                      <w:highlight w:val="lightGray"/>
                    </w:rPr>
                  </w:pPr>
                  <w:r>
                    <w:rPr>
                      <w:sz w:val="16"/>
                      <w:szCs w:val="16"/>
                      <w:highlight w:val="lightGray"/>
                    </w:rPr>
                  </w:r>
                </w:p>
                <w:p>
                  <w:pPr>
                    <w:pStyle w:val="Default"/>
                    <w:widowControl w:val="false"/>
                    <w:rPr>
                      <w:color w:val="FF0000"/>
                      <w:sz w:val="16"/>
                      <w:szCs w:val="16"/>
                      <w:highlight w:val="lightGray"/>
                    </w:rPr>
                  </w:pPr>
                  <w:r>
                    <w:rPr>
                      <w:b/>
                      <w:bCs/>
                      <w:i/>
                      <w:iCs/>
                      <w:color w:val="FF0000"/>
                      <w:sz w:val="16"/>
                      <w:szCs w:val="16"/>
                      <w:highlight w:val="lightGray"/>
                    </w:rPr>
                    <w:t>Under-filled tubes will be rejected</w:t>
                  </w:r>
                </w:p>
              </w:tc>
            </w:tr>
          </w:tbl>
          <w:p>
            <w:pPr>
              <w:pStyle w:val="Normal"/>
              <w:widowControl w:val="false"/>
              <w:rPr>
                <w:sz w:val="16"/>
                <w:szCs w:val="16"/>
                <w:highlight w:val="lightGray"/>
              </w:rPr>
            </w:pPr>
            <w:r>
              <w:rPr>
                <w:sz w:val="16"/>
                <w:szCs w:val="16"/>
                <w:highlight w:val="lightGray"/>
              </w:rPr>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868680" cy="563880"/>
                  <wp:effectExtent l="0" t="0" r="0" b="0"/>
                  <wp:docPr id="5"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title=""/>
                          <pic:cNvPicPr>
                            <a:picLocks noChangeAspect="1" noChangeArrowheads="1"/>
                          </pic:cNvPicPr>
                        </pic:nvPicPr>
                        <pic:blipFill>
                          <a:blip r:embed="rId10"/>
                          <a:stretch>
                            <a:fillRect/>
                          </a:stretch>
                        </pic:blipFill>
                        <pic:spPr bwMode="auto">
                          <a:xfrm>
                            <a:off x="0" y="0"/>
                            <a:ext cx="868680" cy="56388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Orange</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5th</w:t>
            </w:r>
          </w:p>
          <w:p>
            <w:pPr>
              <w:pStyle w:val="Default"/>
              <w:widowControl w:val="false"/>
              <w:suppressAutoHyphens w:val="true"/>
              <w:jc w:val="center"/>
              <w:rPr>
                <w:sz w:val="16"/>
                <w:szCs w:val="16"/>
                <w:highlight w:val="lightGray"/>
              </w:rPr>
            </w:pPr>
            <w:r>
              <w:rPr>
                <w:sz w:val="16"/>
                <w:szCs w:val="16"/>
                <w:highlight w:val="lightGray"/>
              </w:rPr>
            </w:r>
          </w:p>
          <w:tbl>
            <w:tblPr>
              <w:tblW w:w="2348" w:type="dxa"/>
              <w:jc w:val="start"/>
              <w:tblInd w:w="612" w:type="dxa"/>
              <w:tblLayout w:type="fixed"/>
              <w:tblCellMar>
                <w:top w:w="0" w:type="dxa"/>
                <w:start w:w="108" w:type="dxa"/>
                <w:bottom w:w="0" w:type="dxa"/>
                <w:end w:w="108" w:type="dxa"/>
              </w:tblCellMar>
              <w:tblLook w:val="0000" w:noVBand="0" w:noHBand="0" w:lastColumn="0" w:firstColumn="0" w:lastRow="0" w:firstRow="0"/>
            </w:tblPr>
            <w:tblGrid>
              <w:gridCol w:w="2348"/>
            </w:tblGrid>
            <w:tr>
              <w:trPr>
                <w:trHeight w:val="456" w:hRule="atLeast"/>
              </w:trPr>
              <w:tc>
                <w:tcPr>
                  <w:tcW w:w="2348" w:type="dxa"/>
                  <w:tcBorders/>
                </w:tcPr>
                <w:p>
                  <w:pPr>
                    <w:pStyle w:val="Default"/>
                    <w:widowControl w:val="false"/>
                    <w:jc w:val="center"/>
                    <w:rPr>
                      <w:b/>
                      <w:bCs/>
                      <w:sz w:val="16"/>
                      <w:szCs w:val="16"/>
                      <w:highlight w:val="lightGray"/>
                    </w:rPr>
                  </w:pPr>
                  <w:r>
                    <w:rPr>
                      <w:b/>
                      <w:bCs/>
                      <w:sz w:val="16"/>
                      <w:szCs w:val="16"/>
                      <w:highlight w:val="lightGray"/>
                    </w:rPr>
                    <w:t>Lithium Heparin</w:t>
                  </w:r>
                </w:p>
                <w:p>
                  <w:pPr>
                    <w:pStyle w:val="Default"/>
                    <w:widowControl w:val="false"/>
                    <w:rPr>
                      <w:sz w:val="16"/>
                      <w:szCs w:val="16"/>
                      <w:highlight w:val="lightGray"/>
                    </w:rPr>
                  </w:pPr>
                  <w:r>
                    <w:rPr>
                      <w:sz w:val="16"/>
                      <w:szCs w:val="16"/>
                      <w:highlight w:val="lightGray"/>
                    </w:rPr>
                    <w:t xml:space="preserve">            </w:t>
                  </w:r>
                  <w:r>
                    <w:rPr>
                      <w:sz w:val="16"/>
                      <w:szCs w:val="16"/>
                      <w:highlight w:val="lightGray"/>
                    </w:rPr>
                    <w:t xml:space="preserve">4.9ml </w:t>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tbl>
            <w:tblPr>
              <w:tblW w:w="4710"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4710"/>
            </w:tblGrid>
            <w:tr>
              <w:trPr>
                <w:trHeight w:val="564" w:hRule="atLeast"/>
              </w:trPr>
              <w:tc>
                <w:tcPr>
                  <w:tcW w:w="4710" w:type="dxa"/>
                  <w:tcBorders/>
                </w:tcPr>
                <w:p>
                  <w:pPr>
                    <w:pStyle w:val="Default"/>
                    <w:widowControl w:val="false"/>
                    <w:rPr>
                      <w:sz w:val="16"/>
                      <w:szCs w:val="16"/>
                      <w:highlight w:val="lightGray"/>
                    </w:rPr>
                  </w:pPr>
                  <w:r>
                    <w:rPr>
                      <w:b/>
                      <w:bCs/>
                      <w:sz w:val="16"/>
                      <w:szCs w:val="16"/>
                      <w:highlight w:val="lightGray"/>
                    </w:rPr>
                    <w:t xml:space="preserve">4.9ml </w:t>
                  </w:r>
                  <w:r>
                    <w:rPr>
                      <w:sz w:val="16"/>
                      <w:szCs w:val="16"/>
                      <w:highlight w:val="lightGray"/>
                    </w:rPr>
                    <w:t xml:space="preserve"> </w:t>
                  </w:r>
                  <w:r>
                    <w:rPr>
                      <w:b/>
                      <w:sz w:val="16"/>
                      <w:szCs w:val="16"/>
                      <w:highlight w:val="lightGray"/>
                    </w:rPr>
                    <w:t>Chemical Pathology</w:t>
                  </w:r>
                  <w:r>
                    <w:rPr>
                      <w:sz w:val="16"/>
                      <w:szCs w:val="16"/>
                      <w:highlight w:val="lightGray"/>
                    </w:rPr>
                    <w:t xml:space="preserve"> (specific tests only)</w:t>
                  </w:r>
                </w:p>
                <w:p>
                  <w:pPr>
                    <w:pStyle w:val="Default"/>
                    <w:widowControl w:val="false"/>
                    <w:rPr>
                      <w:sz w:val="16"/>
                      <w:szCs w:val="16"/>
                      <w:highlight w:val="lightGray"/>
                    </w:rPr>
                  </w:pPr>
                  <w:r>
                    <w:rPr>
                      <w:b/>
                      <w:bCs/>
                      <w:sz w:val="16"/>
                      <w:szCs w:val="16"/>
                      <w:highlight w:val="lightGray"/>
                    </w:rPr>
                    <w:t xml:space="preserve">4.9ml </w:t>
                  </w:r>
                  <w:r>
                    <w:rPr>
                      <w:sz w:val="16"/>
                      <w:szCs w:val="16"/>
                      <w:highlight w:val="lightGray"/>
                    </w:rPr>
                    <w:t xml:space="preserve">orange on ice </w:t>
                  </w:r>
                </w:p>
                <w:tbl>
                  <w:tblPr>
                    <w:tblW w:w="4494"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4494"/>
                  </w:tblGrid>
                  <w:tr>
                    <w:trPr>
                      <w:trHeight w:val="120" w:hRule="atLeast"/>
                    </w:trPr>
                    <w:tc>
                      <w:tcPr>
                        <w:tcW w:w="4494" w:type="dxa"/>
                        <w:tcBorders/>
                      </w:tcPr>
                      <w:p>
                        <w:pPr>
                          <w:pStyle w:val="Default"/>
                          <w:widowControl w:val="false"/>
                          <w:rPr>
                            <w:sz w:val="16"/>
                            <w:szCs w:val="16"/>
                            <w:highlight w:val="lightGray"/>
                          </w:rPr>
                        </w:pPr>
                        <w:r>
                          <w:rPr>
                            <w:sz w:val="16"/>
                            <w:szCs w:val="16"/>
                            <w:highlight w:val="lightGray"/>
                          </w:rPr>
                          <w:t xml:space="preserve">Metal-free available from Specimen Reception (using special metal-free needle) </w:t>
                        </w:r>
                      </w:p>
                    </w:tc>
                  </w:tr>
                </w:tbl>
                <w:p>
                  <w:pPr>
                    <w:pStyle w:val="Default"/>
                    <w:widowControl w:val="false"/>
                    <w:rPr>
                      <w:sz w:val="16"/>
                      <w:szCs w:val="16"/>
                      <w:highlight w:val="lightGray"/>
                    </w:rPr>
                  </w:pPr>
                  <w:r>
                    <w:rPr>
                      <w:sz w:val="16"/>
                      <w:szCs w:val="16"/>
                      <w:highlight w:val="lightGray"/>
                    </w:rPr>
                  </w:r>
                </w:p>
              </w:tc>
            </w:tr>
          </w:tbl>
          <w:p>
            <w:pPr>
              <w:pStyle w:val="Normal"/>
              <w:widowControl w:val="false"/>
              <w:rPr>
                <w:sz w:val="16"/>
                <w:szCs w:val="16"/>
                <w:highlight w:val="lightGray"/>
              </w:rPr>
            </w:pPr>
            <w:r>
              <w:rPr>
                <w:sz w:val="16"/>
                <w:szCs w:val="16"/>
                <w:highlight w:val="lightGray"/>
              </w:rPr>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906780" cy="525780"/>
                  <wp:effectExtent l="0" t="0" r="0" b="0"/>
                  <wp:docPr id="6"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title=""/>
                          <pic:cNvPicPr>
                            <a:picLocks noChangeAspect="1" noChangeArrowheads="1"/>
                          </pic:cNvPicPr>
                        </pic:nvPicPr>
                        <pic:blipFill>
                          <a:blip r:embed="rId11"/>
                          <a:stretch>
                            <a:fillRect/>
                          </a:stretch>
                        </pic:blipFill>
                        <pic:spPr bwMode="auto">
                          <a:xfrm>
                            <a:off x="0" y="0"/>
                            <a:ext cx="906780" cy="52578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Pink</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6th</w:t>
            </w:r>
          </w:p>
          <w:tbl>
            <w:tblPr>
              <w:tblW w:w="2513" w:type="dxa"/>
              <w:jc w:val="start"/>
              <w:tblInd w:w="394" w:type="dxa"/>
              <w:tblLayout w:type="fixed"/>
              <w:tblCellMar>
                <w:top w:w="0" w:type="dxa"/>
                <w:start w:w="108" w:type="dxa"/>
                <w:bottom w:w="0" w:type="dxa"/>
                <w:end w:w="108" w:type="dxa"/>
              </w:tblCellMar>
              <w:tblLook w:val="0000" w:noVBand="0" w:noHBand="0" w:lastColumn="0" w:firstColumn="0" w:lastRow="0" w:firstRow="0"/>
            </w:tblPr>
            <w:tblGrid>
              <w:gridCol w:w="2513"/>
            </w:tblGrid>
            <w:tr>
              <w:trPr>
                <w:trHeight w:val="458" w:hRule="atLeast"/>
              </w:trPr>
              <w:tc>
                <w:tcPr>
                  <w:tcW w:w="2513" w:type="dxa"/>
                  <w:tcBorders/>
                </w:tcPr>
                <w:p>
                  <w:pPr>
                    <w:pStyle w:val="Default"/>
                    <w:widowControl w:val="false"/>
                    <w:jc w:val="center"/>
                    <w:rPr>
                      <w:sz w:val="16"/>
                      <w:szCs w:val="16"/>
                      <w:highlight w:val="lightGray"/>
                    </w:rPr>
                  </w:pPr>
                  <w:r>
                    <w:rPr>
                      <w:b/>
                      <w:bCs/>
                      <w:sz w:val="16"/>
                      <w:szCs w:val="16"/>
                      <w:highlight w:val="lightGray"/>
                    </w:rPr>
                    <w:t>K-EDTA</w:t>
                  </w:r>
                </w:p>
                <w:p>
                  <w:pPr>
                    <w:pStyle w:val="Default"/>
                    <w:widowControl w:val="false"/>
                    <w:rPr>
                      <w:sz w:val="16"/>
                      <w:szCs w:val="16"/>
                      <w:highlight w:val="lightGray"/>
                    </w:rPr>
                  </w:pPr>
                  <w:r>
                    <w:rPr>
                      <w:sz w:val="16"/>
                      <w:szCs w:val="16"/>
                      <w:highlight w:val="lightGray"/>
                    </w:rPr>
                    <w:t xml:space="preserve"> </w:t>
                  </w:r>
                </w:p>
              </w:tc>
            </w:tr>
            <w:tr>
              <w:trPr>
                <w:trHeight w:val="120" w:hRule="atLeast"/>
              </w:trPr>
              <w:tc>
                <w:tcPr>
                  <w:tcW w:w="2513" w:type="dxa"/>
                  <w:tcBorders/>
                </w:tcPr>
                <w:p>
                  <w:pPr>
                    <w:pStyle w:val="Default"/>
                    <w:widowControl w:val="false"/>
                    <w:rPr>
                      <w:sz w:val="16"/>
                      <w:szCs w:val="16"/>
                      <w:highlight w:val="lightGray"/>
                    </w:rPr>
                  </w:pPr>
                  <w:r>
                    <w:rPr>
                      <w:sz w:val="16"/>
                      <w:szCs w:val="16"/>
                      <w:highlight w:val="lightGray"/>
                    </w:rPr>
                    <w:t xml:space="preserve"> </w:t>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tbl>
            <w:tblPr>
              <w:tblW w:w="4710"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4710"/>
            </w:tblGrid>
            <w:tr>
              <w:trPr>
                <w:trHeight w:val="705" w:hRule="atLeast"/>
              </w:trPr>
              <w:tc>
                <w:tcPr>
                  <w:tcW w:w="4710" w:type="dxa"/>
                  <w:tcBorders/>
                </w:tcPr>
                <w:p>
                  <w:pPr>
                    <w:pStyle w:val="Default"/>
                    <w:widowControl w:val="false"/>
                    <w:rPr>
                      <w:b/>
                      <w:bCs/>
                      <w:sz w:val="16"/>
                      <w:szCs w:val="16"/>
                      <w:highlight w:val="lightGray"/>
                    </w:rPr>
                  </w:pPr>
                  <w:r>
                    <w:rPr>
                      <w:b/>
                      <w:bCs/>
                      <w:sz w:val="16"/>
                      <w:szCs w:val="16"/>
                      <w:highlight w:val="lightGray"/>
                    </w:rPr>
                    <w:t xml:space="preserve">2.6ml </w:t>
                  </w:r>
                  <w:r>
                    <w:rPr>
                      <w:sz w:val="16"/>
                      <w:szCs w:val="16"/>
                      <w:highlight w:val="lightGray"/>
                    </w:rPr>
                    <w:t xml:space="preserve">Pink </w:t>
                  </w:r>
                  <w:r>
                    <w:rPr>
                      <w:b/>
                      <w:sz w:val="16"/>
                      <w:szCs w:val="16"/>
                      <w:highlight w:val="lightGray"/>
                    </w:rPr>
                    <w:t>FBC (Haematology tests),HbA1C</w:t>
                  </w:r>
                  <w:r>
                    <w:rPr>
                      <w:sz w:val="16"/>
                      <w:szCs w:val="16"/>
                      <w:highlight w:val="lightGray"/>
                    </w:rPr>
                    <w:t xml:space="preserve"> </w:t>
                  </w:r>
                </w:p>
                <w:p>
                  <w:pPr>
                    <w:pStyle w:val="Default"/>
                    <w:widowControl w:val="false"/>
                    <w:rPr>
                      <w:b/>
                      <w:sz w:val="16"/>
                      <w:szCs w:val="16"/>
                      <w:highlight w:val="lightGray"/>
                    </w:rPr>
                  </w:pPr>
                  <w:r>
                    <w:rPr>
                      <w:b/>
                      <w:sz w:val="16"/>
                      <w:szCs w:val="16"/>
                      <w:highlight w:val="lightGray"/>
                    </w:rPr>
                    <w:t>Molecular Tests</w:t>
                  </w:r>
                </w:p>
                <w:p>
                  <w:pPr>
                    <w:pStyle w:val="Default"/>
                    <w:widowControl w:val="false"/>
                    <w:rPr>
                      <w:sz w:val="16"/>
                      <w:szCs w:val="16"/>
                      <w:highlight w:val="lightGray"/>
                    </w:rPr>
                  </w:pPr>
                  <w:r>
                    <w:rPr>
                      <w:b/>
                      <w:sz w:val="16"/>
                      <w:szCs w:val="16"/>
                      <w:highlight w:val="lightGray"/>
                    </w:rPr>
                    <w:t>Virology</w:t>
                  </w:r>
                  <w:r>
                    <w:rPr>
                      <w:sz w:val="16"/>
                      <w:szCs w:val="16"/>
                      <w:highlight w:val="lightGray"/>
                    </w:rPr>
                    <w:t xml:space="preserve"> (Molecular Investigations eg    EBV,CMV,HIV molecular) </w:t>
                  </w:r>
                </w:p>
              </w:tc>
            </w:tr>
          </w:tbl>
          <w:p>
            <w:pPr>
              <w:pStyle w:val="Normal"/>
              <w:widowControl w:val="false"/>
              <w:rPr>
                <w:sz w:val="16"/>
                <w:szCs w:val="16"/>
                <w:highlight w:val="lightGray"/>
              </w:rPr>
            </w:pPr>
            <w:r>
              <w:rPr>
                <w:sz w:val="16"/>
                <w:szCs w:val="16"/>
                <w:highlight w:val="lightGray"/>
              </w:rPr>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914400" cy="556260"/>
                  <wp:effectExtent l="0" t="0" r="0" b="0"/>
                  <wp:docPr id="7"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title=""/>
                          <pic:cNvPicPr>
                            <a:picLocks noChangeAspect="1" noChangeArrowheads="1"/>
                          </pic:cNvPicPr>
                        </pic:nvPicPr>
                        <pic:blipFill>
                          <a:blip r:embed="rId12"/>
                          <a:stretch>
                            <a:fillRect/>
                          </a:stretch>
                        </pic:blipFill>
                        <pic:spPr bwMode="auto">
                          <a:xfrm>
                            <a:off x="0" y="0"/>
                            <a:ext cx="914400" cy="55626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Blue</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7th</w:t>
            </w:r>
          </w:p>
          <w:tbl>
            <w:tblPr>
              <w:tblW w:w="2851" w:type="dxa"/>
              <w:jc w:val="start"/>
              <w:tblInd w:w="349" w:type="dxa"/>
              <w:tblLayout w:type="fixed"/>
              <w:tblCellMar>
                <w:top w:w="0" w:type="dxa"/>
                <w:start w:w="108" w:type="dxa"/>
                <w:bottom w:w="0" w:type="dxa"/>
                <w:end w:w="108" w:type="dxa"/>
              </w:tblCellMar>
              <w:tblLook w:val="0000" w:noVBand="0" w:noHBand="0" w:lastColumn="0" w:firstColumn="0" w:lastRow="0" w:firstRow="0"/>
            </w:tblPr>
            <w:tblGrid>
              <w:gridCol w:w="2851"/>
            </w:tblGrid>
            <w:tr>
              <w:trPr>
                <w:trHeight w:val="609" w:hRule="atLeast"/>
              </w:trPr>
              <w:tc>
                <w:tcPr>
                  <w:tcW w:w="2851" w:type="dxa"/>
                  <w:tcBorders/>
                </w:tcPr>
                <w:p>
                  <w:pPr>
                    <w:pStyle w:val="Default"/>
                    <w:widowControl w:val="false"/>
                    <w:jc w:val="center"/>
                    <w:rPr>
                      <w:sz w:val="16"/>
                      <w:szCs w:val="16"/>
                      <w:highlight w:val="lightGray"/>
                    </w:rPr>
                  </w:pPr>
                  <w:r>
                    <w:rPr>
                      <w:b/>
                      <w:bCs/>
                      <w:sz w:val="16"/>
                      <w:szCs w:val="16"/>
                      <w:highlight w:val="lightGray"/>
                    </w:rPr>
                    <w:t>K-EDTA</w:t>
                  </w:r>
                </w:p>
                <w:p>
                  <w:pPr>
                    <w:pStyle w:val="Default"/>
                    <w:widowControl w:val="false"/>
                    <w:rPr>
                      <w:sz w:val="16"/>
                      <w:szCs w:val="16"/>
                      <w:highlight w:val="lightGray"/>
                    </w:rPr>
                  </w:pPr>
                  <w:r>
                    <w:rPr>
                      <w:sz w:val="16"/>
                      <w:szCs w:val="16"/>
                      <w:highlight w:val="lightGray"/>
                    </w:rPr>
                    <w:t xml:space="preserve">Blue 4.9ml with BTD label </w:t>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rPr>
                <w:sz w:val="16"/>
                <w:szCs w:val="16"/>
                <w:highlight w:val="lightGray"/>
              </w:rPr>
            </w:pPr>
            <w:r>
              <w:rPr>
                <w:b/>
                <w:sz w:val="16"/>
                <w:szCs w:val="16"/>
                <w:highlight w:val="lightGray"/>
              </w:rPr>
              <w:t>4.9 ml</w:t>
            </w:r>
            <w:r>
              <w:rPr>
                <w:sz w:val="16"/>
                <w:szCs w:val="16"/>
                <w:highlight w:val="lightGray"/>
              </w:rPr>
              <w:t xml:space="preserve"> EDTA for </w:t>
            </w:r>
            <w:r>
              <w:rPr>
                <w:b/>
                <w:sz w:val="16"/>
                <w:szCs w:val="16"/>
                <w:highlight w:val="lightGray"/>
              </w:rPr>
              <w:t>Type and Screen</w:t>
            </w:r>
          </w:p>
          <w:p>
            <w:pPr>
              <w:pStyle w:val="Normal"/>
              <w:widowControl w:val="false"/>
              <w:rPr>
                <w:sz w:val="16"/>
                <w:szCs w:val="16"/>
                <w:highlight w:val="lightGray"/>
              </w:rPr>
            </w:pPr>
            <w:r>
              <w:rPr>
                <w:sz w:val="16"/>
                <w:szCs w:val="16"/>
                <w:highlight w:val="lightGray"/>
              </w:rPr>
              <w:t xml:space="preserve"> </w:t>
            </w:r>
          </w:p>
          <w:p>
            <w:pPr>
              <w:pStyle w:val="Default"/>
              <w:widowControl w:val="false"/>
              <w:suppressAutoHyphens w:val="true"/>
              <w:rPr>
                <w:sz w:val="16"/>
                <w:szCs w:val="16"/>
                <w:highlight w:val="lightGray"/>
              </w:rPr>
            </w:pPr>
            <w:r>
              <w:rPr>
                <w:b/>
                <w:sz w:val="16"/>
                <w:szCs w:val="16"/>
                <w:highlight w:val="lightGray"/>
              </w:rPr>
              <w:t>4.9 ml</w:t>
            </w:r>
            <w:r>
              <w:rPr>
                <w:sz w:val="16"/>
                <w:szCs w:val="16"/>
                <w:highlight w:val="lightGray"/>
              </w:rPr>
              <w:t xml:space="preserve"> EDTA for </w:t>
            </w:r>
            <w:r>
              <w:rPr>
                <w:b/>
                <w:sz w:val="16"/>
                <w:szCs w:val="16"/>
                <w:highlight w:val="lightGray"/>
              </w:rPr>
              <w:t>ACTH/PTH/Aldosterone/Renin</w:t>
            </w:r>
          </w:p>
        </w:tc>
      </w:tr>
      <w:tr>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868680" cy="563880"/>
                  <wp:effectExtent l="0" t="0" r="0" b="0"/>
                  <wp:docPr id="8"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title=""/>
                          <pic:cNvPicPr>
                            <a:picLocks noChangeAspect="1" noChangeArrowheads="1"/>
                          </pic:cNvPicPr>
                        </pic:nvPicPr>
                        <pic:blipFill>
                          <a:blip r:embed="rId13"/>
                          <a:stretch>
                            <a:fillRect/>
                          </a:stretch>
                        </pic:blipFill>
                        <pic:spPr bwMode="auto">
                          <a:xfrm>
                            <a:off x="0" y="0"/>
                            <a:ext cx="868680" cy="563880"/>
                          </a:xfrm>
                          <a:prstGeom prst="rect">
                            <a:avLst/>
                          </a:prstGeom>
                        </pic:spPr>
                      </pic:pic>
                    </a:graphicData>
                  </a:graphic>
                </wp:inline>
              </w:drawing>
            </w:r>
          </w:p>
          <w:p>
            <w:pPr>
              <w:pStyle w:val="Normal"/>
              <w:widowControl w:val="false"/>
              <w:jc w:val="center"/>
              <w:rPr>
                <w:b/>
                <w:sz w:val="16"/>
                <w:szCs w:val="16"/>
                <w:highlight w:val="lightGray"/>
              </w:rPr>
            </w:pPr>
            <w:r>
              <w:rPr>
                <w:b/>
                <w:sz w:val="16"/>
                <w:szCs w:val="16"/>
                <w:highlight w:val="lightGray"/>
              </w:rPr>
              <w:t>Yellow</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8th</w:t>
            </w:r>
          </w:p>
          <w:tbl>
            <w:tblPr>
              <w:tblW w:w="2425" w:type="dxa"/>
              <w:jc w:val="start"/>
              <w:tblInd w:w="567" w:type="dxa"/>
              <w:tblLayout w:type="fixed"/>
              <w:tblCellMar>
                <w:top w:w="0" w:type="dxa"/>
                <w:start w:w="108" w:type="dxa"/>
                <w:bottom w:w="0" w:type="dxa"/>
                <w:end w:w="108" w:type="dxa"/>
              </w:tblCellMar>
              <w:tblLook w:val="0000" w:noVBand="0" w:noHBand="0" w:lastColumn="0" w:firstColumn="0" w:lastRow="0" w:firstRow="0"/>
            </w:tblPr>
            <w:tblGrid>
              <w:gridCol w:w="2425"/>
            </w:tblGrid>
            <w:tr>
              <w:trPr>
                <w:trHeight w:val="311" w:hRule="atLeast"/>
              </w:trPr>
              <w:tc>
                <w:tcPr>
                  <w:tcW w:w="2425" w:type="dxa"/>
                  <w:tcBorders/>
                </w:tcPr>
                <w:p>
                  <w:pPr>
                    <w:pStyle w:val="Default"/>
                    <w:widowControl w:val="false"/>
                    <w:jc w:val="center"/>
                    <w:rPr>
                      <w:sz w:val="16"/>
                      <w:szCs w:val="16"/>
                      <w:highlight w:val="lightGray"/>
                    </w:rPr>
                  </w:pPr>
                  <w:r>
                    <w:rPr>
                      <w:b/>
                      <w:bCs/>
                      <w:sz w:val="16"/>
                      <w:szCs w:val="16"/>
                      <w:highlight w:val="lightGray"/>
                    </w:rPr>
                    <w:t>Sodium Fluoride</w:t>
                  </w:r>
                </w:p>
                <w:p>
                  <w:pPr>
                    <w:pStyle w:val="Default"/>
                    <w:widowControl w:val="false"/>
                    <w:rPr>
                      <w:sz w:val="16"/>
                      <w:szCs w:val="16"/>
                      <w:highlight w:val="lightGray"/>
                    </w:rPr>
                  </w:pPr>
                  <w:r>
                    <w:rPr>
                      <w:sz w:val="16"/>
                      <w:szCs w:val="16"/>
                      <w:highlight w:val="lightGray"/>
                    </w:rPr>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rPr>
                <w:b/>
                <w:sz w:val="16"/>
                <w:szCs w:val="16"/>
                <w:highlight w:val="lightGray"/>
              </w:rPr>
            </w:pPr>
            <w:r>
              <w:rPr>
                <w:b/>
                <w:sz w:val="16"/>
                <w:szCs w:val="16"/>
                <w:highlight w:val="lightGray"/>
              </w:rPr>
              <w:t>Glucose</w:t>
            </w:r>
          </w:p>
          <w:p>
            <w:pPr>
              <w:pStyle w:val="Normal"/>
              <w:widowControl w:val="false"/>
              <w:rPr>
                <w:sz w:val="16"/>
                <w:szCs w:val="16"/>
                <w:highlight w:val="lightGray"/>
              </w:rPr>
            </w:pPr>
            <w:r>
              <w:rPr>
                <w:b/>
                <w:sz w:val="16"/>
                <w:szCs w:val="16"/>
                <w:highlight w:val="lightGray"/>
              </w:rPr>
              <w:t>Alcohol</w:t>
            </w:r>
          </w:p>
        </w:tc>
      </w:tr>
      <w:tr>
        <w:trPr>
          <w:trHeight w:val="58" w:hRule="atLeast"/>
        </w:trPr>
        <w:tc>
          <w:tcPr>
            <w:tcW w:w="2694"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jc w:val="center"/>
              <w:rPr>
                <w:sz w:val="16"/>
                <w:szCs w:val="16"/>
                <w:highlight w:val="lightGray"/>
              </w:rPr>
            </w:pPr>
            <w:r>
              <w:rPr/>
              <w:drawing>
                <wp:inline distT="0" distB="0" distL="0" distR="0">
                  <wp:extent cx="830580" cy="640080"/>
                  <wp:effectExtent l="0" t="0" r="0" b="0"/>
                  <wp:docPr id="9"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title=""/>
                          <pic:cNvPicPr>
                            <a:picLocks noChangeAspect="1" noChangeArrowheads="1"/>
                          </pic:cNvPicPr>
                        </pic:nvPicPr>
                        <pic:blipFill>
                          <a:blip r:embed="rId14"/>
                          <a:stretch>
                            <a:fillRect/>
                          </a:stretch>
                        </pic:blipFill>
                        <pic:spPr bwMode="auto">
                          <a:xfrm>
                            <a:off x="0" y="0"/>
                            <a:ext cx="830580" cy="640080"/>
                          </a:xfrm>
                          <a:prstGeom prst="rect">
                            <a:avLst/>
                          </a:prstGeom>
                        </pic:spPr>
                      </pic:pic>
                    </a:graphicData>
                  </a:graphic>
                </wp:inline>
              </w:drawing>
            </w:r>
            <w:r>
              <w:rPr>
                <w:b/>
                <w:sz w:val="16"/>
                <w:szCs w:val="16"/>
              </w:rPr>
              <w:t xml:space="preserve"> </w:t>
            </w:r>
            <w:r>
              <w:rPr>
                <w:b/>
                <w:sz w:val="16"/>
                <w:szCs w:val="16"/>
                <w:highlight w:val="lightGray"/>
              </w:rPr>
              <w:t>Purple</w:t>
            </w:r>
          </w:p>
        </w:tc>
        <w:tc>
          <w:tcPr>
            <w:tcW w:w="3544" w:type="dxa"/>
            <w:tcBorders>
              <w:top w:val="single" w:sz="4" w:space="0" w:color="000000"/>
              <w:start w:val="single" w:sz="4" w:space="0" w:color="000000"/>
              <w:bottom w:val="single" w:sz="4" w:space="0" w:color="000000"/>
              <w:end w:val="single" w:sz="4" w:space="0" w:color="000000"/>
            </w:tcBorders>
            <w:shd w:color="auto" w:fill="auto" w:val="clear"/>
          </w:tcPr>
          <w:p>
            <w:pPr>
              <w:pStyle w:val="Default"/>
              <w:widowControl w:val="false"/>
              <w:suppressAutoHyphens w:val="true"/>
              <w:jc w:val="center"/>
              <w:rPr>
                <w:sz w:val="16"/>
                <w:szCs w:val="16"/>
                <w:highlight w:val="lightGray"/>
              </w:rPr>
            </w:pPr>
            <w:r>
              <w:rPr>
                <w:b/>
                <w:bCs/>
                <w:sz w:val="16"/>
                <w:szCs w:val="16"/>
                <w:highlight w:val="lightGray"/>
              </w:rPr>
              <w:t>9th</w:t>
            </w:r>
          </w:p>
          <w:tbl>
            <w:tblPr>
              <w:tblW w:w="2275" w:type="dxa"/>
              <w:jc w:val="start"/>
              <w:tblInd w:w="649" w:type="dxa"/>
              <w:tblLayout w:type="fixed"/>
              <w:tblCellMar>
                <w:top w:w="0" w:type="dxa"/>
                <w:start w:w="108" w:type="dxa"/>
                <w:bottom w:w="0" w:type="dxa"/>
                <w:end w:w="108" w:type="dxa"/>
              </w:tblCellMar>
              <w:tblLook w:val="0000" w:noVBand="0" w:noHBand="0" w:lastColumn="0" w:firstColumn="0" w:lastRow="0" w:firstRow="0"/>
            </w:tblPr>
            <w:tblGrid>
              <w:gridCol w:w="2275"/>
            </w:tblGrid>
            <w:tr>
              <w:trPr>
                <w:trHeight w:val="312" w:hRule="atLeast"/>
              </w:trPr>
              <w:tc>
                <w:tcPr>
                  <w:tcW w:w="2275" w:type="dxa"/>
                  <w:tcBorders/>
                </w:tcPr>
                <w:p>
                  <w:pPr>
                    <w:pStyle w:val="Default"/>
                    <w:widowControl w:val="false"/>
                    <w:rPr>
                      <w:sz w:val="16"/>
                      <w:szCs w:val="16"/>
                      <w:highlight w:val="lightGray"/>
                    </w:rPr>
                  </w:pPr>
                  <w:r>
                    <w:rPr>
                      <w:sz w:val="16"/>
                      <w:szCs w:val="16"/>
                      <w:highlight w:val="lightGray"/>
                    </w:rPr>
                    <w:t xml:space="preserve"> </w:t>
                  </w:r>
                  <w:r>
                    <w:rPr>
                      <w:b/>
                      <w:bCs/>
                      <w:sz w:val="16"/>
                      <w:szCs w:val="16"/>
                      <w:highlight w:val="lightGray"/>
                    </w:rPr>
                    <w:t xml:space="preserve">Sodium Citrate </w:t>
                  </w:r>
                </w:p>
                <w:p>
                  <w:pPr>
                    <w:pStyle w:val="Default"/>
                    <w:widowControl w:val="false"/>
                    <w:rPr>
                      <w:sz w:val="16"/>
                      <w:szCs w:val="16"/>
                      <w:highlight w:val="lightGray"/>
                    </w:rPr>
                  </w:pPr>
                  <w:r>
                    <w:rPr>
                      <w:sz w:val="16"/>
                      <w:szCs w:val="16"/>
                      <w:highlight w:val="lightGray"/>
                    </w:rPr>
                  </w:r>
                </w:p>
              </w:tc>
            </w:tr>
          </w:tbl>
          <w:p>
            <w:pPr>
              <w:pStyle w:val="Normal"/>
              <w:widowControl w:val="false"/>
              <w:rPr>
                <w:sz w:val="16"/>
                <w:szCs w:val="16"/>
                <w:highlight w:val="lightGray"/>
              </w:rPr>
            </w:pPr>
            <w:r>
              <w:rPr>
                <w:sz w:val="16"/>
                <w:szCs w:val="16"/>
                <w:highlight w:val="lightGray"/>
              </w:rPr>
            </w:r>
          </w:p>
        </w:tc>
        <w:tc>
          <w:tcPr>
            <w:tcW w:w="4140"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rPr>
                <w:b/>
                <w:sz w:val="16"/>
                <w:szCs w:val="16"/>
                <w:highlight w:val="lightGray"/>
              </w:rPr>
            </w:pPr>
            <w:r>
              <w:rPr>
                <w:b/>
                <w:sz w:val="16"/>
                <w:szCs w:val="16"/>
                <w:highlight w:val="lightGray"/>
              </w:rPr>
              <w:t>ESR</w:t>
            </w:r>
          </w:p>
          <w:p>
            <w:pPr>
              <w:pStyle w:val="Default"/>
              <w:widowControl w:val="false"/>
              <w:suppressAutoHyphens w:val="true"/>
              <w:rPr>
                <w:sz w:val="16"/>
                <w:szCs w:val="16"/>
                <w:highlight w:val="lightGray"/>
              </w:rPr>
            </w:pPr>
            <w:r>
              <w:rPr>
                <w:sz w:val="16"/>
                <w:szCs w:val="16"/>
                <w:highlight w:val="lightGray"/>
              </w:rPr>
            </w:r>
          </w:p>
          <w:tbl>
            <w:tblPr>
              <w:tblW w:w="3757" w:type="dxa"/>
              <w:jc w:val="start"/>
              <w:tblInd w:w="0" w:type="dxa"/>
              <w:tblLayout w:type="fixed"/>
              <w:tblCellMar>
                <w:top w:w="0" w:type="dxa"/>
                <w:start w:w="108" w:type="dxa"/>
                <w:bottom w:w="0" w:type="dxa"/>
                <w:end w:w="108" w:type="dxa"/>
              </w:tblCellMar>
              <w:tblLook w:val="0000" w:noVBand="0" w:noHBand="0" w:lastColumn="0" w:firstColumn="0" w:lastRow="0" w:firstRow="0"/>
            </w:tblPr>
            <w:tblGrid>
              <w:gridCol w:w="3757"/>
            </w:tblGrid>
            <w:tr>
              <w:trPr>
                <w:trHeight w:val="120" w:hRule="atLeast"/>
              </w:trPr>
              <w:tc>
                <w:tcPr>
                  <w:tcW w:w="3757" w:type="dxa"/>
                  <w:tcBorders/>
                </w:tcPr>
                <w:p>
                  <w:pPr>
                    <w:pStyle w:val="Default"/>
                    <w:widowControl w:val="false"/>
                    <w:rPr>
                      <w:color w:val="FF0000"/>
                      <w:sz w:val="16"/>
                      <w:szCs w:val="16"/>
                      <w:highlight w:val="lightGray"/>
                    </w:rPr>
                  </w:pPr>
                  <w:r>
                    <w:rPr>
                      <w:b/>
                      <w:bCs/>
                      <w:i/>
                      <w:iCs/>
                      <w:color w:val="FF0000"/>
                      <w:sz w:val="16"/>
                      <w:szCs w:val="16"/>
                      <w:highlight w:val="lightGray"/>
                    </w:rPr>
                    <w:t xml:space="preserve">Under-filled tube will be rejected </w:t>
                  </w:r>
                </w:p>
              </w:tc>
            </w:tr>
          </w:tbl>
          <w:p>
            <w:pPr>
              <w:pStyle w:val="Normal"/>
              <w:widowControl w:val="false"/>
              <w:rPr>
                <w:sz w:val="16"/>
                <w:szCs w:val="16"/>
                <w:highlight w:val="lightGray"/>
              </w:rPr>
            </w:pPr>
            <w:r>
              <w:rPr>
                <w:sz w:val="16"/>
                <w:szCs w:val="16"/>
                <w:highlight w:val="lightGray"/>
              </w:rPr>
            </w:r>
          </w:p>
        </w:tc>
      </w:tr>
    </w:tbl>
    <w:p>
      <w:pPr>
        <w:pStyle w:val="Normal"/>
        <w:shd w:val="clear" w:color="auto" w:fill="FFFFFF"/>
        <w:tabs>
          <w:tab w:val="clear" w:pos="709"/>
          <w:tab w:val="left" w:pos="283" w:leader="none"/>
        </w:tabs>
        <w:spacing w:before="0" w:after="0"/>
        <w:rPr/>
      </w:pPr>
      <w:r>
        <w:rPr/>
      </w:r>
    </w:p>
    <w:p>
      <w:pPr>
        <w:pStyle w:val="Normal"/>
        <w:shd w:val="clear" w:color="auto" w:fill="FFFFFF"/>
        <w:tabs>
          <w:tab w:val="clear" w:pos="709"/>
          <w:tab w:val="left" w:pos="283" w:leader="none"/>
        </w:tabs>
        <w:spacing w:before="0" w:after="0"/>
        <w:rPr/>
      </w:pPr>
      <w:r>
        <w:rPr/>
        <w:t>Never pour blood from one tube into another. The preservative in the first tube could contaminate the second tube; this can greatly affect results and potentially compromise patient care.</w:t>
      </w:r>
    </w:p>
    <w:p>
      <w:pPr>
        <w:pStyle w:val="Normal"/>
        <w:shd w:val="clear" w:color="auto" w:fill="FFFFFF"/>
        <w:tabs>
          <w:tab w:val="clear" w:pos="709"/>
          <w:tab w:val="left" w:pos="283" w:leader="none"/>
        </w:tabs>
        <w:spacing w:before="0" w:after="0"/>
        <w:rPr/>
      </w:pPr>
      <w:r>
        <w:rPr/>
        <w:t>Refer to the each departments test library for information on sample requirements and the number of tubes required. Tubes CANNOT be used / shared across different platforms because of the risks involved in sample re-labelling.</w:t>
      </w:r>
    </w:p>
    <w:p>
      <w:pPr>
        <w:pStyle w:val="Normal"/>
        <w:shd w:val="clear" w:color="auto" w:fill="FFFFFF"/>
        <w:tabs>
          <w:tab w:val="clear" w:pos="709"/>
          <w:tab w:val="left" w:pos="283" w:leader="none"/>
        </w:tabs>
        <w:spacing w:before="0" w:after="0"/>
        <w:rPr/>
      </w:pPr>
      <w:r>
        <w:rPr/>
        <w:t>The brown and white cap samples must be stood upright to clot as soon as the bottles are filled to ensure that the clot forms in the base of the tube and not the lid. The yellow, orange, green, purple and pink bottles must be inverted gently to ensure complete mixing.</w:t>
      </w:r>
    </w:p>
    <w:p>
      <w:pPr>
        <w:pStyle w:val="Normal"/>
        <w:shd w:val="clear" w:color="auto" w:fill="FFFFFF"/>
        <w:tabs>
          <w:tab w:val="clear" w:pos="709"/>
          <w:tab w:val="left" w:pos="283" w:leader="none"/>
        </w:tabs>
        <w:rPr/>
      </w:pPr>
      <w:r>
        <w:rPr/>
        <w:t>Place all the labelled samples into the bio-hazard bag attached to the patient request form and seal.</w:t>
      </w:r>
    </w:p>
    <w:p>
      <w:pPr>
        <w:pStyle w:val="Normal"/>
        <w:shd w:val="clear" w:color="auto" w:fill="FFFFFF"/>
        <w:spacing w:before="0" w:after="0"/>
        <w:rPr>
          <w:lang w:val="en-IE"/>
        </w:rPr>
      </w:pPr>
      <w:r>
        <w:rPr>
          <w:lang w:val="en-IE"/>
        </w:rPr>
        <w:t>Please note: The order of draw is in line with approved standards.</w:t>
      </w:r>
      <w:r>
        <w:br w:type="page"/>
      </w:r>
    </w:p>
    <w:p>
      <w:pPr>
        <w:pStyle w:val="Heading4"/>
        <w:numPr>
          <w:ilvl w:val="3"/>
          <w:numId w:val="25"/>
        </w:numPr>
        <w:rPr/>
      </w:pPr>
      <w:r>
        <w:rPr/>
        <w:t xml:space="preserve">24-Hour Urine Collection: </w:t>
      </w:r>
      <w:r>
        <w:rPr>
          <w:lang w:val="en-IE"/>
        </w:rPr>
        <w:t>General Information for Patients:</w:t>
      </w:r>
    </w:p>
    <w:p>
      <w:pPr>
        <w:pStyle w:val="Normal"/>
        <w:shd w:val="clear" w:color="auto" w:fill="FFFFFF"/>
        <w:spacing w:before="0" w:after="0"/>
        <w:rPr>
          <w:lang w:val="en-IE"/>
        </w:rPr>
      </w:pPr>
      <w:r>
        <w:rPr>
          <w:lang w:val="en-IE"/>
        </w:rPr>
        <w:t>You will receive</w:t>
      </w:r>
    </w:p>
    <w:p>
      <w:pPr>
        <w:pStyle w:val="Normal"/>
        <w:numPr>
          <w:ilvl w:val="0"/>
          <w:numId w:val="34"/>
        </w:numPr>
        <w:shd w:val="clear" w:color="auto" w:fill="FFFFFF"/>
        <w:spacing w:before="0" w:after="0"/>
        <w:rPr>
          <w:lang w:val="en-IE"/>
        </w:rPr>
      </w:pPr>
      <w:r>
        <w:rPr>
          <w:lang w:val="en-IE"/>
        </w:rPr>
        <w:t>A large plastic container with acid in which to store urine.</w:t>
      </w:r>
    </w:p>
    <w:p>
      <w:pPr>
        <w:pStyle w:val="Normal"/>
        <w:numPr>
          <w:ilvl w:val="0"/>
          <w:numId w:val="34"/>
        </w:numPr>
        <w:shd w:val="clear" w:color="auto" w:fill="FFFFFF"/>
        <w:spacing w:before="0" w:after="0"/>
        <w:rPr>
          <w:lang w:val="en-IE"/>
        </w:rPr>
      </w:pPr>
      <w:r>
        <w:rPr>
          <w:lang w:val="en-IE"/>
        </w:rPr>
        <w:t>A request form with your details on it.</w:t>
      </w:r>
    </w:p>
    <w:p>
      <w:pPr>
        <w:pStyle w:val="Normal"/>
        <w:numPr>
          <w:ilvl w:val="0"/>
          <w:numId w:val="34"/>
        </w:numPr>
        <w:shd w:val="clear" w:color="auto" w:fill="FFFFFF"/>
        <w:spacing w:before="0" w:after="0"/>
        <w:rPr>
          <w:lang w:val="en-IE"/>
        </w:rPr>
      </w:pPr>
      <w:r>
        <w:rPr>
          <w:lang w:val="en-IE"/>
        </w:rPr>
        <w:t>A plastic bag in which to return your collection and request form.</w:t>
      </w:r>
    </w:p>
    <w:p>
      <w:pPr>
        <w:pStyle w:val="Normal"/>
        <w:numPr>
          <w:ilvl w:val="0"/>
          <w:numId w:val="35"/>
        </w:numPr>
        <w:shd w:val="clear" w:color="auto" w:fill="FFFFFF"/>
        <w:spacing w:before="0" w:after="0"/>
        <w:rPr>
          <w:lang w:val="en-IE"/>
        </w:rPr>
      </w:pPr>
      <w:r>
        <w:rPr>
          <w:lang w:val="en-IE"/>
        </w:rPr>
        <w:t>You may need more than one storage container to contain all of your urine for the 24-hour period.</w:t>
      </w:r>
    </w:p>
    <w:p>
      <w:pPr>
        <w:pStyle w:val="Normal"/>
        <w:numPr>
          <w:ilvl w:val="0"/>
          <w:numId w:val="35"/>
        </w:numPr>
        <w:shd w:val="clear" w:color="auto" w:fill="FFFFFF"/>
        <w:spacing w:before="0" w:after="0"/>
        <w:rPr>
          <w:lang w:val="en-IE"/>
        </w:rPr>
      </w:pPr>
      <w:r>
        <w:rPr>
          <w:lang w:val="en-IE"/>
        </w:rPr>
        <w:t xml:space="preserve">Make sure each storage container is labelled with your full name and hospital number written on it. </w:t>
      </w:r>
      <w:r>
        <w:rPr>
          <w:b/>
          <w:bCs/>
          <w:lang w:val="en-IE"/>
        </w:rPr>
        <w:t>If your container is not labelled</w:t>
      </w:r>
      <w:r>
        <w:rPr>
          <w:lang w:val="en-IE"/>
        </w:rPr>
        <w:t xml:space="preserve"> </w:t>
      </w:r>
      <w:r>
        <w:rPr>
          <w:b/>
          <w:bCs/>
          <w:lang w:val="en-IE"/>
        </w:rPr>
        <w:t>properly, you may be asked to repeat the 24-hour collection.</w:t>
      </w:r>
    </w:p>
    <w:p>
      <w:pPr>
        <w:pStyle w:val="Normal"/>
        <w:numPr>
          <w:ilvl w:val="0"/>
          <w:numId w:val="35"/>
        </w:numPr>
        <w:shd w:val="clear" w:color="auto" w:fill="FFFFFF"/>
        <w:spacing w:before="0" w:after="0"/>
        <w:rPr>
          <w:lang w:val="en-IE"/>
        </w:rPr>
      </w:pPr>
      <w:r>
        <w:rPr>
          <w:lang w:val="en-IE"/>
        </w:rPr>
        <w:t>Keep your storage container cool throughout the 24-hour collection period until you bring it back</w:t>
      </w:r>
    </w:p>
    <w:p>
      <w:pPr>
        <w:pStyle w:val="Normal"/>
        <w:numPr>
          <w:ilvl w:val="0"/>
          <w:numId w:val="35"/>
        </w:numPr>
        <w:shd w:val="clear" w:color="auto" w:fill="FFFFFF"/>
        <w:spacing w:before="0" w:after="0"/>
        <w:rPr>
          <w:lang w:val="en-IE"/>
        </w:rPr>
      </w:pPr>
      <w:r>
        <w:rPr>
          <w:lang w:val="en-IE"/>
        </w:rPr>
        <w:t>For certain collections, a blood sample may need to be taken within the 24 hour collection period; you will be informed if this is the case.</w:t>
      </w:r>
    </w:p>
    <w:p>
      <w:pPr>
        <w:pStyle w:val="Normal"/>
        <w:shd w:val="clear" w:color="auto" w:fill="FFFFFF"/>
        <w:spacing w:before="0" w:after="0"/>
        <w:rPr>
          <w:b/>
          <w:bCs/>
          <w:lang w:val="en-IE"/>
        </w:rPr>
      </w:pPr>
      <w:r>
        <w:rPr>
          <w:b/>
          <w:bCs/>
          <w:lang w:val="en-IE"/>
        </w:rPr>
      </w:r>
    </w:p>
    <w:p>
      <w:pPr>
        <w:pStyle w:val="Normal"/>
        <w:shd w:val="clear" w:color="auto" w:fill="FFFFFF"/>
        <w:spacing w:before="0" w:after="0"/>
        <w:rPr>
          <w:b/>
          <w:bCs/>
          <w:lang w:val="en-IE"/>
        </w:rPr>
      </w:pPr>
      <w:r>
        <w:rPr>
          <w:b/>
          <w:bCs/>
          <w:lang w:val="en-IE"/>
        </w:rPr>
        <w:t>How to collect your sample</w:t>
      </w:r>
    </w:p>
    <w:p>
      <w:pPr>
        <w:pStyle w:val="Normal"/>
        <w:numPr>
          <w:ilvl w:val="0"/>
          <w:numId w:val="36"/>
        </w:numPr>
        <w:shd w:val="clear" w:color="auto" w:fill="FFFFFF"/>
        <w:spacing w:before="0" w:after="0"/>
        <w:rPr>
          <w:lang w:val="en-IE"/>
        </w:rPr>
      </w:pPr>
      <w:r>
        <w:rPr>
          <w:lang w:val="en-IE"/>
        </w:rPr>
        <w:t>Start the 24-hour urine test by urinating directly into the toilet. Do not save this urine.</w:t>
      </w:r>
    </w:p>
    <w:p>
      <w:pPr>
        <w:pStyle w:val="Normal"/>
        <w:numPr>
          <w:ilvl w:val="0"/>
          <w:numId w:val="36"/>
        </w:numPr>
        <w:shd w:val="clear" w:color="auto" w:fill="FFFFFF"/>
        <w:spacing w:before="0" w:after="0"/>
        <w:rPr>
          <w:lang w:val="en-IE"/>
        </w:rPr>
      </w:pPr>
      <w:r>
        <w:rPr>
          <w:lang w:val="en-IE"/>
        </w:rPr>
        <w:t xml:space="preserve">After you urinate, write the date and time on your storage container, </w:t>
      </w:r>
      <w:r>
        <w:rPr>
          <w:b/>
          <w:u w:val="single"/>
          <w:lang w:val="en-IE"/>
        </w:rPr>
        <w:t>this is the start of your test.</w:t>
      </w:r>
      <w:r>
        <w:rPr>
          <w:lang w:val="en-IE"/>
        </w:rPr>
        <w:t xml:space="preserve"> Write this time &amp; date on the container.</w:t>
      </w:r>
    </w:p>
    <w:p>
      <w:pPr>
        <w:pStyle w:val="Normal"/>
        <w:numPr>
          <w:ilvl w:val="0"/>
          <w:numId w:val="36"/>
        </w:numPr>
        <w:shd w:val="clear" w:color="auto" w:fill="FFFFFF"/>
        <w:spacing w:before="0" w:after="0"/>
        <w:rPr>
          <w:lang w:val="en-IE"/>
        </w:rPr>
      </w:pPr>
      <w:r>
        <w:rPr>
          <w:lang w:val="en-IE"/>
        </w:rPr>
        <w:t>For the next 24 hours, collect all your urine into your storage container.</w:t>
      </w:r>
    </w:p>
    <w:p>
      <w:pPr>
        <w:pStyle w:val="Normal"/>
        <w:numPr>
          <w:ilvl w:val="0"/>
          <w:numId w:val="36"/>
        </w:numPr>
        <w:shd w:val="clear" w:color="auto" w:fill="FFFFFF"/>
        <w:spacing w:before="0" w:after="0"/>
        <w:rPr>
          <w:lang w:val="en-IE"/>
        </w:rPr>
      </w:pPr>
      <w:r>
        <w:rPr>
          <w:lang w:val="en-IE"/>
        </w:rPr>
        <w:t xml:space="preserve">Exactly 24 hours after you started the test, urinate one last time and place the urine in your storage container. </w:t>
      </w:r>
      <w:r>
        <w:rPr>
          <w:b/>
          <w:iCs/>
          <w:u w:val="single"/>
          <w:lang w:val="en-IE"/>
        </w:rPr>
        <w:t>This is the end of your test.</w:t>
      </w:r>
      <w:r>
        <w:rPr>
          <w:lang w:val="en-IE"/>
        </w:rPr>
        <w:t xml:space="preserve"> Write the date and time the test ended on your storage container.</w:t>
      </w:r>
    </w:p>
    <w:p>
      <w:pPr>
        <w:pStyle w:val="Normal"/>
        <w:numPr>
          <w:ilvl w:val="0"/>
          <w:numId w:val="36"/>
        </w:numPr>
        <w:shd w:val="clear" w:color="auto" w:fill="FFFFFF"/>
        <w:spacing w:before="0" w:after="0"/>
        <w:rPr>
          <w:lang w:val="en-IE"/>
        </w:rPr>
      </w:pPr>
      <w:r>
        <w:rPr>
          <w:lang w:val="en-IE"/>
        </w:rPr>
        <w:t>If you need to use more than one container during the 24-hour period, use one container at a time. When it is full, collect your urine in the next container.</w:t>
      </w:r>
    </w:p>
    <w:p>
      <w:pPr>
        <w:pStyle w:val="Normal"/>
        <w:numPr>
          <w:ilvl w:val="0"/>
          <w:numId w:val="36"/>
        </w:numPr>
        <w:shd w:val="clear" w:color="auto" w:fill="FFFFFF"/>
        <w:spacing w:before="0" w:after="0"/>
        <w:rPr>
          <w:lang w:val="en-IE"/>
        </w:rPr>
      </w:pPr>
      <w:r>
        <w:rPr>
          <w:lang w:val="en-IE"/>
        </w:rPr>
        <w:t>Please bring the urine to the hospital as soon as possible. To prevent leaks, make sure the lid is on tightly, and that the container is transported upright inside a plastic bag.</w:t>
      </w:r>
    </w:p>
    <w:p>
      <w:pPr>
        <w:pStyle w:val="Normal"/>
        <w:numPr>
          <w:ilvl w:val="0"/>
          <w:numId w:val="36"/>
        </w:numPr>
        <w:shd w:val="clear" w:color="auto" w:fill="FFFFFF"/>
        <w:spacing w:before="0" w:after="0"/>
        <w:rPr>
          <w:lang w:val="en-IE"/>
        </w:rPr>
      </w:pPr>
      <w:r>
        <w:rPr>
          <w:lang w:val="en-IE"/>
        </w:rPr>
        <w:t>If you are an inpatient, your nurse will tell you what time to begin and end the collection and will set up more containers, as needed. If you have questions about the procedure, please ask.</w:t>
      </w:r>
    </w:p>
    <w:p>
      <w:pPr>
        <w:pStyle w:val="Heading4"/>
        <w:numPr>
          <w:ilvl w:val="3"/>
          <w:numId w:val="25"/>
        </w:numPr>
        <w:rPr>
          <w:b w:val="false"/>
          <w:bCs w:val="false"/>
        </w:rPr>
      </w:pPr>
      <w:r>
        <w:rPr>
          <w:b w:val="false"/>
          <w:bCs w:val="false"/>
        </w:rPr>
        <w:t>24-Hour Urine Collection (Acidified): Information for Patients</w:t>
      </w:r>
    </w:p>
    <w:p>
      <w:pPr>
        <w:pStyle w:val="Normal"/>
        <w:shd w:val="clear" w:color="auto" w:fill="FFFFFF"/>
        <w:spacing w:before="0" w:after="0"/>
        <w:rPr>
          <w:lang w:val="en-IE"/>
        </w:rPr>
      </w:pPr>
      <w:r>
        <w:rPr>
          <w:lang w:val="en-IE"/>
        </w:rPr>
        <w:t>HCl can cause burns and irritate the respiratory system. It is designated harmful and corrosive and bears the following hazard warnings.</w:t>
      </w:r>
    </w:p>
    <w:p>
      <w:pPr>
        <w:pStyle w:val="Normal"/>
        <w:shd w:val="clear" w:color="auto" w:fill="FFFFFF"/>
        <w:spacing w:before="0" w:after="0"/>
        <w:rPr>
          <w:i/>
          <w:i/>
          <w:iCs/>
          <w:lang w:val="en-IE"/>
        </w:rPr>
      </w:pPr>
      <w:r>
        <w:rPr>
          <w:i/>
          <w:iCs/>
          <w:lang w:val="en-IE"/>
        </w:rPr>
      </w:r>
    </w:p>
    <w:p>
      <w:pPr>
        <w:pStyle w:val="Normal"/>
        <w:shd w:val="clear" w:color="auto" w:fill="FFFFFF"/>
        <w:spacing w:before="0" w:after="0"/>
        <w:jc w:val="center"/>
        <w:rPr>
          <w:lang w:val="en-IE"/>
        </w:rPr>
      </w:pPr>
      <w:r>
        <w:rPr/>
        <w:drawing>
          <wp:inline distT="0" distB="0" distL="0" distR="0">
            <wp:extent cx="819150" cy="742950"/>
            <wp:effectExtent l="0" t="0" r="0" b="0"/>
            <wp:docPr id="10" name="Image3 Copy 1" descr="Harmful Irrita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Copy 1" descr="Harmful Irritant" title=""/>
                    <pic:cNvPicPr>
                      <a:picLocks noChangeAspect="1" noChangeArrowheads="1"/>
                    </pic:cNvPicPr>
                  </pic:nvPicPr>
                  <pic:blipFill>
                    <a:blip r:embed="rId15"/>
                    <a:stretch>
                      <a:fillRect/>
                    </a:stretch>
                  </pic:blipFill>
                  <pic:spPr bwMode="auto">
                    <a:xfrm>
                      <a:off x="0" y="0"/>
                      <a:ext cx="819150" cy="742950"/>
                    </a:xfrm>
                    <a:prstGeom prst="rect">
                      <a:avLst/>
                    </a:prstGeom>
                  </pic:spPr>
                </pic:pic>
              </a:graphicData>
            </a:graphic>
          </wp:inline>
        </w:drawing>
      </w:r>
      <w:r>
        <w:rPr>
          <w:lang w:val="en-IE"/>
        </w:rPr>
        <w:t xml:space="preserve">  </w:t>
      </w:r>
      <w:r>
        <w:rPr>
          <w:lang w:val="en-IE"/>
        </w:rPr>
        <w:tab/>
        <w:tab/>
        <w:tab/>
      </w:r>
      <w:r>
        <w:rPr/>
        <w:drawing>
          <wp:inline distT="0" distB="0" distL="0" distR="0">
            <wp:extent cx="828675" cy="733425"/>
            <wp:effectExtent l="0" t="0" r="0" b="0"/>
            <wp:docPr id="11" name="Picture 4" descr="Corrosiv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orrosive" title=""/>
                    <pic:cNvPicPr>
                      <a:picLocks noChangeAspect="1" noChangeArrowheads="1"/>
                    </pic:cNvPicPr>
                  </pic:nvPicPr>
                  <pic:blipFill>
                    <a:blip r:embed="rId16"/>
                    <a:stretch>
                      <a:fillRect/>
                    </a:stretch>
                  </pic:blipFill>
                  <pic:spPr bwMode="auto">
                    <a:xfrm>
                      <a:off x="0" y="0"/>
                      <a:ext cx="828675" cy="733425"/>
                    </a:xfrm>
                    <a:prstGeom prst="rect">
                      <a:avLst/>
                    </a:prstGeom>
                  </pic:spPr>
                </pic:pic>
              </a:graphicData>
            </a:graphic>
          </wp:inline>
        </w:drawing>
      </w:r>
    </w:p>
    <w:p>
      <w:pPr>
        <w:pStyle w:val="Normal"/>
        <w:shd w:val="clear" w:color="auto" w:fill="FFFFFF"/>
        <w:spacing w:before="0" w:after="0"/>
        <w:jc w:val="center"/>
        <w:rPr>
          <w:lang w:val="en-IE"/>
        </w:rPr>
      </w:pPr>
      <w:r>
        <w:rPr>
          <w:lang w:val="en-IE"/>
        </w:rPr>
        <w:t>Harmful</w:t>
        <w:tab/>
        <w:tab/>
        <w:tab/>
        <w:t>Corrosive</w:t>
      </w:r>
      <w:r>
        <w:br w:type="page"/>
      </w:r>
    </w:p>
    <w:p>
      <w:pPr>
        <w:pStyle w:val="Normal"/>
        <w:shd w:val="clear" w:color="auto" w:fill="FFFFFF"/>
        <w:spacing w:before="0" w:after="0"/>
        <w:rPr>
          <w:lang w:val="en-IE"/>
        </w:rPr>
      </w:pPr>
      <w:r>
        <w:rPr>
          <w:lang w:val="en-IE"/>
        </w:rPr>
        <w:t>You will receive</w:t>
      </w:r>
    </w:p>
    <w:p>
      <w:pPr>
        <w:pStyle w:val="Normal"/>
        <w:numPr>
          <w:ilvl w:val="0"/>
          <w:numId w:val="37"/>
        </w:numPr>
        <w:shd w:val="clear" w:color="auto" w:fill="FFFFFF"/>
        <w:spacing w:before="0" w:after="0"/>
        <w:rPr>
          <w:lang w:val="en-IE"/>
        </w:rPr>
      </w:pPr>
      <w:r>
        <w:rPr>
          <w:lang w:val="en-IE"/>
        </w:rPr>
        <w:t>A large plastic container with acid in which to store urine.</w:t>
      </w:r>
    </w:p>
    <w:p>
      <w:pPr>
        <w:pStyle w:val="Normal"/>
        <w:numPr>
          <w:ilvl w:val="0"/>
          <w:numId w:val="37"/>
        </w:numPr>
        <w:shd w:val="clear" w:color="auto" w:fill="FFFFFF"/>
        <w:spacing w:before="0" w:after="0"/>
        <w:rPr>
          <w:lang w:val="en-IE"/>
        </w:rPr>
      </w:pPr>
      <w:r>
        <w:rPr>
          <w:lang w:val="en-IE"/>
        </w:rPr>
        <w:t>A request form with your details on it.</w:t>
      </w:r>
    </w:p>
    <w:p>
      <w:pPr>
        <w:pStyle w:val="Normal"/>
        <w:numPr>
          <w:ilvl w:val="0"/>
          <w:numId w:val="37"/>
        </w:numPr>
        <w:shd w:val="clear" w:color="auto" w:fill="FFFFFF"/>
        <w:spacing w:before="0" w:after="0"/>
        <w:rPr>
          <w:lang w:val="en-IE"/>
        </w:rPr>
      </w:pPr>
      <w:r>
        <w:rPr>
          <w:lang w:val="en-IE"/>
        </w:rPr>
        <w:t>A plastic bag in which to return your collection and request form.</w:t>
      </w:r>
    </w:p>
    <w:p>
      <w:pPr>
        <w:pStyle w:val="Normal"/>
        <w:numPr>
          <w:ilvl w:val="0"/>
          <w:numId w:val="38"/>
        </w:numPr>
        <w:shd w:val="clear" w:color="auto" w:fill="FFFFFF"/>
        <w:spacing w:before="0" w:after="0"/>
        <w:rPr>
          <w:lang w:val="en-IE"/>
        </w:rPr>
      </w:pPr>
      <w:r>
        <w:rPr>
          <w:lang w:val="en-IE"/>
        </w:rPr>
        <w:t>You may need more than one storage container to contain all of your urine for the 24-hour period.</w:t>
      </w:r>
    </w:p>
    <w:p>
      <w:pPr>
        <w:pStyle w:val="Normal"/>
        <w:numPr>
          <w:ilvl w:val="0"/>
          <w:numId w:val="38"/>
        </w:numPr>
        <w:shd w:val="clear" w:color="auto" w:fill="FFFFFF"/>
        <w:spacing w:before="0" w:after="0"/>
        <w:rPr>
          <w:lang w:val="en-IE"/>
        </w:rPr>
      </w:pPr>
      <w:r>
        <w:rPr>
          <w:lang w:val="en-IE"/>
        </w:rPr>
        <w:t xml:space="preserve">Make sure each storage container is labelled with your full name and hospital number written on it. </w:t>
      </w:r>
      <w:r>
        <w:rPr>
          <w:b/>
          <w:bCs/>
          <w:lang w:val="en-IE"/>
        </w:rPr>
        <w:t>If your container is not labelled</w:t>
      </w:r>
      <w:r>
        <w:rPr>
          <w:lang w:val="en-IE"/>
        </w:rPr>
        <w:t xml:space="preserve"> </w:t>
      </w:r>
      <w:r>
        <w:rPr>
          <w:b/>
          <w:bCs/>
          <w:lang w:val="en-IE"/>
        </w:rPr>
        <w:t>properly, you may be asked to repeat the 24-hour collection.</w:t>
      </w:r>
    </w:p>
    <w:p>
      <w:pPr>
        <w:pStyle w:val="Normal"/>
        <w:numPr>
          <w:ilvl w:val="0"/>
          <w:numId w:val="38"/>
        </w:numPr>
        <w:shd w:val="clear" w:color="auto" w:fill="FFFFFF"/>
        <w:spacing w:before="0" w:after="0"/>
        <w:rPr>
          <w:lang w:val="en-IE"/>
        </w:rPr>
      </w:pPr>
      <w:r>
        <w:rPr>
          <w:lang w:val="en-IE"/>
        </w:rPr>
        <w:t>Keep your storage container in a cool place throughout the 24-hour collection period and until you return it to the laboratory.</w:t>
      </w:r>
    </w:p>
    <w:p>
      <w:pPr>
        <w:pStyle w:val="Normal"/>
        <w:numPr>
          <w:ilvl w:val="0"/>
          <w:numId w:val="38"/>
        </w:numPr>
        <w:shd w:val="clear" w:color="auto" w:fill="FFFFFF"/>
        <w:spacing w:before="0" w:after="0"/>
        <w:rPr>
          <w:lang w:val="en-IE"/>
        </w:rPr>
      </w:pPr>
      <w:r>
        <w:rPr>
          <w:lang w:val="en-IE"/>
        </w:rPr>
        <w:t>For certain collections, a blood sample may need to be taken within the 24 hour collection period; you will be informed if this is the case.</w:t>
      </w:r>
    </w:p>
    <w:p>
      <w:pPr>
        <w:pStyle w:val="Normal"/>
        <w:shd w:val="clear" w:color="auto" w:fill="FFFFFF"/>
        <w:spacing w:before="0" w:after="0"/>
        <w:rPr>
          <w:iCs/>
          <w:lang w:val="en-IE"/>
        </w:rPr>
      </w:pPr>
      <w:r>
        <w:rPr>
          <w:iCs/>
          <w:lang w:val="en-IE"/>
        </w:rPr>
      </w:r>
    </w:p>
    <w:p>
      <w:pPr>
        <w:pStyle w:val="Normal"/>
        <w:shd w:val="clear" w:color="auto" w:fill="FFFFFF"/>
        <w:spacing w:before="0" w:after="0"/>
        <w:rPr>
          <w:b/>
          <w:lang w:val="en-IE"/>
        </w:rPr>
      </w:pPr>
      <w:r>
        <w:rPr>
          <w:b/>
          <w:lang w:val="en-IE"/>
        </w:rPr>
        <w:t>How to handle acid safely</w:t>
      </w:r>
    </w:p>
    <w:p>
      <w:pPr>
        <w:pStyle w:val="Normal"/>
        <w:numPr>
          <w:ilvl w:val="0"/>
          <w:numId w:val="39"/>
        </w:numPr>
        <w:shd w:val="clear" w:color="auto" w:fill="FFFFFF"/>
        <w:spacing w:before="0" w:after="0"/>
        <w:rPr>
          <w:lang w:val="en-IE"/>
        </w:rPr>
      </w:pPr>
      <w:r>
        <w:rPr>
          <w:lang w:val="en-IE"/>
        </w:rPr>
        <w:t>Your storage container is supplied with a small volume of acid, do not throw this out.</w:t>
      </w:r>
    </w:p>
    <w:p>
      <w:pPr>
        <w:pStyle w:val="Normal"/>
        <w:numPr>
          <w:ilvl w:val="0"/>
          <w:numId w:val="39"/>
        </w:numPr>
        <w:shd w:val="clear" w:color="auto" w:fill="FFFFFF"/>
        <w:spacing w:before="0" w:after="0"/>
        <w:rPr>
          <w:lang w:val="en-IE"/>
        </w:rPr>
      </w:pPr>
      <w:r>
        <w:rPr>
          <w:lang w:val="en-IE"/>
        </w:rPr>
        <w:t>You should open the container in a well ventilated area as fumes may escape from the acid.</w:t>
      </w:r>
    </w:p>
    <w:p>
      <w:pPr>
        <w:pStyle w:val="Normal"/>
        <w:numPr>
          <w:ilvl w:val="0"/>
          <w:numId w:val="39"/>
        </w:numPr>
        <w:shd w:val="clear" w:color="auto" w:fill="FFFFFF"/>
        <w:spacing w:before="0" w:after="0"/>
        <w:rPr>
          <w:lang w:val="en-IE"/>
        </w:rPr>
      </w:pPr>
      <w:r>
        <w:rPr>
          <w:lang w:val="en-IE"/>
        </w:rPr>
        <w:t>Do not urinate directly into an acidified container.</w:t>
      </w:r>
    </w:p>
    <w:p>
      <w:pPr>
        <w:pStyle w:val="Normal"/>
        <w:numPr>
          <w:ilvl w:val="0"/>
          <w:numId w:val="39"/>
        </w:numPr>
        <w:shd w:val="clear" w:color="auto" w:fill="FFFFFF"/>
        <w:spacing w:before="0" w:after="0"/>
        <w:rPr>
          <w:lang w:val="en-IE"/>
        </w:rPr>
      </w:pPr>
      <w:r>
        <w:rPr>
          <w:lang w:val="en-IE"/>
        </w:rPr>
        <w:t>Pour the urine slowly down the inside wall of the container, trying not to splash the acid.</w:t>
      </w:r>
    </w:p>
    <w:p>
      <w:pPr>
        <w:pStyle w:val="Normal"/>
        <w:numPr>
          <w:ilvl w:val="0"/>
          <w:numId w:val="39"/>
        </w:numPr>
        <w:shd w:val="clear" w:color="auto" w:fill="FFFFFF"/>
        <w:spacing w:before="0" w:after="0"/>
        <w:rPr>
          <w:lang w:val="en-IE"/>
        </w:rPr>
      </w:pPr>
      <w:r>
        <w:rPr>
          <w:lang w:val="en-IE"/>
        </w:rPr>
        <w:t>Close the lid and swirl the container gently, to mix the acid and the urine.</w:t>
      </w:r>
    </w:p>
    <w:p>
      <w:pPr>
        <w:pStyle w:val="Normal"/>
        <w:numPr>
          <w:ilvl w:val="0"/>
          <w:numId w:val="39"/>
        </w:numPr>
        <w:shd w:val="clear" w:color="auto" w:fill="FFFFFF"/>
        <w:spacing w:before="0" w:after="0"/>
        <w:rPr>
          <w:lang w:val="en-IE"/>
        </w:rPr>
      </w:pPr>
      <w:r>
        <w:rPr>
          <w:lang w:val="en-IE"/>
        </w:rPr>
        <w:t>Repeat steps 2~4 each time you add urine to the container.</w:t>
      </w:r>
    </w:p>
    <w:p>
      <w:pPr>
        <w:pStyle w:val="Normal"/>
        <w:numPr>
          <w:ilvl w:val="0"/>
          <w:numId w:val="39"/>
        </w:numPr>
        <w:shd w:val="clear" w:color="auto" w:fill="FFFFFF"/>
        <w:spacing w:before="0" w:after="0"/>
        <w:rPr>
          <w:lang w:val="en-IE"/>
        </w:rPr>
      </w:pPr>
      <w:r>
        <w:rPr>
          <w:lang w:val="en-IE"/>
        </w:rPr>
        <w:t>Should you spill any acid on your skin, wash it off at once with plenty of running water.</w:t>
      </w:r>
    </w:p>
    <w:p>
      <w:pPr>
        <w:pStyle w:val="Normal"/>
        <w:numPr>
          <w:ilvl w:val="0"/>
          <w:numId w:val="39"/>
        </w:numPr>
        <w:shd w:val="clear" w:color="auto" w:fill="FFFFFF"/>
        <w:spacing w:before="0" w:after="0"/>
        <w:rPr>
          <w:lang w:val="en-IE"/>
        </w:rPr>
      </w:pPr>
      <w:r>
        <w:rPr>
          <w:lang w:val="en-IE"/>
        </w:rPr>
        <w:t>If you experience soreness or reddening of your skin, as a result of a splash, consult your doctor &amp; take these instructions with you.</w:t>
      </w:r>
    </w:p>
    <w:p>
      <w:pPr>
        <w:pStyle w:val="Normal"/>
        <w:numPr>
          <w:ilvl w:val="0"/>
          <w:numId w:val="39"/>
        </w:numPr>
        <w:shd w:val="clear" w:color="auto" w:fill="FFFFFF"/>
        <w:spacing w:before="0" w:after="0"/>
        <w:rPr>
          <w:bCs/>
          <w:lang w:val="en-IE"/>
        </w:rPr>
      </w:pPr>
      <w:r>
        <w:rPr>
          <w:b/>
          <w:bCs/>
          <w:lang w:val="en-IE"/>
        </w:rPr>
        <w:t>Keep the container in a safe place and out of the reach of children at all times.</w:t>
      </w:r>
    </w:p>
    <w:p>
      <w:pPr>
        <w:pStyle w:val="Normal"/>
        <w:shd w:val="clear" w:color="auto" w:fill="FFFFFF"/>
        <w:spacing w:before="0" w:after="0"/>
        <w:rPr>
          <w:b/>
          <w:bCs/>
          <w:lang w:val="en-IE"/>
        </w:rPr>
      </w:pPr>
      <w:r>
        <w:rPr>
          <w:b/>
          <w:bCs/>
          <w:lang w:val="en-IE"/>
        </w:rPr>
      </w:r>
    </w:p>
    <w:p>
      <w:pPr>
        <w:pStyle w:val="Normal"/>
        <w:shd w:val="clear" w:color="auto" w:fill="FFFFFF"/>
        <w:spacing w:before="0" w:after="0"/>
        <w:rPr>
          <w:b/>
          <w:bCs/>
          <w:lang w:val="en-IE"/>
        </w:rPr>
      </w:pPr>
      <w:r>
        <w:rPr>
          <w:b/>
          <w:bCs/>
          <w:lang w:val="en-IE"/>
        </w:rPr>
        <w:t>How to collect your sample</w:t>
      </w:r>
    </w:p>
    <w:p>
      <w:pPr>
        <w:pStyle w:val="Normal"/>
        <w:numPr>
          <w:ilvl w:val="0"/>
          <w:numId w:val="40"/>
        </w:numPr>
        <w:shd w:val="clear" w:color="auto" w:fill="FFFFFF"/>
        <w:spacing w:before="0" w:after="0"/>
        <w:rPr>
          <w:lang w:val="en-IE"/>
        </w:rPr>
      </w:pPr>
      <w:r>
        <w:rPr>
          <w:lang w:val="en-IE"/>
        </w:rPr>
        <w:t>Start the 24-hour urine test by urinating directly into the toilet. Do not save this urine.</w:t>
      </w:r>
    </w:p>
    <w:p>
      <w:pPr>
        <w:pStyle w:val="Normal"/>
        <w:numPr>
          <w:ilvl w:val="0"/>
          <w:numId w:val="40"/>
        </w:numPr>
        <w:shd w:val="clear" w:color="auto" w:fill="FFFFFF"/>
        <w:spacing w:before="0" w:after="0"/>
        <w:rPr>
          <w:lang w:val="en-IE"/>
        </w:rPr>
      </w:pPr>
      <w:r>
        <w:rPr>
          <w:lang w:val="en-IE"/>
        </w:rPr>
        <w:t xml:space="preserve">After this urination, write the date and time on your storage container, </w:t>
      </w:r>
      <w:r>
        <w:rPr>
          <w:b/>
          <w:u w:val="single"/>
          <w:lang w:val="en-IE"/>
        </w:rPr>
        <w:t>this is the start of your test.</w:t>
      </w:r>
      <w:r>
        <w:rPr>
          <w:lang w:val="en-IE"/>
        </w:rPr>
        <w:t xml:space="preserve"> </w:t>
      </w:r>
    </w:p>
    <w:p>
      <w:pPr>
        <w:pStyle w:val="Normal"/>
        <w:numPr>
          <w:ilvl w:val="0"/>
          <w:numId w:val="40"/>
        </w:numPr>
        <w:shd w:val="clear" w:color="auto" w:fill="FFFFFF"/>
        <w:spacing w:before="0" w:after="0"/>
        <w:rPr>
          <w:lang w:val="en-IE"/>
        </w:rPr>
      </w:pPr>
      <w:r>
        <w:rPr>
          <w:lang w:val="en-IE"/>
        </w:rPr>
        <w:t>For the next 24 hours, collect all your urine into your storage container.</w:t>
      </w:r>
    </w:p>
    <w:p>
      <w:pPr>
        <w:pStyle w:val="Normal"/>
        <w:numPr>
          <w:ilvl w:val="0"/>
          <w:numId w:val="40"/>
        </w:numPr>
        <w:shd w:val="clear" w:color="auto" w:fill="FFFFFF"/>
        <w:spacing w:before="0" w:after="0"/>
        <w:rPr>
          <w:lang w:val="en-IE"/>
        </w:rPr>
      </w:pPr>
      <w:r>
        <w:rPr>
          <w:lang w:val="en-IE"/>
        </w:rPr>
        <w:t xml:space="preserve">Exactly 24 hours after you started the test, urinate one last time and collect this urine in your storage container. </w:t>
      </w:r>
      <w:r>
        <w:rPr>
          <w:b/>
          <w:iCs/>
          <w:u w:val="single"/>
          <w:lang w:val="en-IE"/>
        </w:rPr>
        <w:t>This is the end of your test.</w:t>
      </w:r>
      <w:r>
        <w:rPr>
          <w:lang w:val="en-IE"/>
        </w:rPr>
        <w:t xml:space="preserve"> Write the date and time the test ended on your storage container.</w:t>
      </w:r>
    </w:p>
    <w:p>
      <w:pPr>
        <w:pStyle w:val="Normal"/>
        <w:numPr>
          <w:ilvl w:val="0"/>
          <w:numId w:val="40"/>
        </w:numPr>
        <w:shd w:val="clear" w:color="auto" w:fill="FFFFFF"/>
        <w:spacing w:before="0" w:after="0"/>
        <w:rPr>
          <w:lang w:val="en-IE"/>
        </w:rPr>
      </w:pPr>
      <w:r>
        <w:rPr>
          <w:lang w:val="en-IE"/>
        </w:rPr>
        <w:t>If you need to use more than one container during the 24-hour period, use one container at a time. When it is full, collect your urine in the next container.</w:t>
      </w:r>
    </w:p>
    <w:p>
      <w:pPr>
        <w:pStyle w:val="Normal"/>
        <w:numPr>
          <w:ilvl w:val="0"/>
          <w:numId w:val="40"/>
        </w:numPr>
        <w:shd w:val="clear" w:color="auto" w:fill="FFFFFF"/>
        <w:spacing w:before="0" w:after="0"/>
        <w:rPr>
          <w:lang w:val="en-IE"/>
        </w:rPr>
      </w:pPr>
      <w:r>
        <w:rPr>
          <w:lang w:val="en-IE"/>
        </w:rPr>
        <w:t>Please bring the urine to the hospital as soon as possible. To prevent leaks, make sure the lid is on tightly, and that the container is transported upright inside a plastic bag.</w:t>
      </w:r>
    </w:p>
    <w:p>
      <w:pPr>
        <w:pStyle w:val="Normal"/>
        <w:numPr>
          <w:ilvl w:val="0"/>
          <w:numId w:val="40"/>
        </w:numPr>
        <w:shd w:val="clear" w:color="auto" w:fill="FFFFFF"/>
        <w:spacing w:before="0" w:after="0"/>
        <w:rPr>
          <w:lang w:val="en-IE"/>
        </w:rPr>
      </w:pPr>
      <w:r>
        <w:rPr>
          <w:lang w:val="en-IE"/>
        </w:rPr>
        <w:t>If you are an inpatient, your nurse will tell you what time to begin and end the collection and will set up more containers, as needed. If you have questions about the procedure, please ask.</w:t>
      </w:r>
    </w:p>
    <w:p>
      <w:pPr>
        <w:pStyle w:val="Heading4"/>
        <w:numPr>
          <w:ilvl w:val="3"/>
          <w:numId w:val="25"/>
        </w:numPr>
        <w:tabs>
          <w:tab w:val="clear" w:pos="709"/>
          <w:tab w:val="left" w:pos="864" w:leader="none"/>
        </w:tabs>
        <w:rPr>
          <w:lang w:val="en-IE"/>
        </w:rPr>
      </w:pPr>
      <w:r>
        <w:rPr>
          <w:lang w:val="en-IE"/>
        </w:rPr>
        <w:t>Mid-Stream Urine</w:t>
      </w:r>
    </w:p>
    <w:p>
      <w:pPr>
        <w:pStyle w:val="Normal"/>
        <w:rPr/>
      </w:pPr>
      <w:r>
        <w:rPr/>
        <w:t>Male: Clean the glans penis with soap and water. Commence micturition and when a few ml of urine has been passed, introduce a widemouthed primary container into the stream (New Needle free transfer system (NFT) system</w:t>
      </w:r>
    </w:p>
    <w:p>
      <w:pPr>
        <w:pStyle w:val="Normal"/>
        <w:rPr/>
      </w:pPr>
      <w:r>
        <w:rPr/>
        <w:t xml:space="preserve">Females: If the patient is able to collect urine without assistance from the nursing staff, instruct them as follows: </w:t>
      </w:r>
    </w:p>
    <w:p>
      <w:pPr>
        <w:pStyle w:val="Normal"/>
        <w:numPr>
          <w:ilvl w:val="0"/>
          <w:numId w:val="41"/>
        </w:numPr>
        <w:spacing w:before="0" w:after="0"/>
        <w:ind w:start="357" w:hanging="357"/>
        <w:rPr/>
      </w:pPr>
      <w:r>
        <w:rPr/>
        <w:t xml:space="preserve">Separate the labia and with cotton wool or a sponge moistened with water, wipe the vulva from the front to the back. Disinfectants must not be used. </w:t>
      </w:r>
    </w:p>
    <w:p>
      <w:pPr>
        <w:pStyle w:val="Normal"/>
        <w:numPr>
          <w:ilvl w:val="0"/>
          <w:numId w:val="41"/>
        </w:numPr>
        <w:spacing w:before="0" w:after="0"/>
        <w:ind w:start="357" w:hanging="357"/>
        <w:rPr/>
      </w:pPr>
      <w:r>
        <w:rPr/>
        <w:t xml:space="preserve">With the labia still separated allow some urine to pass into the toilet, and then, without stopping, allow some to pass into a sterile container. </w:t>
      </w:r>
    </w:p>
    <w:p>
      <w:pPr>
        <w:pStyle w:val="Normal"/>
        <w:numPr>
          <w:ilvl w:val="0"/>
          <w:numId w:val="41"/>
        </w:numPr>
        <w:spacing w:before="0" w:after="0"/>
        <w:ind w:start="357" w:hanging="357"/>
        <w:rPr>
          <w:lang w:val="en-IE"/>
        </w:rPr>
      </w:pPr>
      <w:r>
        <w:rPr/>
        <w:t>Pass the remaining urine into the toilet.</w:t>
      </w:r>
    </w:p>
    <w:p>
      <w:pPr>
        <w:pStyle w:val="Heading4"/>
        <w:numPr>
          <w:ilvl w:val="3"/>
          <w:numId w:val="25"/>
        </w:numPr>
        <w:tabs>
          <w:tab w:val="clear" w:pos="709"/>
          <w:tab w:val="left" w:pos="864" w:leader="none"/>
        </w:tabs>
        <w:rPr>
          <w:lang w:val="en-IE"/>
        </w:rPr>
      </w:pPr>
      <w:r>
        <w:rPr>
          <w:lang w:val="en-IE"/>
        </w:rPr>
        <w:t>Swabs</w:t>
      </w:r>
    </w:p>
    <w:p>
      <w:pPr>
        <w:pStyle w:val="Normal"/>
        <w:rPr/>
      </w:pPr>
      <w:r>
        <w:rPr/>
        <w:t>Collect the specimen by passing the swab twice over the relevant area.  Label and send to the laboratory as soon as possible after collection</w:t>
      </w:r>
    </w:p>
    <w:p>
      <w:pPr>
        <w:pStyle w:val="Heading4"/>
        <w:numPr>
          <w:ilvl w:val="3"/>
          <w:numId w:val="25"/>
        </w:numPr>
        <w:tabs>
          <w:tab w:val="clear" w:pos="709"/>
          <w:tab w:val="left" w:pos="864" w:leader="none"/>
        </w:tabs>
        <w:rPr/>
      </w:pPr>
      <w:r>
        <w:rPr/>
        <w:t>Endocervical Swab for GC Culture</w:t>
      </w:r>
    </w:p>
    <w:p>
      <w:pPr>
        <w:pStyle w:val="Normal"/>
        <w:rPr>
          <w:lang w:val="en-IE"/>
        </w:rPr>
      </w:pPr>
      <w:r>
        <w:rPr/>
        <w:t>Clean the cervical os with a large sterile swab and discard. Insert a new swab into the endocervix and rotate 360 degrees.17 Swab the external os 360 degrees if os stenosed</w:t>
      </w:r>
    </w:p>
    <w:p>
      <w:pPr>
        <w:pStyle w:val="Heading4"/>
        <w:numPr>
          <w:ilvl w:val="3"/>
          <w:numId w:val="25"/>
        </w:numPr>
        <w:tabs>
          <w:tab w:val="clear" w:pos="709"/>
          <w:tab w:val="left" w:pos="864" w:leader="none"/>
        </w:tabs>
        <w:rPr>
          <w:lang w:val="en-IE"/>
        </w:rPr>
      </w:pPr>
      <w:r>
        <w:rPr>
          <w:lang w:val="en-IE"/>
        </w:rPr>
        <w:t>Sputum</w:t>
      </w:r>
    </w:p>
    <w:p>
      <w:pPr>
        <w:pStyle w:val="Normal"/>
        <w:rPr>
          <w:lang w:val="en-IE"/>
        </w:rPr>
      </w:pPr>
      <w:r>
        <w:rPr/>
        <w:t>Instruct the patient to remove dentures, rinse mouth and gargle with tap water and not with antiseptic mouthwash. Instruct the patient to expectorate saliva or postnasal discharge and discard, before expectorating a deep lung sputum sample into a specimen container. Specimens must be submitted in a wide-mouthed container and sent to the laboratory without delay.</w:t>
      </w:r>
    </w:p>
    <w:p>
      <w:pPr>
        <w:pStyle w:val="Heading4"/>
        <w:numPr>
          <w:ilvl w:val="3"/>
          <w:numId w:val="25"/>
        </w:numPr>
        <w:tabs>
          <w:tab w:val="clear" w:pos="709"/>
          <w:tab w:val="left" w:pos="864" w:leader="none"/>
        </w:tabs>
        <w:rPr>
          <w:lang w:val="en-IE"/>
        </w:rPr>
      </w:pPr>
      <w:r>
        <w:rPr>
          <w:lang w:val="en-IE"/>
        </w:rPr>
        <w:t>Stool Samples</w:t>
      </w:r>
    </w:p>
    <w:p>
      <w:pPr>
        <w:pStyle w:val="Normal"/>
        <w:rPr/>
      </w:pPr>
      <w:r>
        <w:rPr/>
        <w:t>Stool specimens should be collected in a clean container with a secure lid, labeled, and sent to the laboratory as soon as possible after collection</w:t>
      </w:r>
    </w:p>
    <w:p>
      <w:pPr>
        <w:pStyle w:val="Heading4"/>
        <w:numPr>
          <w:ilvl w:val="3"/>
          <w:numId w:val="25"/>
        </w:numPr>
        <w:rPr>
          <w:lang w:val="en-IE"/>
        </w:rPr>
      </w:pPr>
      <w:r>
        <w:rPr>
          <w:lang w:val="en-IE"/>
        </w:rPr>
        <w:t>(ABG) Blood Gas analysis</w:t>
      </w:r>
    </w:p>
    <w:p>
      <w:pPr>
        <w:pStyle w:val="Normal"/>
        <w:rPr/>
      </w:pPr>
      <w:r>
        <w:rPr/>
        <w:t>All samples for ABG analysis must be collected in the appropriate heparanised syringes. The needle must be removed from the syringe and disposed of in the sharps bin as soon as the sample has been collected. Once the sample is collected any air in the sample must be removed immediately. The cap provided must then be fitted to the syringe. Once capped, the sample should be mixed by gently rolling it between the palms of the hand for 30secs.</w:t>
      </w:r>
    </w:p>
    <w:p>
      <w:pPr>
        <w:pStyle w:val="Normal"/>
        <w:rPr/>
      </w:pPr>
      <w:r>
        <w:rPr/>
        <w:t xml:space="preserve">ABG samples to be sent to the Chemical Pathology lab for processing must be hand delivered. Samples must not be sent to the lab via the pneumatic chute. Please ensure samples are correctly labelled with the appropriate barcode request, and placed in a biohazard bag for transport. </w:t>
      </w:r>
    </w:p>
    <w:p>
      <w:pPr>
        <w:pStyle w:val="Normal"/>
        <w:rPr>
          <w:lang w:val="en-IE"/>
        </w:rPr>
      </w:pPr>
      <w:r>
        <w:rPr>
          <w:lang w:val="en-IE"/>
        </w:rPr>
        <w:t>If sending samples to the lab out of hours, please bleep the Chemical Pathology scientist on call prior to sending the sample.</w:t>
      </w:r>
    </w:p>
    <w:p>
      <w:pPr>
        <w:pStyle w:val="Heading4"/>
        <w:numPr>
          <w:ilvl w:val="3"/>
          <w:numId w:val="25"/>
        </w:numPr>
        <w:rPr/>
      </w:pPr>
      <w:r>
        <w:rPr/>
        <w:t>Disposal of Materials Used</w:t>
      </w:r>
    </w:p>
    <w:p>
      <w:pPr>
        <w:pStyle w:val="Normal"/>
        <w:rPr>
          <w:lang w:val="en-IE"/>
        </w:rPr>
      </w:pPr>
      <w:r>
        <w:rPr>
          <w:lang w:val="en-IE"/>
        </w:rPr>
        <w:t>Dispose of all clinical waste must be in accordance with National Guidelines.</w:t>
      </w:r>
    </w:p>
    <w:p>
      <w:pPr>
        <w:pStyle w:val="Normal"/>
        <w:numPr>
          <w:ilvl w:val="0"/>
          <w:numId w:val="42"/>
        </w:numPr>
        <w:spacing w:before="0" w:after="0"/>
        <w:ind w:start="714" w:hanging="357"/>
        <w:rPr>
          <w:lang w:val="en-IE"/>
        </w:rPr>
      </w:pPr>
      <w:r>
        <w:rPr>
          <w:lang w:val="en-IE"/>
        </w:rPr>
        <w:t>Universal precautions must be adhered to at all times.</w:t>
      </w:r>
    </w:p>
    <w:p>
      <w:pPr>
        <w:pStyle w:val="Normal"/>
        <w:numPr>
          <w:ilvl w:val="0"/>
          <w:numId w:val="42"/>
        </w:numPr>
        <w:spacing w:before="0" w:after="0"/>
        <w:ind w:start="714" w:hanging="357"/>
        <w:rPr>
          <w:lang w:val="en-IE"/>
        </w:rPr>
      </w:pPr>
      <w:r>
        <w:rPr>
          <w:lang w:val="en-IE"/>
        </w:rPr>
        <w:t>Gloves must be worn at all times.</w:t>
      </w:r>
    </w:p>
    <w:p>
      <w:pPr>
        <w:pStyle w:val="Normal"/>
        <w:numPr>
          <w:ilvl w:val="0"/>
          <w:numId w:val="42"/>
        </w:numPr>
        <w:spacing w:before="0" w:after="0"/>
        <w:ind w:start="714" w:hanging="357"/>
        <w:rPr>
          <w:lang w:val="en-IE"/>
        </w:rPr>
      </w:pPr>
      <w:r>
        <w:rPr>
          <w:lang w:val="en-IE"/>
        </w:rPr>
        <w:t>Gloves must be changed after each patient.</w:t>
      </w:r>
    </w:p>
    <w:p>
      <w:pPr>
        <w:pStyle w:val="Normal"/>
        <w:numPr>
          <w:ilvl w:val="0"/>
          <w:numId w:val="42"/>
        </w:numPr>
        <w:spacing w:before="0" w:after="0"/>
        <w:ind w:start="714" w:hanging="357"/>
        <w:rPr>
          <w:lang w:val="en-IE"/>
        </w:rPr>
      </w:pPr>
      <w:r>
        <w:rPr>
          <w:lang w:val="en-IE"/>
        </w:rPr>
        <w:t>Needles must not be recapped after use.</w:t>
      </w:r>
    </w:p>
    <w:p>
      <w:pPr>
        <w:pStyle w:val="Normal"/>
        <w:numPr>
          <w:ilvl w:val="0"/>
          <w:numId w:val="42"/>
        </w:numPr>
        <w:spacing w:before="0" w:after="0"/>
        <w:ind w:start="714" w:hanging="357"/>
        <w:rPr>
          <w:lang w:val="en-IE"/>
        </w:rPr>
      </w:pPr>
      <w:r>
        <w:rPr>
          <w:lang w:val="en-IE"/>
        </w:rPr>
        <w:t>Dispose of sharps in a suitable sharps container.</w:t>
      </w:r>
    </w:p>
    <w:p>
      <w:pPr>
        <w:pStyle w:val="Normal"/>
        <w:numPr>
          <w:ilvl w:val="0"/>
          <w:numId w:val="42"/>
        </w:numPr>
        <w:spacing w:before="0" w:after="0"/>
        <w:ind w:start="714" w:hanging="357"/>
        <w:rPr/>
      </w:pPr>
      <w:r>
        <w:rPr>
          <w:lang w:val="en-IE"/>
        </w:rPr>
        <w:t>Dispose of all clinical waste into yellow bag.</w:t>
      </w:r>
    </w:p>
    <w:p>
      <w:pPr>
        <w:pStyle w:val="Normal"/>
        <w:shd w:val="clear" w:color="auto" w:fill="FFFFFF"/>
        <w:rPr>
          <w:rStyle w:val="BookTitle"/>
        </w:rPr>
      </w:pPr>
      <w:r>
        <w:rPr>
          <w:rStyle w:val="BookTitle"/>
        </w:rPr>
        <w:t>Sample Requirements for Toxicology.</w:t>
      </w:r>
    </w:p>
    <w:p>
      <w:pPr>
        <w:pStyle w:val="Normal"/>
        <w:numPr>
          <w:ilvl w:val="0"/>
          <w:numId w:val="43"/>
        </w:numPr>
        <w:shd w:val="clear" w:color="auto" w:fill="FFFFFF"/>
        <w:spacing w:before="0" w:after="0"/>
        <w:ind w:start="714" w:hanging="357"/>
        <w:rPr/>
      </w:pPr>
      <w:r>
        <w:rPr/>
        <w:t xml:space="preserve">Blood toxicology and urine drugs of abuse screens are available, but </w:t>
      </w:r>
      <w:r>
        <w:rPr>
          <w:b/>
          <w:u w:val="single"/>
        </w:rPr>
        <w:t>not for Medico-legal purposes.</w:t>
      </w:r>
    </w:p>
    <w:p>
      <w:pPr>
        <w:pStyle w:val="Normal"/>
        <w:numPr>
          <w:ilvl w:val="0"/>
          <w:numId w:val="43"/>
        </w:numPr>
        <w:shd w:val="clear" w:color="auto" w:fill="FFFFFF"/>
        <w:spacing w:before="0" w:after="0"/>
        <w:ind w:start="714" w:hanging="357"/>
        <w:rPr/>
      </w:pPr>
      <w:r>
        <w:rPr/>
        <w:t>Additional tests that are available include: ethylene glycol, methanol, paraquat.  Please contact the toxicology laboratory for further information if any of these are required.</w:t>
      </w:r>
    </w:p>
    <w:p>
      <w:pPr>
        <w:pStyle w:val="Normal"/>
        <w:numPr>
          <w:ilvl w:val="0"/>
          <w:numId w:val="43"/>
        </w:numPr>
        <w:shd w:val="clear" w:color="auto" w:fill="FFFFFF"/>
        <w:spacing w:before="0" w:after="0"/>
        <w:ind w:start="714" w:hanging="357"/>
        <w:rPr/>
      </w:pPr>
      <w:r>
        <w:rPr>
          <w:rStyle w:val="BookTitle"/>
        </w:rPr>
        <w:t>Sample Requirements for TDM</w:t>
      </w:r>
    </w:p>
    <w:p>
      <w:pPr>
        <w:pStyle w:val="Normal"/>
        <w:numPr>
          <w:ilvl w:val="0"/>
          <w:numId w:val="44"/>
        </w:numPr>
        <w:shd w:val="clear" w:color="auto" w:fill="FFFFFF"/>
        <w:tabs>
          <w:tab w:val="clear" w:pos="709"/>
          <w:tab w:val="left" w:pos="142" w:leader="none"/>
        </w:tabs>
        <w:suppressAutoHyphens w:val="false"/>
        <w:spacing w:before="0" w:after="0"/>
        <w:jc w:val="start"/>
        <w:rPr/>
      </w:pPr>
      <w:bookmarkStart w:id="27" w:name="_Toc311473028"/>
      <w:bookmarkStart w:id="28" w:name="_Toc351113405"/>
      <w:bookmarkStart w:id="29" w:name="_Toc350955639"/>
      <w:r>
        <w:rPr>
          <w:lang w:val="en-IE"/>
        </w:rPr>
        <w:t>Therapeutic Drug Monitoring (TDM) samples</w:t>
      </w:r>
      <w:bookmarkEnd w:id="27"/>
      <w:bookmarkEnd w:id="28"/>
      <w:bookmarkEnd w:id="29"/>
      <w:r>
        <w:rPr/>
        <w:t xml:space="preserve"> should be taken immediately prior to next dose, i.e. a trough sample.</w:t>
      </w:r>
    </w:p>
    <w:p>
      <w:pPr>
        <w:pStyle w:val="Normal"/>
        <w:numPr>
          <w:ilvl w:val="0"/>
          <w:numId w:val="44"/>
        </w:numPr>
        <w:shd w:val="clear" w:color="auto" w:fill="FFFFFF"/>
        <w:suppressAutoHyphens w:val="false"/>
        <w:spacing w:before="0" w:after="0"/>
        <w:jc w:val="start"/>
        <w:rPr/>
      </w:pPr>
      <w:r>
        <w:rPr>
          <w:b/>
        </w:rPr>
        <w:t>Digoxin:</w:t>
      </w:r>
      <w:r>
        <w:rPr/>
        <w:t xml:space="preserve"> samples must be taken pre-dose or at least 6 hours post-dose.</w:t>
      </w:r>
    </w:p>
    <w:p>
      <w:pPr>
        <w:pStyle w:val="Normal"/>
        <w:numPr>
          <w:ilvl w:val="0"/>
          <w:numId w:val="44"/>
        </w:numPr>
        <w:shd w:val="clear" w:color="auto" w:fill="FFFFFF"/>
        <w:suppressAutoHyphens w:val="false"/>
        <w:spacing w:before="0" w:after="0"/>
        <w:jc w:val="start"/>
        <w:rPr/>
      </w:pPr>
      <w:r>
        <w:rPr>
          <w:b/>
        </w:rPr>
        <w:t>Lithium:</w:t>
      </w:r>
      <w:r>
        <w:rPr/>
        <w:t xml:space="preserve"> samples must be collected 12 hours post dose.</w:t>
      </w:r>
    </w:p>
    <w:p>
      <w:pPr>
        <w:pStyle w:val="Normal"/>
        <w:numPr>
          <w:ilvl w:val="0"/>
          <w:numId w:val="44"/>
        </w:numPr>
        <w:shd w:val="clear" w:color="auto" w:fill="FFFFFF"/>
        <w:suppressAutoHyphens w:val="false"/>
        <w:spacing w:before="0" w:after="0"/>
        <w:jc w:val="start"/>
        <w:rPr/>
      </w:pPr>
      <w:r>
        <w:rPr/>
        <w:t>Samples for FK506 must be delivered to the laboratory by 11am Monday – Friday, excluding Bank Holidays, to ensure analysis within the day.</w:t>
      </w:r>
    </w:p>
    <w:p>
      <w:pPr>
        <w:pStyle w:val="Normal"/>
        <w:shd w:val="clear" w:color="auto" w:fill="FFFFFF"/>
        <w:rPr>
          <w:rStyle w:val="BookTitle"/>
        </w:rPr>
      </w:pPr>
      <w:bookmarkStart w:id="30" w:name="_Toc356037820"/>
      <w:r>
        <w:rPr>
          <w:rStyle w:val="BookTitle"/>
        </w:rPr>
        <w:t>Random Urine Samples</w:t>
      </w:r>
      <w:bookmarkEnd w:id="30"/>
    </w:p>
    <w:p>
      <w:pPr>
        <w:pStyle w:val="Normal"/>
        <w:shd w:val="clear" w:color="auto" w:fill="FFFFFF"/>
        <w:rPr/>
      </w:pPr>
      <w:r>
        <w:rPr/>
        <w:t xml:space="preserve">Random spot urine samples are collected into plain MSU containers; these contain no preservative. Ensure the lid is tightly closed.  </w:t>
      </w:r>
    </w:p>
    <w:p>
      <w:pPr>
        <w:pStyle w:val="Normal"/>
        <w:shd w:val="clear" w:color="auto" w:fill="FFFFFF"/>
        <w:rPr>
          <w:rStyle w:val="BookTitle"/>
        </w:rPr>
      </w:pPr>
      <w:bookmarkStart w:id="31" w:name="_Toc356037821"/>
      <w:r>
        <w:rPr>
          <w:rStyle w:val="BookTitle"/>
        </w:rPr>
        <w:t>24 Hour Urine Collections</w:t>
      </w:r>
      <w:bookmarkEnd w:id="31"/>
    </w:p>
    <w:p>
      <w:pPr>
        <w:pStyle w:val="Normal"/>
        <w:shd w:val="clear" w:color="auto" w:fill="FFFFFF"/>
        <w:rPr/>
      </w:pPr>
      <w:r>
        <w:rPr/>
        <w:t>A 24 hour urine collection is either taken in a plain container or an acidified container, depending on the test required.  Pre-acidified containers with 50% acid are available from the laboratory. Plain containers are available on the ward or from supplies. Urine orders may print more than one label depending on the combination of orders placed; multiple labels may be attached to a single 24 hour collection provided the sample type indicated on the upper right hand corner is the same on each label.</w:t>
      </w:r>
    </w:p>
    <w:p>
      <w:pPr>
        <w:pStyle w:val="Normal"/>
        <w:shd w:val="clear" w:color="auto" w:fill="FFFFFF"/>
        <w:rPr/>
      </w:pPr>
      <w:r>
        <w:rPr/>
        <w:t>If the patient urine volume exceeds the capacity of a 24 hour collection bottle a second bottle must be used – the 2</w:t>
      </w:r>
      <w:r>
        <w:rPr>
          <w:vertAlign w:val="superscript"/>
        </w:rPr>
        <w:t>nd</w:t>
      </w:r>
      <w:r>
        <w:rPr/>
        <w:t xml:space="preserve"> bottle must be clearly labelled with the patient demographics and clearly labelled as the 2</w:t>
      </w:r>
      <w:r>
        <w:rPr>
          <w:vertAlign w:val="superscript"/>
        </w:rPr>
        <w:t>nd</w:t>
      </w:r>
      <w:r>
        <w:rPr/>
        <w:t xml:space="preserve"> part of a collection with a note on the 1</w:t>
      </w:r>
      <w:r>
        <w:rPr>
          <w:vertAlign w:val="superscript"/>
        </w:rPr>
        <w:t>st</w:t>
      </w:r>
      <w:r>
        <w:rPr/>
        <w:t xml:space="preserve"> bottle to indicate a 2</w:t>
      </w:r>
      <w:r>
        <w:rPr>
          <w:vertAlign w:val="superscript"/>
        </w:rPr>
        <w:t>nd</w:t>
      </w:r>
      <w:r>
        <w:rPr/>
        <w:t xml:space="preserve"> bottle exists as part of the collection. Both bottles must be delivered to the laboratory at the same time, in the same bag.</w:t>
      </w:r>
    </w:p>
    <w:p>
      <w:pPr>
        <w:pStyle w:val="Normal"/>
        <w:shd w:val="clear" w:color="auto" w:fill="FFFFFF"/>
        <w:rPr>
          <w:rStyle w:val="BookTitle"/>
        </w:rPr>
      </w:pPr>
      <w:bookmarkStart w:id="32" w:name="_Toc356037822"/>
      <w:r>
        <w:rPr>
          <w:rStyle w:val="BookTitle"/>
        </w:rPr>
        <w:t>CSF Samples</w:t>
      </w:r>
      <w:bookmarkEnd w:id="32"/>
    </w:p>
    <w:p>
      <w:pPr>
        <w:pStyle w:val="Normal"/>
        <w:shd w:val="clear" w:color="auto" w:fill="FFFFFF"/>
        <w:rPr>
          <w:lang w:val="en-US"/>
        </w:rPr>
      </w:pPr>
      <w:r>
        <w:rPr>
          <w:lang w:val="en-US"/>
        </w:rPr>
        <w:t>CSF samples are sent directly to the Microbiology Department for analysis.</w:t>
      </w:r>
    </w:p>
    <w:p>
      <w:pPr>
        <w:pStyle w:val="Normal"/>
        <w:shd w:val="clear" w:color="auto" w:fill="FFFFFF"/>
        <w:rPr>
          <w:lang w:val="en-US"/>
        </w:rPr>
      </w:pPr>
      <w:r>
        <w:rPr>
          <w:lang w:val="en-US"/>
        </w:rPr>
        <w:t xml:space="preserve">Once the sterile work has been completed the samples are then sent to Chemical Pathology for analysis of Protein and Glucose, or dispatched for Oligoclonal IgG bands or other referred tests. </w:t>
      </w:r>
    </w:p>
    <w:p>
      <w:pPr>
        <w:pStyle w:val="Normal"/>
        <w:shd w:val="clear" w:color="auto" w:fill="FFFFFF"/>
        <w:rPr>
          <w:rStyle w:val="BookTitle"/>
        </w:rPr>
      </w:pPr>
      <w:bookmarkStart w:id="33" w:name="_Toc356037823"/>
      <w:r>
        <w:rPr>
          <w:rStyle w:val="BookTitle"/>
        </w:rPr>
        <w:t>Samples for CSF Xanthochromia</w:t>
      </w:r>
      <w:bookmarkEnd w:id="33"/>
    </w:p>
    <w:p>
      <w:pPr>
        <w:pStyle w:val="Normal"/>
        <w:shd w:val="clear" w:color="auto" w:fill="FFFFFF"/>
        <w:rPr>
          <w:b/>
          <w:i/>
          <w:i/>
        </w:rPr>
      </w:pPr>
      <w:r>
        <w:rPr/>
        <w:t xml:space="preserve">Samples for CSF Xanthochromia must be drawn into a brown plastic container or if not available –foil wrapped to protect from light, one mL sample is required and must be delivered by hand to Chemical Pathology immediately. Please note: Do NOT place samples in the chute system. See </w:t>
      </w:r>
      <w:hyperlink r:id="rId17">
        <w:r>
          <w:rPr>
            <w:rStyle w:val="InternetLink"/>
          </w:rPr>
          <w:t>Beaumont Hospital - Chemical Pathology</w:t>
        </w:r>
      </w:hyperlink>
      <w:r>
        <w:rPr/>
        <w:t xml:space="preserve"> for further guidance.</w:t>
      </w:r>
    </w:p>
    <w:p>
      <w:pPr>
        <w:pStyle w:val="Normal"/>
        <w:shd w:val="clear" w:color="auto" w:fill="FFFFFF"/>
        <w:rPr>
          <w:rStyle w:val="BookTitle"/>
        </w:rPr>
      </w:pPr>
      <w:bookmarkStart w:id="34" w:name="_Toc351113432"/>
      <w:r>
        <w:rPr>
          <w:rStyle w:val="BookTitle"/>
        </w:rPr>
        <w:t>Other Molecular Testing</w:t>
      </w:r>
      <w:bookmarkEnd w:id="34"/>
    </w:p>
    <w:p>
      <w:pPr>
        <w:pStyle w:val="Normal"/>
        <w:shd w:val="clear" w:color="auto" w:fill="FFFFFF"/>
        <w:rPr>
          <w:lang w:val="en-IE" w:eastAsia="ar-SA"/>
        </w:rPr>
      </w:pPr>
      <w:r>
        <w:rPr>
          <w:lang w:val="en-IE" w:eastAsia="ar-SA"/>
        </w:rPr>
        <w:t xml:space="preserve">For other molecular tests please contact the </w:t>
      </w:r>
      <w:r>
        <w:rPr>
          <w:lang w:eastAsia="ar-SA"/>
        </w:rPr>
        <w:t xml:space="preserve">Department of Clinical Genetics at Our Lady’s Children’s Hospital, Crumlin </w:t>
      </w:r>
      <w:r>
        <w:rPr>
          <w:lang w:val="en-IE" w:eastAsia="ar-SA"/>
        </w:rPr>
        <w:t>[</w:t>
      </w:r>
      <w:r>
        <w:rPr/>
        <w:t>01-409 6739]</w:t>
      </w:r>
      <w:r>
        <w:rPr>
          <w:lang w:val="en-IE" w:eastAsia="ar-SA"/>
        </w:rPr>
        <w:t xml:space="preserve">. </w:t>
      </w:r>
    </w:p>
    <w:p>
      <w:pPr>
        <w:pStyle w:val="Heading3"/>
        <w:numPr>
          <w:ilvl w:val="2"/>
          <w:numId w:val="25"/>
        </w:numPr>
        <w:shd w:val="clear" w:color="auto" w:fill="FFFFFF"/>
        <w:rPr/>
      </w:pPr>
      <w:bookmarkStart w:id="35" w:name="_Toc214093845"/>
      <w:bookmarkStart w:id="36" w:name="_Toc192968354"/>
      <w:bookmarkEnd w:id="35"/>
      <w:r>
        <w:rPr/>
        <w:t>Urgent samples</w:t>
      </w:r>
      <w:bookmarkEnd w:id="36"/>
    </w:p>
    <w:p>
      <w:pPr>
        <w:pStyle w:val="Normal"/>
        <w:shd w:val="clear" w:color="auto" w:fill="FFFFFF"/>
        <w:spacing w:before="0" w:after="0"/>
        <w:rPr/>
      </w:pPr>
      <w:r>
        <w:rPr/>
      </w:r>
    </w:p>
    <w:tbl>
      <w:tblPr>
        <w:tblW w:w="9390" w:type="dxa"/>
        <w:jc w:val="start"/>
        <w:tblInd w:w="10" w:type="dxa"/>
        <w:tblLayout w:type="fixed"/>
        <w:tblCellMar>
          <w:top w:w="0" w:type="dxa"/>
          <w:start w:w="5" w:type="dxa"/>
          <w:bottom w:w="0" w:type="dxa"/>
          <w:end w:w="5" w:type="dxa"/>
        </w:tblCellMar>
        <w:tblLook w:val="04a0" w:noVBand="1" w:noHBand="0" w:lastColumn="0" w:firstColumn="1" w:lastRow="0" w:firstRow="1"/>
      </w:tblPr>
      <w:tblGrid>
        <w:gridCol w:w="2860"/>
        <w:gridCol w:w="6529"/>
      </w:tblGrid>
      <w:tr>
        <w:trPr/>
        <w:tc>
          <w:tcPr>
            <w:tcW w:w="286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rPr>
            </w:pPr>
            <w:r>
              <w:rPr>
                <w:b/>
              </w:rPr>
              <w:t>Specimen Type</w:t>
            </w:r>
          </w:p>
        </w:tc>
        <w:tc>
          <w:tcPr>
            <w:tcW w:w="652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rPr>
            </w:pPr>
            <w:r>
              <w:rPr>
                <w:b/>
              </w:rPr>
              <w:t>Prioritised For</w:t>
            </w:r>
          </w:p>
        </w:tc>
      </w:tr>
      <w:tr>
        <w:trPr/>
        <w:tc>
          <w:tcPr>
            <w:tcW w:w="286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Coagulation/ Flow Cytometry</w:t>
            </w:r>
          </w:p>
        </w:tc>
        <w:tc>
          <w:tcPr>
            <w:tcW w:w="652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 xml:space="preserve">Oncology, CKB, Day Oncology, High Dependency Unit (HDU), A/E, Resus, EMR AMU/ AMAU, </w:t>
            </w:r>
            <w:r>
              <w:rPr>
                <w:szCs w:val="28"/>
              </w:rPr>
              <w:t>ITU, RDW &amp; RTU &amp; Transplant patients, Stroke Unit</w:t>
            </w:r>
          </w:p>
        </w:tc>
      </w:tr>
      <w:tr>
        <w:trPr/>
        <w:tc>
          <w:tcPr>
            <w:tcW w:w="286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Chemical Pathology</w:t>
            </w:r>
          </w:p>
        </w:tc>
        <w:tc>
          <w:tcPr>
            <w:tcW w:w="652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 xml:space="preserve">Oncology, CKB, Day Oncology, High Dependency Unit (HDU), A/E, Resus, EMR AMU/ AMAU, </w:t>
            </w:r>
            <w:r>
              <w:rPr>
                <w:szCs w:val="28"/>
              </w:rPr>
              <w:t>ITU, RDW &amp; RTU, Transplant patients and Stroke Unit</w:t>
            </w:r>
          </w:p>
        </w:tc>
      </w:tr>
      <w:tr>
        <w:trPr/>
        <w:tc>
          <w:tcPr>
            <w:tcW w:w="286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Microbiology</w:t>
            </w:r>
          </w:p>
        </w:tc>
        <w:tc>
          <w:tcPr>
            <w:tcW w:w="652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highlight w:val="lightGray"/>
              </w:rPr>
              <w:t>A/E, EMR AMU/AMAU, ICN, ICS, RTU &amp; transplant patients, Oncology</w:t>
            </w:r>
          </w:p>
        </w:tc>
      </w:tr>
      <w:tr>
        <w:trPr/>
        <w:tc>
          <w:tcPr>
            <w:tcW w:w="286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Immunology</w:t>
            </w:r>
          </w:p>
        </w:tc>
        <w:tc>
          <w:tcPr>
            <w:tcW w:w="652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r>
    </w:tbl>
    <w:p>
      <w:pPr>
        <w:pStyle w:val="Normal"/>
        <w:shd w:val="clear" w:color="auto" w:fill="FFFFFF"/>
        <w:rPr/>
      </w:pPr>
      <w:r>
        <w:rPr/>
        <w:t xml:space="preserve">Otherwise, it is imperative that if a sample is urgent, the relevant laboratory must be informed by telephoning the laboratory with the urgent sample details or hand delivering the sample directly to the laboratory. </w:t>
      </w:r>
    </w:p>
    <w:p>
      <w:pPr>
        <w:pStyle w:val="Normal"/>
        <w:shd w:val="clear" w:color="auto" w:fill="FFFFFF"/>
        <w:rPr/>
      </w:pPr>
      <w:r>
        <w:rPr/>
        <w:t>Samples must be ordered as STAT on Powerchart in order for them to be prioritised and identified by the analysers as STAT.</w:t>
      </w:r>
    </w:p>
    <w:p>
      <w:pPr>
        <w:pStyle w:val="Heading3"/>
        <w:numPr>
          <w:ilvl w:val="2"/>
          <w:numId w:val="25"/>
        </w:numPr>
        <w:shd w:val="clear" w:color="auto" w:fill="FFFFFF"/>
        <w:rPr/>
      </w:pPr>
      <w:bookmarkStart w:id="37" w:name="_Toc192968355"/>
      <w:bookmarkStart w:id="38" w:name="_Toc360097447"/>
      <w:r>
        <w:rPr/>
        <w:t>Sample Collection &amp; Labelling Guidelines During Computer Downtime</w:t>
      </w:r>
      <w:bookmarkEnd w:id="37"/>
      <w:bookmarkEnd w:id="38"/>
    </w:p>
    <w:p>
      <w:pPr>
        <w:pStyle w:val="Normal"/>
        <w:rPr>
          <w:lang w:val="en-IE"/>
        </w:rPr>
      </w:pPr>
      <w:r>
        <w:rPr/>
        <w:t xml:space="preserve">In the event of computer downtime, </w:t>
      </w:r>
      <w:r>
        <w:rPr>
          <w:lang w:val="en-IE"/>
        </w:rPr>
        <w:t xml:space="preserve">electronic ordering is not available. A limited repertoire of critical tests will be available during downtime as specified below and as decided by the Laboratory Clinical Director and Beaumont Hospital Clinical Advisory Group. </w:t>
      </w:r>
      <w:r>
        <w:rPr>
          <w:highlight w:val="lightGray"/>
          <w:lang w:val="en-IE"/>
        </w:rPr>
        <w:t>These tests must be ordered on a paper- request form which can be obtained from the laboratory if required.</w:t>
      </w:r>
    </w:p>
    <w:p>
      <w:pPr>
        <w:pStyle w:val="Normal"/>
        <w:ind w:start="720" w:hanging="0"/>
        <w:rPr>
          <w:b/>
          <w:u w:val="single"/>
          <w:lang w:val="en-IE"/>
        </w:rPr>
      </w:pPr>
      <w:r>
        <w:rPr>
          <w:b/>
          <w:u w:val="single"/>
          <w:lang w:val="en-IE"/>
        </w:rPr>
        <w:t>Critical Tests available during Downtime</w:t>
      </w:r>
    </w:p>
    <w:p>
      <w:pPr>
        <w:pStyle w:val="Normal"/>
        <w:numPr>
          <w:ilvl w:val="0"/>
          <w:numId w:val="45"/>
        </w:numPr>
        <w:suppressAutoHyphens w:val="false"/>
        <w:spacing w:before="0" w:after="0"/>
        <w:jc w:val="start"/>
        <w:rPr>
          <w:lang w:val="en-IE"/>
        </w:rPr>
      </w:pPr>
      <w:r>
        <w:rPr>
          <w:lang w:val="en-IE"/>
        </w:rPr>
        <w:t>FBC</w:t>
      </w:r>
    </w:p>
    <w:p>
      <w:pPr>
        <w:pStyle w:val="Normal"/>
        <w:numPr>
          <w:ilvl w:val="0"/>
          <w:numId w:val="45"/>
        </w:numPr>
        <w:suppressAutoHyphens w:val="false"/>
        <w:spacing w:before="0" w:after="0"/>
        <w:jc w:val="start"/>
        <w:rPr>
          <w:lang w:val="en-IE"/>
        </w:rPr>
      </w:pPr>
      <w:r>
        <w:rPr>
          <w:lang w:val="en-IE"/>
        </w:rPr>
        <w:t>Coag</w:t>
      </w:r>
    </w:p>
    <w:p>
      <w:pPr>
        <w:pStyle w:val="Normal"/>
        <w:numPr>
          <w:ilvl w:val="0"/>
          <w:numId w:val="45"/>
        </w:numPr>
        <w:suppressAutoHyphens w:val="false"/>
        <w:spacing w:before="0" w:after="0"/>
        <w:jc w:val="start"/>
        <w:rPr>
          <w:lang w:val="en-IE"/>
        </w:rPr>
      </w:pPr>
      <w:r>
        <w:rPr>
          <w:lang w:val="en-IE"/>
        </w:rPr>
        <w:t>D-Dimer</w:t>
      </w:r>
    </w:p>
    <w:p>
      <w:pPr>
        <w:pStyle w:val="Normal"/>
        <w:numPr>
          <w:ilvl w:val="0"/>
          <w:numId w:val="45"/>
        </w:numPr>
        <w:suppressAutoHyphens w:val="false"/>
        <w:spacing w:before="0" w:after="0"/>
        <w:jc w:val="start"/>
        <w:rPr>
          <w:lang w:val="en-IE"/>
        </w:rPr>
      </w:pPr>
      <w:r>
        <w:rPr>
          <w:lang w:val="en-IE"/>
        </w:rPr>
        <w:t>INR</w:t>
      </w:r>
    </w:p>
    <w:p>
      <w:pPr>
        <w:pStyle w:val="Normal"/>
        <w:numPr>
          <w:ilvl w:val="0"/>
          <w:numId w:val="45"/>
        </w:numPr>
        <w:suppressAutoHyphens w:val="false"/>
        <w:spacing w:before="0" w:after="0"/>
        <w:jc w:val="start"/>
        <w:rPr>
          <w:lang w:val="en-IE"/>
        </w:rPr>
      </w:pPr>
      <w:r>
        <w:rPr>
          <w:lang w:val="en-IE"/>
        </w:rPr>
        <w:t>BNP</w:t>
      </w:r>
    </w:p>
    <w:p>
      <w:pPr>
        <w:pStyle w:val="Normal"/>
        <w:numPr>
          <w:ilvl w:val="0"/>
          <w:numId w:val="45"/>
        </w:numPr>
        <w:suppressAutoHyphens w:val="false"/>
        <w:spacing w:before="0" w:after="0"/>
        <w:jc w:val="start"/>
        <w:rPr>
          <w:lang w:val="en-IE"/>
        </w:rPr>
      </w:pPr>
      <w:r>
        <w:rPr>
          <w:lang w:val="en-IE"/>
        </w:rPr>
        <w:t>Troponin</w:t>
      </w:r>
    </w:p>
    <w:p>
      <w:pPr>
        <w:pStyle w:val="Normal"/>
        <w:numPr>
          <w:ilvl w:val="0"/>
          <w:numId w:val="45"/>
        </w:numPr>
        <w:suppressAutoHyphens w:val="false"/>
        <w:spacing w:before="0" w:after="0"/>
        <w:jc w:val="start"/>
        <w:rPr>
          <w:lang w:val="en-IE"/>
        </w:rPr>
      </w:pPr>
      <w:r>
        <w:rPr>
          <w:lang w:val="en-IE"/>
        </w:rPr>
        <w:t>CRP</w:t>
      </w:r>
    </w:p>
    <w:p>
      <w:pPr>
        <w:pStyle w:val="Normal"/>
        <w:numPr>
          <w:ilvl w:val="0"/>
          <w:numId w:val="45"/>
        </w:numPr>
        <w:suppressAutoHyphens w:val="false"/>
        <w:spacing w:before="0" w:after="0"/>
        <w:jc w:val="start"/>
        <w:rPr>
          <w:lang w:val="en-IE"/>
        </w:rPr>
      </w:pPr>
      <w:r>
        <w:rPr>
          <w:lang w:val="en-IE"/>
        </w:rPr>
        <w:t>Renal</w:t>
      </w:r>
    </w:p>
    <w:p>
      <w:pPr>
        <w:pStyle w:val="Normal"/>
        <w:numPr>
          <w:ilvl w:val="0"/>
          <w:numId w:val="45"/>
        </w:numPr>
        <w:suppressAutoHyphens w:val="false"/>
        <w:spacing w:before="0" w:after="0"/>
        <w:jc w:val="start"/>
        <w:rPr>
          <w:lang w:val="en-IE"/>
        </w:rPr>
      </w:pPr>
      <w:r>
        <w:rPr>
          <w:lang w:val="en-IE"/>
        </w:rPr>
        <w:t>Liver</w:t>
      </w:r>
    </w:p>
    <w:p>
      <w:pPr>
        <w:pStyle w:val="Normal"/>
        <w:numPr>
          <w:ilvl w:val="0"/>
          <w:numId w:val="45"/>
        </w:numPr>
        <w:suppressAutoHyphens w:val="false"/>
        <w:spacing w:before="0" w:after="0"/>
        <w:jc w:val="start"/>
        <w:rPr>
          <w:lang w:val="en-IE"/>
        </w:rPr>
      </w:pPr>
      <w:r>
        <w:rPr>
          <w:lang w:val="en-IE"/>
        </w:rPr>
        <w:t>Pregnancy test</w:t>
      </w:r>
    </w:p>
    <w:p>
      <w:pPr>
        <w:pStyle w:val="Normal"/>
        <w:numPr>
          <w:ilvl w:val="0"/>
          <w:numId w:val="45"/>
        </w:numPr>
        <w:suppressAutoHyphens w:val="false"/>
        <w:spacing w:before="0" w:after="0"/>
        <w:jc w:val="start"/>
        <w:rPr>
          <w:lang w:val="en-IE"/>
        </w:rPr>
      </w:pPr>
      <w:r>
        <w:rPr>
          <w:lang w:val="en-IE"/>
        </w:rPr>
        <w:t>Blood Cultures</w:t>
      </w:r>
    </w:p>
    <w:p>
      <w:pPr>
        <w:pStyle w:val="Normal"/>
        <w:numPr>
          <w:ilvl w:val="0"/>
          <w:numId w:val="45"/>
        </w:numPr>
        <w:suppressAutoHyphens w:val="false"/>
        <w:spacing w:before="0" w:after="0"/>
        <w:jc w:val="start"/>
        <w:rPr>
          <w:lang w:val="en-IE"/>
        </w:rPr>
      </w:pPr>
      <w:r>
        <w:rPr>
          <w:lang w:val="en-IE"/>
        </w:rPr>
        <w:t>CSF</w:t>
      </w:r>
    </w:p>
    <w:p>
      <w:pPr>
        <w:pStyle w:val="Normal"/>
        <w:numPr>
          <w:ilvl w:val="0"/>
          <w:numId w:val="45"/>
        </w:numPr>
        <w:suppressAutoHyphens w:val="false"/>
        <w:spacing w:before="0" w:after="0"/>
        <w:jc w:val="start"/>
        <w:rPr>
          <w:highlight w:val="lightGray"/>
          <w:lang w:val="en-IE"/>
        </w:rPr>
      </w:pPr>
      <w:r>
        <w:rPr>
          <w:highlight w:val="lightGray"/>
          <w:lang w:val="en-IE"/>
        </w:rPr>
        <w:t>Urine</w:t>
      </w:r>
    </w:p>
    <w:p>
      <w:pPr>
        <w:pStyle w:val="Normal"/>
        <w:numPr>
          <w:ilvl w:val="0"/>
          <w:numId w:val="45"/>
        </w:numPr>
        <w:suppressAutoHyphens w:val="false"/>
        <w:spacing w:before="0" w:after="0"/>
        <w:jc w:val="start"/>
        <w:rPr>
          <w:lang w:val="en-IE"/>
        </w:rPr>
      </w:pPr>
      <w:r>
        <w:rPr>
          <w:lang w:val="en-IE"/>
        </w:rPr>
        <w:t xml:space="preserve">COVID </w:t>
      </w:r>
    </w:p>
    <w:p>
      <w:pPr>
        <w:pStyle w:val="Normal"/>
        <w:numPr>
          <w:ilvl w:val="0"/>
          <w:numId w:val="45"/>
        </w:numPr>
        <w:suppressAutoHyphens w:val="false"/>
        <w:spacing w:before="0" w:after="0"/>
        <w:jc w:val="start"/>
        <w:rPr>
          <w:lang w:val="en-IE"/>
        </w:rPr>
      </w:pPr>
      <w:r>
        <w:rPr>
          <w:lang w:val="en-IE"/>
        </w:rPr>
        <w:t>Group and Screen</w:t>
      </w:r>
    </w:p>
    <w:p>
      <w:pPr>
        <w:pStyle w:val="Normal"/>
        <w:rPr>
          <w:lang w:val="en-IE"/>
        </w:rPr>
      </w:pPr>
      <w:r>
        <w:rPr>
          <w:lang w:val="en-IE"/>
        </w:rPr>
      </w:r>
    </w:p>
    <w:p>
      <w:pPr>
        <w:pStyle w:val="Normal"/>
        <w:rPr>
          <w:lang w:val="en-IE"/>
        </w:rPr>
      </w:pPr>
      <w:r>
        <w:rPr>
          <w:lang w:val="en-IE"/>
        </w:rPr>
        <w:t>The menu of tests offered may need to be adjusted in order to adapt to practicalities and the priorities imposed by the nature of the emergency</w:t>
      </w:r>
    </w:p>
    <w:p>
      <w:pPr>
        <w:pStyle w:val="Normal"/>
        <w:shd w:val="clear" w:color="auto" w:fill="FFFFFF"/>
        <w:rPr/>
      </w:pPr>
      <w:r>
        <w:rPr/>
        <w:t>Ordering of laboratory requests must be kept to clinically urgent requests highlighted above as the laboratories will have drastically reduced capacity and manual procedures. The downtime system is only designed to deal with clinically urgent samples only.</w:t>
      </w:r>
      <w:r>
        <w:br w:type="page"/>
      </w:r>
    </w:p>
    <w:p>
      <w:pPr>
        <w:pStyle w:val="Heading3"/>
        <w:numPr>
          <w:ilvl w:val="2"/>
          <w:numId w:val="25"/>
        </w:numPr>
        <w:rPr/>
      </w:pPr>
      <w:bookmarkStart w:id="39" w:name="_Toc192968356"/>
      <w:r>
        <w:rPr/>
        <w:t>Specimen Acceptance Criteria</w:t>
      </w:r>
      <w:bookmarkEnd w:id="39"/>
    </w:p>
    <w:p>
      <w:pPr>
        <w:pStyle w:val="Normal"/>
        <w:shd w:val="clear" w:color="auto" w:fill="FFFFFF"/>
        <w:rPr>
          <w:lang w:val="en-IE"/>
        </w:rPr>
      </w:pPr>
      <w:r>
        <w:rPr/>
        <w:t xml:space="preserve">The name on the request form and accompanying specimen(s) must match e.g. do not use Pat on one and Patrick or Patricia on other. Please ensure that writing is legible- BLOCK CAPITALS.  </w:t>
      </w:r>
      <w:r>
        <w:rPr>
          <w:lang w:val="en-IE"/>
        </w:rPr>
        <w:t>The requesting clinician is responsible for the correct labelling of specimens and request cards. Incorrectly or inadequately labelled specimens are not accepted by the laboratory and will be rejected.</w:t>
      </w:r>
    </w:p>
    <w:p>
      <w:pPr>
        <w:pStyle w:val="Normal"/>
        <w:shd w:val="clear" w:color="auto" w:fill="FFFFFF"/>
        <w:spacing w:before="0" w:after="0"/>
        <w:rPr>
          <w:lang w:val="en-IE"/>
        </w:rPr>
      </w:pPr>
      <w:r>
        <w:rPr>
          <w:lang w:val="en-IE"/>
        </w:rPr>
        <w:t>Specimens will be rejected in the following situations:</w:t>
      </w:r>
    </w:p>
    <w:p>
      <w:pPr>
        <w:pStyle w:val="Normal"/>
        <w:numPr>
          <w:ilvl w:val="0"/>
          <w:numId w:val="46"/>
        </w:numPr>
        <w:shd w:val="clear" w:color="auto" w:fill="FFFFFF"/>
        <w:spacing w:before="0" w:after="0"/>
        <w:rPr/>
      </w:pPr>
      <w:r>
        <w:rPr/>
        <w:t>Unlabelled / Incorrectly labelled specimens i.e. without two unique patient identifiers</w:t>
      </w:r>
    </w:p>
    <w:p>
      <w:pPr>
        <w:pStyle w:val="Normal"/>
        <w:numPr>
          <w:ilvl w:val="0"/>
          <w:numId w:val="46"/>
        </w:numPr>
        <w:shd w:val="clear" w:color="auto" w:fill="FFFFFF"/>
        <w:spacing w:before="0" w:after="0"/>
        <w:rPr/>
      </w:pPr>
      <w:r>
        <w:rPr/>
        <w:t>Leaking or improperly sealed containers.</w:t>
      </w:r>
    </w:p>
    <w:p>
      <w:pPr>
        <w:pStyle w:val="Normal"/>
        <w:numPr>
          <w:ilvl w:val="0"/>
          <w:numId w:val="46"/>
        </w:numPr>
        <w:shd w:val="clear" w:color="auto" w:fill="FFFFFF"/>
        <w:spacing w:before="0" w:after="0"/>
        <w:jc w:val="start"/>
        <w:rPr/>
      </w:pPr>
      <w:r>
        <w:rPr/>
        <w:t xml:space="preserve">Overfilled specimens </w:t>
        <w:br/>
        <w:t xml:space="preserve">ESR samples where blood is collected into the lid of the container. </w:t>
        <w:br/>
        <w:t xml:space="preserve">Coagulation containers where the blood is filled beyond the marking on the label. </w:t>
      </w:r>
    </w:p>
    <w:p>
      <w:pPr>
        <w:pStyle w:val="Normal"/>
        <w:numPr>
          <w:ilvl w:val="0"/>
          <w:numId w:val="46"/>
        </w:numPr>
        <w:shd w:val="clear" w:color="auto" w:fill="FFFFFF"/>
        <w:spacing w:before="0" w:after="0"/>
        <w:jc w:val="start"/>
        <w:rPr/>
      </w:pPr>
      <w:r>
        <w:rPr/>
        <w:t xml:space="preserve">Underfilled specimens: </w:t>
        <w:br/>
        <w:t xml:space="preserve">ESR samples must be 85mm full. 2.7 ml </w:t>
        <w:br/>
        <w:t xml:space="preserve">FBC and Retic samples must have a minimum of 1mL of blood. 1.8 ml samples should have at least 500µL for FBC Coagulation samples must be filled to the marking on the label. </w:t>
      </w:r>
    </w:p>
    <w:p>
      <w:pPr>
        <w:pStyle w:val="Normal"/>
        <w:numPr>
          <w:ilvl w:val="0"/>
          <w:numId w:val="46"/>
        </w:numPr>
        <w:shd w:val="clear" w:color="auto" w:fill="FFFFFF"/>
        <w:spacing w:before="0" w:after="0"/>
        <w:rPr/>
      </w:pPr>
      <w:r>
        <w:rPr/>
        <w:t>Obvious inadequacy of specimen for the test(s) required e.g. only one coagulation specimen for a Thrombophilia screen</w:t>
      </w:r>
    </w:p>
    <w:p>
      <w:pPr>
        <w:pStyle w:val="Normal"/>
        <w:numPr>
          <w:ilvl w:val="0"/>
          <w:numId w:val="46"/>
        </w:numPr>
        <w:shd w:val="clear" w:color="auto" w:fill="FFFFFF"/>
        <w:spacing w:before="0" w:after="0"/>
        <w:rPr/>
      </w:pPr>
      <w:r>
        <w:rPr/>
        <w:t>Clotted samples with the exception of a serum clotted sample when required.</w:t>
      </w:r>
    </w:p>
    <w:p>
      <w:pPr>
        <w:pStyle w:val="Normal"/>
        <w:numPr>
          <w:ilvl w:val="0"/>
          <w:numId w:val="46"/>
        </w:numPr>
        <w:shd w:val="clear" w:color="auto" w:fill="FFFFFF"/>
        <w:spacing w:before="0" w:after="0"/>
        <w:rPr/>
      </w:pPr>
      <w:r>
        <w:rPr/>
        <w:t>Incorrect anti-coagulant: Samples in the wrong container for the requested test.</w:t>
      </w:r>
    </w:p>
    <w:p>
      <w:pPr>
        <w:pStyle w:val="Normal"/>
        <w:numPr>
          <w:ilvl w:val="0"/>
          <w:numId w:val="46"/>
        </w:numPr>
        <w:shd w:val="clear" w:color="auto" w:fill="FFFFFF"/>
        <w:spacing w:before="0" w:after="0"/>
        <w:rPr/>
      </w:pPr>
      <w:r>
        <w:rPr/>
        <w:t>Samples transferred from incorrect anti-coagulants to correct anti-coagulant containers e.g. beads in sample</w:t>
      </w:r>
    </w:p>
    <w:p>
      <w:pPr>
        <w:pStyle w:val="Normal"/>
        <w:numPr>
          <w:ilvl w:val="0"/>
          <w:numId w:val="46"/>
        </w:numPr>
        <w:shd w:val="clear" w:color="auto" w:fill="FFFFFF"/>
        <w:spacing w:before="0" w:after="0"/>
        <w:rPr/>
      </w:pPr>
      <w:r>
        <w:rPr/>
        <w:t xml:space="preserve">Samples where the laboratory has been informed the specimen was collected from the incorrect patient </w:t>
      </w:r>
    </w:p>
    <w:p>
      <w:pPr>
        <w:pStyle w:val="Normal"/>
        <w:numPr>
          <w:ilvl w:val="1"/>
          <w:numId w:val="46"/>
        </w:numPr>
        <w:shd w:val="clear" w:color="auto" w:fill="FFFFFF"/>
        <w:tabs>
          <w:tab w:val="clear" w:pos="709"/>
          <w:tab w:val="left" w:pos="360" w:leader="none"/>
          <w:tab w:val="left" w:pos="3810" w:leader="none"/>
        </w:tabs>
        <w:spacing w:before="0" w:after="0"/>
        <w:ind w:start="360" w:hanging="360"/>
        <w:rPr>
          <w:szCs w:val="28"/>
        </w:rPr>
      </w:pPr>
      <w:r>
        <w:rPr>
          <w:szCs w:val="28"/>
        </w:rPr>
        <w:t>Haemolysed Coagulation specimens and ESR samples</w:t>
      </w:r>
    </w:p>
    <w:p>
      <w:pPr>
        <w:pStyle w:val="Normal"/>
        <w:numPr>
          <w:ilvl w:val="1"/>
          <w:numId w:val="46"/>
        </w:numPr>
        <w:shd w:val="clear" w:color="auto" w:fill="FFFFFF"/>
        <w:tabs>
          <w:tab w:val="clear" w:pos="709"/>
          <w:tab w:val="left" w:pos="360" w:leader="none"/>
          <w:tab w:val="left" w:pos="3810" w:leader="none"/>
        </w:tabs>
        <w:spacing w:before="0" w:after="0"/>
        <w:ind w:start="360" w:hanging="360"/>
        <w:rPr>
          <w:szCs w:val="28"/>
        </w:rPr>
      </w:pPr>
      <w:r>
        <w:rPr>
          <w:szCs w:val="28"/>
        </w:rPr>
        <w:t>Aspirate/ Fluid samples: All aspirate/fluid samples must be sent to Microbiology.</w:t>
      </w:r>
    </w:p>
    <w:p>
      <w:pPr>
        <w:pStyle w:val="Normal"/>
        <w:numPr>
          <w:ilvl w:val="1"/>
          <w:numId w:val="46"/>
        </w:numPr>
        <w:shd w:val="clear" w:color="auto" w:fill="FFFFFF"/>
        <w:tabs>
          <w:tab w:val="clear" w:pos="709"/>
          <w:tab w:val="left" w:pos="360" w:leader="none"/>
          <w:tab w:val="left" w:pos="3810" w:leader="none"/>
        </w:tabs>
        <w:spacing w:before="0" w:after="0"/>
        <w:ind w:start="360" w:hanging="360"/>
        <w:rPr>
          <w:szCs w:val="28"/>
        </w:rPr>
      </w:pPr>
      <w:r>
        <w:rPr>
          <w:szCs w:val="28"/>
        </w:rPr>
        <w:t xml:space="preserve">Any EDTA sample bottles other than the 2.6mL for FBC analysis. Other EDTA sample bottles with different dimensions are not compatible with the laboratory cap piercing analysers. </w:t>
      </w:r>
    </w:p>
    <w:p>
      <w:pPr>
        <w:pStyle w:val="Normal"/>
        <w:numPr>
          <w:ilvl w:val="1"/>
          <w:numId w:val="46"/>
        </w:numPr>
        <w:shd w:val="clear" w:color="auto" w:fill="FFFFFF"/>
        <w:tabs>
          <w:tab w:val="clear" w:pos="709"/>
          <w:tab w:val="left" w:pos="360" w:leader="none"/>
          <w:tab w:val="left" w:pos="3810" w:leader="none"/>
        </w:tabs>
        <w:spacing w:before="0" w:after="0"/>
        <w:ind w:start="360" w:hanging="360"/>
        <w:rPr>
          <w:szCs w:val="28"/>
        </w:rPr>
      </w:pPr>
      <w:r>
        <w:rPr>
          <w:szCs w:val="28"/>
        </w:rPr>
        <w:t xml:space="preserve">8.2 mL sodium citrate samples for Coag screens, INR’s these samples are not compatible with the Coagulation analysers. </w:t>
      </w:r>
    </w:p>
    <w:p>
      <w:pPr>
        <w:pStyle w:val="Normal"/>
        <w:numPr>
          <w:ilvl w:val="0"/>
          <w:numId w:val="46"/>
        </w:numPr>
        <w:shd w:val="clear" w:color="auto" w:fill="FFFFFF"/>
        <w:spacing w:before="0" w:after="0"/>
        <w:rPr/>
      </w:pPr>
      <w:r>
        <w:rPr/>
        <w:t xml:space="preserve">Unsanctioned requests e.g. ALL Non routine coagulation samples must be sanctioned by the Haematology Team. </w:t>
      </w:r>
    </w:p>
    <w:p>
      <w:pPr>
        <w:pStyle w:val="Normal"/>
        <w:numPr>
          <w:ilvl w:val="0"/>
          <w:numId w:val="46"/>
        </w:numPr>
        <w:shd w:val="clear" w:color="auto" w:fill="FFFFFF"/>
        <w:spacing w:before="0" w:after="0"/>
        <w:rPr/>
      </w:pPr>
      <w:r>
        <w:rPr/>
        <w:t>Factor V Leiden sample, if the screening test APCR is not also requested. Exceptions allow for family history.</w:t>
      </w:r>
    </w:p>
    <w:p>
      <w:pPr>
        <w:pStyle w:val="ListParagraph"/>
        <w:numPr>
          <w:ilvl w:val="0"/>
          <w:numId w:val="46"/>
        </w:numPr>
        <w:shd w:val="clear" w:color="auto" w:fill="FFFFFF"/>
        <w:spacing w:before="0" w:after="0"/>
        <w:rPr/>
      </w:pPr>
      <w:r>
        <w:rPr>
          <w:lang w:val="en-IE"/>
        </w:rPr>
        <w:t xml:space="preserve">All inherited thrombophilia/ Lupus requests if the patient is on anticoagulation.  </w:t>
      </w:r>
    </w:p>
    <w:p>
      <w:pPr>
        <w:pStyle w:val="Normal"/>
        <w:numPr>
          <w:ilvl w:val="0"/>
          <w:numId w:val="46"/>
        </w:numPr>
        <w:shd w:val="clear" w:color="auto" w:fill="FFFFFF"/>
        <w:spacing w:before="0" w:after="0"/>
        <w:rPr/>
      </w:pPr>
      <w:r>
        <w:rPr/>
        <w:t>APCR request if the patient is on DOAC, proceed directly with FVL.</w:t>
      </w:r>
    </w:p>
    <w:p>
      <w:pPr>
        <w:pStyle w:val="Normal"/>
        <w:numPr>
          <w:ilvl w:val="0"/>
          <w:numId w:val="46"/>
        </w:numPr>
        <w:shd w:val="clear" w:color="auto" w:fill="FFFFFF"/>
        <w:spacing w:before="0" w:after="0"/>
        <w:rPr/>
      </w:pPr>
      <w:r>
        <w:rPr/>
        <w:t>Haematology Molecular testing cannot be performed unless patient consent has been obtained and HAEMG-LF-084 Request form has been completed in full.</w:t>
      </w:r>
    </w:p>
    <w:p>
      <w:pPr>
        <w:pStyle w:val="Normal"/>
        <w:numPr>
          <w:ilvl w:val="0"/>
          <w:numId w:val="46"/>
        </w:numPr>
        <w:shd w:val="clear" w:color="auto" w:fill="FFFFFF"/>
        <w:spacing w:before="0" w:after="0"/>
        <w:rPr/>
      </w:pPr>
      <w:r>
        <w:rPr/>
        <w:t>One specimen submitted for CD4 and G6PD. In the event whereby 1 EDTA sample is received fro CD4 and G6PD analysis, the G6PD will be given priority and the CD4 reequest rejected.</w:t>
      </w:r>
    </w:p>
    <w:p>
      <w:pPr>
        <w:pStyle w:val="Normal"/>
        <w:tabs>
          <w:tab w:val="clear" w:pos="709"/>
          <w:tab w:val="left" w:pos="3810" w:leader="none"/>
        </w:tabs>
        <w:ind w:start="360" w:hanging="0"/>
        <w:jc w:val="start"/>
        <w:rPr/>
      </w:pPr>
      <w:r>
        <w:rPr>
          <w:b/>
          <w:u w:val="single"/>
        </w:rPr>
        <w:t xml:space="preserve">Aged Samples: </w:t>
        <w:br/>
      </w:r>
      <w:r>
        <w:rPr>
          <w:szCs w:val="28"/>
          <w:u w:val="single"/>
        </w:rPr>
        <w:t>Coagulation samples</w:t>
      </w:r>
      <w:r>
        <w:rPr>
          <w:szCs w:val="28"/>
        </w:rPr>
        <w:t xml:space="preserve"> must be &lt;4 hours old, with the exception of </w:t>
      </w:r>
      <w:r>
        <w:rPr>
          <w:szCs w:val="28"/>
          <w:u w:val="single"/>
        </w:rPr>
        <w:t>INRsample which can</w:t>
      </w:r>
      <w:r>
        <w:rPr>
          <w:szCs w:val="28"/>
        </w:rPr>
        <w:t>be processed &lt;24hours old.</w:t>
      </w:r>
      <w:r>
        <w:rPr>
          <w:b/>
          <w:u w:val="single"/>
        </w:rPr>
        <w:br/>
      </w:r>
      <w:r>
        <w:rPr>
          <w:szCs w:val="28"/>
          <w:u w:val="single"/>
        </w:rPr>
        <w:t>D-Dimer/</w:t>
      </w:r>
      <w:r>
        <w:rPr>
          <w:szCs w:val="28"/>
        </w:rPr>
        <w:t>: Request for D-Dimer/ add-on, must be &lt;8 hours old post sample collection</w:t>
      </w:r>
      <w:r>
        <w:rPr>
          <w:b/>
          <w:u w:val="single"/>
        </w:rPr>
        <w:br/>
      </w:r>
      <w:r>
        <w:rPr>
          <w:szCs w:val="28"/>
          <w:u w:val="single"/>
        </w:rPr>
        <w:t xml:space="preserve">ESRs </w:t>
      </w:r>
      <w:r>
        <w:rPr>
          <w:szCs w:val="28"/>
        </w:rPr>
        <w:t>should be &lt; 6 hours old. Samples &gt;6 hours can lead to a false lowering of results.</w:t>
      </w:r>
      <w:r>
        <w:rPr>
          <w:b/>
          <w:u w:val="single"/>
        </w:rPr>
        <w:br/>
      </w:r>
      <w:r>
        <w:rPr>
          <w:szCs w:val="28"/>
          <w:u w:val="single"/>
        </w:rPr>
        <w:t>Reticulocyte</w:t>
      </w:r>
      <w:r>
        <w:rPr>
          <w:szCs w:val="28"/>
        </w:rPr>
        <w:t xml:space="preserve"> samples must be &lt; 24 hours old.</w:t>
      </w:r>
      <w:r>
        <w:rPr>
          <w:b/>
          <w:u w:val="single"/>
        </w:rPr>
        <w:br/>
        <w:t xml:space="preserve">Malaria </w:t>
      </w:r>
      <w:r>
        <w:rPr/>
        <w:t>Samples must be less than 2 hours old for analysis.  External patients must attend A/E or the Phlebotomy Outpatients if Malaria is suspected</w:t>
      </w:r>
      <w:r>
        <w:rPr>
          <w:b/>
          <w:u w:val="single"/>
        </w:rPr>
        <w:br/>
        <w:t>Flow Cytometry</w:t>
      </w:r>
      <w:r>
        <w:rPr/>
        <w:t xml:space="preserve"> CD4, </w:t>
      </w:r>
      <w:r>
        <w:rPr>
          <w:highlight w:val="lightGray"/>
        </w:rPr>
        <w:t>TBNK , LST 72</w:t>
      </w:r>
      <w:r>
        <w:rPr/>
        <w:t xml:space="preserve"> hours &amp; Lymphoproliferative Panels must be &lt;24 hours old. T-Cell Panels or Acute Panels must be &lt;24 hours in EDTA or &lt;48 hours in RPMI and Sodium Heparin. </w:t>
      </w:r>
      <w:r>
        <w:rPr>
          <w:szCs w:val="28"/>
        </w:rPr>
        <w:t>EDTA samples for PNH testing may be stored in the fridge for &lt;</w:t>
      </w:r>
      <w:r>
        <w:rPr>
          <w:szCs w:val="28"/>
          <w:highlight w:val="lightGray"/>
        </w:rPr>
        <w:t>72</w:t>
      </w:r>
      <w:r>
        <w:rPr>
          <w:szCs w:val="28"/>
        </w:rPr>
        <w:t xml:space="preserve"> hours. Fine Needle Aspirate samples in RPMI and Sodium Heparin are stable for 24 hours in the fridge.</w:t>
      </w:r>
    </w:p>
    <w:p>
      <w:pPr>
        <w:pStyle w:val="Normal"/>
        <w:numPr>
          <w:ilvl w:val="0"/>
          <w:numId w:val="46"/>
        </w:numPr>
        <w:shd w:val="clear" w:color="auto" w:fill="FFFFFF"/>
        <w:spacing w:before="0" w:after="0"/>
        <w:jc w:val="start"/>
        <w:rPr/>
      </w:pPr>
      <w:r>
        <w:rPr>
          <w:szCs w:val="28"/>
          <w:u w:val="single"/>
        </w:rPr>
        <w:t>FBC:</w:t>
      </w:r>
      <w:r>
        <w:rPr>
          <w:szCs w:val="28"/>
        </w:rPr>
        <w:t xml:space="preserve"> EDTA samples must be &lt;24hours </w:t>
        <w:br/>
      </w:r>
      <w:r>
        <w:rPr>
          <w:szCs w:val="28"/>
          <w:u w:val="single"/>
        </w:rPr>
        <w:t>Blood film preparation:</w:t>
      </w:r>
      <w:r>
        <w:rPr>
          <w:szCs w:val="28"/>
        </w:rPr>
        <w:t xml:space="preserve"> samples must be &lt;8 hours old</w:t>
      </w:r>
    </w:p>
    <w:p>
      <w:pPr>
        <w:pStyle w:val="Heading3"/>
        <w:numPr>
          <w:ilvl w:val="2"/>
          <w:numId w:val="25"/>
        </w:numPr>
        <w:shd w:val="clear" w:color="auto" w:fill="FFFFFF"/>
        <w:rPr/>
      </w:pPr>
      <w:bookmarkStart w:id="40" w:name="_Toc192968357"/>
      <w:bookmarkStart w:id="41" w:name="_Toc214093848"/>
      <w:r>
        <w:rPr/>
        <w:t>Specimen Tubes &amp; Containers</w:t>
      </w:r>
      <w:bookmarkEnd w:id="40"/>
      <w:bookmarkEnd w:id="41"/>
    </w:p>
    <w:p>
      <w:pPr>
        <w:pStyle w:val="Normal"/>
        <w:shd w:val="clear" w:color="auto" w:fill="FFFFFF"/>
        <w:spacing w:before="0" w:after="0"/>
        <w:rPr/>
      </w:pPr>
      <w:r>
        <w:rPr/>
        <w:t>With the exception of swabs, pre-acidified 24hr urine collection bottles and saliva collection devices, specimen tubes and containers are available from Beaumont Hospital Stores Department. Contact number: 01 809 3030.  All orders must be accompanied by a requisition form. These are also available from the Stores Department.</w:t>
      </w:r>
    </w:p>
    <w:p>
      <w:pPr>
        <w:pStyle w:val="Normal"/>
        <w:shd w:val="clear" w:color="auto" w:fill="FFFFFF"/>
        <w:spacing w:before="0" w:after="0"/>
        <w:rPr/>
      </w:pPr>
      <w:r>
        <w:rPr>
          <w:bCs/>
        </w:rPr>
        <w:t>Sarstedt</w:t>
      </w:r>
      <w:r>
        <w:rPr/>
        <w:t xml:space="preserve"> brand tubes are used by Beaumont Hospital.  It is important to check expiry dates on all tubes. Tubes Must Be FILLED to ensure the appropriate concentration of any anticoagulant.  Only the blood transfusion department accept Paediatric tubes.  Paediatric EDTA from Raphaels is acceptable.. </w:t>
      </w:r>
    </w:p>
    <w:p>
      <w:pPr>
        <w:pStyle w:val="Normal"/>
        <w:shd w:val="clear" w:color="auto" w:fill="FFFFFF"/>
        <w:spacing w:before="0" w:after="0"/>
        <w:rPr/>
      </w:pPr>
      <w:r>
        <w:rPr/>
        <w:t>Westmed heparanised syringes are required for blood gas analyses. These are also available from stores.</w:t>
      </w:r>
    </w:p>
    <w:p>
      <w:pPr>
        <w:pStyle w:val="Normal"/>
        <w:shd w:val="clear" w:color="auto" w:fill="FFFFFF"/>
        <w:rPr/>
      </w:pPr>
      <w:r>
        <w:rPr>
          <w:b/>
        </w:rPr>
        <w:t>Never pour blood from one tube into another.  The preservative in the first tube will contaminate the second tube; this can greatly affect results</w:t>
      </w:r>
      <w:r>
        <w:rPr/>
        <w:t xml:space="preserve">. </w:t>
      </w:r>
    </w:p>
    <w:p>
      <w:pPr>
        <w:pStyle w:val="Normal"/>
        <w:shd w:val="clear" w:color="auto" w:fill="FFFFFF"/>
        <w:rPr>
          <w:rStyle w:val="BookTitle"/>
        </w:rPr>
      </w:pPr>
      <w:r>
        <w:rPr/>
      </w:r>
      <w:bookmarkStart w:id="42" w:name="_Toc214093849"/>
      <w:bookmarkStart w:id="43" w:name="_Toc214093849"/>
    </w:p>
    <w:p>
      <w:pPr>
        <w:pStyle w:val="Normal"/>
        <w:shd w:val="clear" w:color="auto" w:fill="FFFFFF"/>
        <w:rPr>
          <w:rStyle w:val="BookTitle"/>
        </w:rPr>
      </w:pPr>
      <w:bookmarkStart w:id="44" w:name="_Toc214093849"/>
      <w:r>
        <w:rPr>
          <w:rStyle w:val="BookTitle"/>
        </w:rPr>
        <w:t>Blood Samples</w:t>
      </w:r>
      <w:bookmarkEnd w:id="44"/>
    </w:p>
    <w:tbl>
      <w:tblPr>
        <w:tblW w:w="7966" w:type="dxa"/>
        <w:jc w:val="center"/>
        <w:tblInd w:w="0" w:type="dxa"/>
        <w:tblLayout w:type="fixed"/>
        <w:tblCellMar>
          <w:top w:w="0" w:type="dxa"/>
          <w:start w:w="5" w:type="dxa"/>
          <w:bottom w:w="0" w:type="dxa"/>
          <w:end w:w="5" w:type="dxa"/>
        </w:tblCellMar>
        <w:tblLook w:val="00a0" w:noVBand="0" w:noHBand="0" w:lastColumn="0" w:firstColumn="1" w:lastRow="0" w:firstRow="1"/>
      </w:tblPr>
      <w:tblGrid>
        <w:gridCol w:w="1904"/>
        <w:gridCol w:w="4334"/>
        <w:gridCol w:w="1728"/>
      </w:tblGrid>
      <w:tr>
        <w:trPr>
          <w:tblHeader w:val="true"/>
        </w:trPr>
        <w:tc>
          <w:tcPr>
            <w:tcW w:w="1904" w:type="dxa"/>
            <w:tcBorders>
              <w:top w:val="single" w:sz="4" w:space="0" w:color="000000"/>
              <w:start w:val="single" w:sz="4" w:space="0" w:color="000000"/>
              <w:bottom w:val="single" w:sz="4" w:space="0" w:color="000000"/>
              <w:end w:val="single" w:sz="4" w:space="0" w:color="000000"/>
            </w:tcBorders>
            <w:shd w:color="auto" w:fill="C0C0C0" w:val="clear"/>
          </w:tcPr>
          <w:p>
            <w:pPr>
              <w:pStyle w:val="Normal"/>
              <w:widowControl w:val="false"/>
              <w:shd w:val="clear" w:color="auto" w:fill="FFFFFF"/>
              <w:spacing w:before="0" w:after="0"/>
              <w:jc w:val="center"/>
              <w:rPr>
                <w:b/>
              </w:rPr>
            </w:pPr>
            <w:r>
              <w:rPr>
                <w:b/>
              </w:rPr>
              <w:t>Tube colour</w:t>
            </w:r>
          </w:p>
        </w:tc>
        <w:tc>
          <w:tcPr>
            <w:tcW w:w="4334" w:type="dxa"/>
            <w:tcBorders>
              <w:top w:val="single" w:sz="4" w:space="0" w:color="000000"/>
              <w:start w:val="single" w:sz="4" w:space="0" w:color="000000"/>
              <w:bottom w:val="single" w:sz="4" w:space="0" w:color="000000"/>
              <w:end w:val="single" w:sz="4" w:space="0" w:color="000000"/>
            </w:tcBorders>
            <w:shd w:color="auto" w:fill="C0C0C0" w:val="clear"/>
          </w:tcPr>
          <w:p>
            <w:pPr>
              <w:pStyle w:val="Normal"/>
              <w:widowControl w:val="false"/>
              <w:shd w:val="clear" w:color="auto" w:fill="FFFFFF"/>
              <w:spacing w:before="0" w:after="0"/>
              <w:jc w:val="center"/>
              <w:rPr>
                <w:b/>
              </w:rPr>
            </w:pPr>
            <w:r>
              <w:rPr>
                <w:b/>
              </w:rPr>
              <w:t>Anticoagulant</w:t>
            </w:r>
          </w:p>
        </w:tc>
        <w:tc>
          <w:tcPr>
            <w:tcW w:w="1728" w:type="dxa"/>
            <w:tcBorders>
              <w:top w:val="single" w:sz="4" w:space="0" w:color="000000"/>
              <w:start w:val="single" w:sz="4" w:space="0" w:color="000000"/>
              <w:bottom w:val="single" w:sz="4" w:space="0" w:color="000000"/>
              <w:end w:val="single" w:sz="4" w:space="0" w:color="000000"/>
            </w:tcBorders>
            <w:shd w:color="auto" w:fill="C0C0C0" w:val="clear"/>
          </w:tcPr>
          <w:p>
            <w:pPr>
              <w:pStyle w:val="Normal"/>
              <w:widowControl w:val="false"/>
              <w:shd w:val="clear" w:color="auto" w:fill="FFFFFF"/>
              <w:spacing w:before="0" w:after="0"/>
              <w:jc w:val="center"/>
              <w:rPr>
                <w:b/>
              </w:rPr>
            </w:pPr>
            <w:r>
              <w:rPr>
                <w:b/>
              </w:rPr>
              <w:t>Volume (ml)</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Orange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Lithium Heparin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 xml:space="preserve">4.9  </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Orange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Lithium Heparin For Troponin Only</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2.7</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Orange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bCs/>
                <w:color w:val="000000"/>
              </w:rPr>
              <w:t>Lithium Heparin in FOIL</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4.9</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White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bCs/>
                <w:color w:val="000000"/>
              </w:rPr>
              <w:t>White Serum ,in FOIL</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4.9</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Pink</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bCs/>
                <w:color w:val="000000"/>
              </w:rPr>
              <w:t>EDTA wrapped in FOIL</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Random Urine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bCs/>
                <w:color w:val="000000"/>
              </w:rPr>
              <w:t>Random urine wrapped in FOIL</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Faecal Sample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bCs/>
                <w:color w:val="000000"/>
              </w:rPr>
              <w:t>Faecal Sample, foil wrapped.</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Brown</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Plain, With Gel Separator</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4.9</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White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Plain, 4.9 mL volume</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4,9</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White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Plain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7.5</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White On Ice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 xml:space="preserve">Plain White </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7.5</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Orange On  Ice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Lithium Heparin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4.9</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Pink</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Potassium EDTA</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2.6</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Pink on ICE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Potassium EDTA on ICE</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2.6</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Yellow</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Sodium Fluoride</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2.7</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Pink- Large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Potassium edta</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7.5</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N/A</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plain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**Orange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Special Metal Free Tube &amp; Needle</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7.5</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N/A</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Plain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N/A</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Pre-Acidfied</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N/A</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CSF Plain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CSF – Brown</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Plain-Protect From Light</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At least 1ml</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Arterial syringe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Lithium heparin</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Purple</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Tri-sodium citrate 4NC</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szCs w:val="28"/>
              </w:rPr>
            </w:pPr>
            <w:r>
              <w:rPr>
                <w:szCs w:val="28"/>
              </w:rPr>
              <w:t>3.5 mL</w:t>
            </w:r>
          </w:p>
          <w:p>
            <w:pPr>
              <w:pStyle w:val="Normal"/>
              <w:widowControl w:val="false"/>
              <w:shd w:val="clear" w:color="auto" w:fill="FFFFFF"/>
              <w:tabs>
                <w:tab w:val="clear" w:pos="709"/>
                <w:tab w:val="left" w:pos="3810" w:leader="none"/>
              </w:tabs>
              <w:spacing w:before="0" w:after="0"/>
              <w:jc w:val="start"/>
              <w:rPr>
                <w:szCs w:val="28"/>
              </w:rPr>
            </w:pPr>
            <w:r>
              <w:rPr>
                <w:szCs w:val="28"/>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rPr>
                <w:b/>
                <w:color w:val="800080"/>
                <w:sz w:val="30"/>
                <w:szCs w:val="30"/>
                <w:u w:val="single"/>
              </w:rPr>
            </w:pPr>
            <w:r>
              <w:rPr>
                <w:szCs w:val="28"/>
              </w:rPr>
              <w:t>Pink</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b/>
                <w:color w:val="800080"/>
                <w:sz w:val="30"/>
                <w:szCs w:val="30"/>
                <w:u w:val="single"/>
                <w:lang w:val="pt-BR"/>
              </w:rPr>
            </w:pPr>
            <w:r>
              <w:rPr>
                <w:szCs w:val="28"/>
                <w:lang w:val="pt-BR"/>
              </w:rPr>
              <w:t>EDTA-KE (Tri-potassium Ethylenediaminetetra-acetic acid)</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szCs w:val="28"/>
              </w:rPr>
            </w:pPr>
            <w:r>
              <w:rPr>
                <w:szCs w:val="28"/>
              </w:rPr>
              <w:t xml:space="preserve">2.6 mL </w:t>
            </w:r>
          </w:p>
          <w:p>
            <w:pPr>
              <w:pStyle w:val="Normal"/>
              <w:widowControl w:val="false"/>
              <w:shd w:val="clear" w:color="auto" w:fill="FFFFFF"/>
              <w:tabs>
                <w:tab w:val="clear" w:pos="709"/>
                <w:tab w:val="left" w:pos="3810" w:leader="none"/>
              </w:tabs>
              <w:spacing w:before="0" w:after="0"/>
              <w:jc w:val="start"/>
              <w:rPr>
                <w:b/>
                <w:color w:val="800080"/>
                <w:sz w:val="30"/>
                <w:szCs w:val="30"/>
                <w:u w:val="single"/>
              </w:rPr>
            </w:pPr>
            <w:r>
              <w:rPr>
                <w:szCs w:val="28"/>
              </w:rPr>
              <w:t xml:space="preserve">1.8 mL- Paediatric </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Green</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Tri-sodium citrate 9NC</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szCs w:val="28"/>
              </w:rPr>
            </w:pPr>
            <w:r>
              <w:rPr>
                <w:szCs w:val="28"/>
              </w:rPr>
              <w:t xml:space="preserve">2.9 mL </w:t>
            </w:r>
          </w:p>
          <w:p>
            <w:pPr>
              <w:pStyle w:val="Normal"/>
              <w:widowControl w:val="false"/>
              <w:shd w:val="clear" w:color="auto" w:fill="FFFFFF"/>
              <w:tabs>
                <w:tab w:val="clear" w:pos="709"/>
                <w:tab w:val="left" w:pos="3810" w:leader="none"/>
              </w:tabs>
              <w:spacing w:before="0" w:after="0"/>
              <w:jc w:val="start"/>
              <w:rPr>
                <w:b/>
                <w:color w:val="800080"/>
                <w:sz w:val="30"/>
                <w:szCs w:val="30"/>
                <w:u w:val="single"/>
              </w:rPr>
            </w:pPr>
            <w:r>
              <w:rPr>
                <w:szCs w:val="28"/>
              </w:rPr>
              <w:t xml:space="preserve">1.8 mL- Paediatric </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Red</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0.82mg Magnesium/mL</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szCs w:val="28"/>
              </w:rPr>
            </w:pPr>
            <w:r>
              <w:rPr>
                <w:szCs w:val="28"/>
              </w:rPr>
              <w:t>2.7mL</w:t>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n/a</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Salivette</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szCs w:val="28"/>
              </w:rPr>
            </w:pPr>
            <w:r>
              <w:rPr>
                <w:szCs w:val="28"/>
              </w:rPr>
            </w:r>
          </w:p>
        </w:tc>
      </w:tr>
      <w:tr>
        <w:trPr/>
        <w:tc>
          <w:tcPr>
            <w:tcW w:w="190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t>Blue</w:t>
            </w:r>
            <w:r>
              <w:rPr>
                <w:szCs w:val="28"/>
              </w:rPr>
              <w:t xml:space="preserve"> tube with Blue cap</w:t>
            </w:r>
          </w:p>
        </w:tc>
        <w:tc>
          <w:tcPr>
            <w:tcW w:w="4334"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Potassium EDTA with Blood Bank label</w:t>
            </w:r>
          </w:p>
        </w:tc>
        <w:tc>
          <w:tcPr>
            <w:tcW w:w="172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tabs>
                <w:tab w:val="clear" w:pos="709"/>
                <w:tab w:val="left" w:pos="3810" w:leader="none"/>
              </w:tabs>
              <w:spacing w:before="0" w:after="0"/>
              <w:jc w:val="start"/>
              <w:rPr>
                <w:szCs w:val="28"/>
              </w:rPr>
            </w:pPr>
            <w:r>
              <w:rPr>
                <w:szCs w:val="28"/>
              </w:rPr>
              <w:t>4.9</w:t>
            </w:r>
          </w:p>
        </w:tc>
      </w:tr>
    </w:tbl>
    <w:p>
      <w:pPr>
        <w:pStyle w:val="Normal"/>
        <w:shd w:val="clear" w:color="auto" w:fill="FFFFFF"/>
        <w:rPr>
          <w:rStyle w:val="BookTitle"/>
        </w:rPr>
      </w:pPr>
      <w:r>
        <w:rPr/>
      </w:r>
      <w:r>
        <w:br w:type="page"/>
      </w:r>
    </w:p>
    <w:p>
      <w:pPr>
        <w:pStyle w:val="Normal"/>
        <w:shd w:val="clear" w:color="auto" w:fill="FFFFFF"/>
        <w:rPr>
          <w:rStyle w:val="BookTitle"/>
        </w:rPr>
      </w:pPr>
      <w:r>
        <w:rPr>
          <w:rStyle w:val="BookTitle"/>
        </w:rPr>
        <w:t>Urine Samples</w:t>
      </w:r>
    </w:p>
    <w:p>
      <w:pPr>
        <w:pStyle w:val="Normal"/>
        <w:shd w:val="clear" w:color="auto" w:fill="FFFFFF"/>
        <w:rPr/>
      </w:pPr>
      <w:r>
        <w:rPr/>
        <w:t xml:space="preserve">Both 24 hour urine collections and random spot urine samples are analysed in the laboratory.  </w:t>
      </w:r>
    </w:p>
    <w:p>
      <w:pPr>
        <w:pStyle w:val="Normal"/>
        <w:numPr>
          <w:ilvl w:val="0"/>
          <w:numId w:val="2"/>
        </w:numPr>
        <w:shd w:val="clear" w:color="auto" w:fill="FFFFFF"/>
        <w:tabs>
          <w:tab w:val="clear" w:pos="709"/>
          <w:tab w:val="left" w:pos="283" w:leader="none"/>
        </w:tabs>
        <w:rPr/>
      </w:pPr>
      <w:r>
        <w:rPr>
          <w:bCs/>
        </w:rPr>
        <w:t>Random spot urine samples</w:t>
      </w:r>
      <w:r>
        <w:rPr/>
        <w:t xml:space="preserve"> are collected into approved yellow screw-capped Sarstedt containers (CE Marked); these contain no preservative.  REF #75.9922.745  </w:t>
      </w:r>
    </w:p>
    <w:p>
      <w:pPr>
        <w:pStyle w:val="Normal"/>
        <w:numPr>
          <w:ilvl w:val="0"/>
          <w:numId w:val="2"/>
        </w:numPr>
        <w:shd w:val="clear" w:color="auto" w:fill="FFFFFF"/>
        <w:tabs>
          <w:tab w:val="clear" w:pos="709"/>
          <w:tab w:val="left" w:pos="283" w:leader="none"/>
        </w:tabs>
        <w:rPr/>
      </w:pPr>
      <w:r>
        <w:rPr/>
        <w:t xml:space="preserve">A </w:t>
      </w:r>
      <w:r>
        <w:rPr>
          <w:bCs/>
        </w:rPr>
        <w:t>24 hour urine collection</w:t>
      </w:r>
      <w:r>
        <w:rPr/>
        <w:t xml:space="preserve"> is either taken in a plain 3L container or an acidified 3L container, depending on the test required.  Pre-acidified containers with either 50% acid or concentrated acid are available from phlebotomy. If known in advance that the patient has an unusually large output, please request 2 containers for the test. Results are normally expressed per 24 hour period.  Where two tests are desired, each requiring a different container, two separate 24 hour collections must be obtained. If in doubt please contact the relevant laboratory prior to commencement of the test.</w:t>
      </w:r>
    </w:p>
    <w:p>
      <w:pPr>
        <w:pStyle w:val="Normal"/>
        <w:shd w:val="clear" w:color="auto" w:fill="FFFFFF"/>
        <w:rPr>
          <w:rStyle w:val="BookTitle"/>
        </w:rPr>
      </w:pPr>
      <w:r>
        <w:rPr>
          <w:rStyle w:val="BookTitle"/>
        </w:rPr>
        <w:t>Aptima GenProbe Collection Devices</w:t>
      </w:r>
    </w:p>
    <w:p>
      <w:pPr>
        <w:pStyle w:val="Normal"/>
        <w:shd w:val="clear" w:color="auto" w:fill="FFFFFF"/>
        <w:spacing w:before="0" w:after="0"/>
        <w:rPr/>
      </w:pPr>
      <w:r>
        <w:rPr>
          <w:bCs/>
        </w:rPr>
        <w:t xml:space="preserve">Aptima </w:t>
      </w:r>
      <w:r>
        <w:rPr/>
        <w:t xml:space="preserve">GenProbe </w:t>
      </w:r>
      <w:r>
        <w:rPr>
          <w:bCs/>
        </w:rPr>
        <w:t>Collection Devices (</w:t>
      </w:r>
      <w:r>
        <w:rPr/>
        <w:t>swabs and urine containers</w:t>
      </w:r>
      <w:r>
        <w:rPr>
          <w:bCs/>
        </w:rPr>
        <w:t>)</w:t>
      </w:r>
      <w:r>
        <w:rPr/>
        <w:t xml:space="preserve"> are</w:t>
      </w:r>
      <w:r>
        <w:rPr>
          <w:bCs/>
        </w:rPr>
        <w:t xml:space="preserve"> </w:t>
      </w:r>
      <w:r>
        <w:rPr/>
        <w:t xml:space="preserve">only available from the NVRL. Contact number: </w:t>
      </w:r>
      <w:r>
        <w:rPr>
          <w:bCs/>
        </w:rPr>
        <w:t>(</w:t>
      </w:r>
      <w:r>
        <w:rPr/>
        <w:t>01</w:t>
      </w:r>
      <w:r>
        <w:rPr>
          <w:bCs/>
        </w:rPr>
        <w:t>)</w:t>
      </w:r>
      <w:r>
        <w:rPr/>
        <w:t xml:space="preserve"> 7161354</w:t>
      </w:r>
    </w:p>
    <w:p>
      <w:pPr>
        <w:pStyle w:val="Normal"/>
        <w:shd w:val="clear" w:color="auto" w:fill="FFFFFF"/>
        <w:rPr>
          <w:rStyle w:val="BookTitle"/>
        </w:rPr>
      </w:pPr>
      <w:r>
        <w:rPr>
          <w:rStyle w:val="BookTitle"/>
        </w:rPr>
        <w:t>Saliva Samples</w:t>
      </w:r>
    </w:p>
    <w:p>
      <w:pPr>
        <w:pStyle w:val="Normal"/>
        <w:shd w:val="clear" w:color="auto" w:fill="FFFFFF"/>
        <w:spacing w:before="0" w:after="0"/>
        <w:rPr>
          <w:rFonts w:ascii="Times New Roman Bold" w:hAnsi="Times New Roman Bold"/>
          <w:b/>
          <w:bCs/>
          <w:smallCaps/>
          <w:spacing w:val="5"/>
          <w:u w:val="single"/>
        </w:rPr>
      </w:pPr>
      <w:r>
        <w:rPr/>
        <w:t>Saliva collection devices are available from Phlebotomy and Sample Reception.</w:t>
      </w:r>
    </w:p>
    <w:p>
      <w:pPr>
        <w:pStyle w:val="Heading3"/>
        <w:numPr>
          <w:ilvl w:val="2"/>
          <w:numId w:val="25"/>
        </w:numPr>
        <w:shd w:val="clear" w:color="auto" w:fill="FFFFFF"/>
        <w:rPr/>
      </w:pPr>
      <w:bookmarkStart w:id="45" w:name="_Toc192968358"/>
      <w:bookmarkStart w:id="46" w:name="_Toc256798685"/>
      <w:r>
        <w:rPr/>
        <w:t>Test Results</w:t>
      </w:r>
      <w:bookmarkEnd w:id="45"/>
      <w:bookmarkEnd w:id="46"/>
    </w:p>
    <w:p>
      <w:pPr>
        <w:pStyle w:val="Normal"/>
        <w:shd w:val="clear" w:color="auto" w:fill="FFFFFF"/>
        <w:rPr/>
      </w:pPr>
      <w:r>
        <w:rPr/>
        <w:t>If you have any queries in relation to a report, please contact the relevant laboratory area to discuss the result. Feedback from users about difficulty with reports helps us to improve the service. Contact details are available in Section 3.1.2 of this manual.</w:t>
      </w:r>
    </w:p>
    <w:p>
      <w:pPr>
        <w:pStyle w:val="Normal"/>
        <w:shd w:val="clear" w:color="auto" w:fill="FFFFFF"/>
        <w:spacing w:before="0" w:after="0"/>
        <w:rPr/>
      </w:pPr>
      <w:r>
        <w:rPr/>
        <w:t xml:space="preserve">All reports are available on Powerchart.  All Powerchart reports contain the appropriate reference ranges and are available to be viewed through the system as soon as they are authorised in the laboratory. </w:t>
      </w:r>
    </w:p>
    <w:p>
      <w:pPr>
        <w:pStyle w:val="Normal"/>
        <w:shd w:val="clear" w:color="auto" w:fill="FFFFFF"/>
        <w:spacing w:before="0" w:after="0"/>
        <w:rPr/>
      </w:pPr>
      <w:r>
        <w:rPr/>
        <w:t>Reports generated during I.T. downtime are paper reports that are transported to the requesting laboratory.</w:t>
      </w:r>
    </w:p>
    <w:p>
      <w:pPr>
        <w:pStyle w:val="Normal"/>
        <w:shd w:val="clear" w:color="auto" w:fill="FFFFFF"/>
        <w:spacing w:before="0" w:after="0"/>
        <w:rPr/>
      </w:pPr>
      <w:r>
        <w:rPr/>
      </w:r>
    </w:p>
    <w:p>
      <w:pPr>
        <w:pStyle w:val="Normal"/>
        <w:shd w:val="clear" w:color="auto" w:fill="FFFFFF"/>
        <w:spacing w:before="0" w:after="0"/>
        <w:rPr>
          <w:lang w:val="en-IE"/>
        </w:rPr>
      </w:pPr>
      <w:r>
        <w:rPr>
          <w:lang w:val="en-IE"/>
        </w:rPr>
        <w:t>PLEASE NOTE: It is the responsibility of the laboratory to ensure that tests are performed to the highest possible standard and reported in the time specified within this User Manual.  It is the responsibility of the requesting clinician to follow up on the test results.</w:t>
      </w:r>
    </w:p>
    <w:p>
      <w:pPr>
        <w:pStyle w:val="Normal"/>
        <w:shd w:val="clear" w:color="auto" w:fill="FFFFFF"/>
        <w:spacing w:before="0" w:after="0"/>
        <w:rPr/>
      </w:pPr>
      <w:r>
        <w:rPr/>
      </w:r>
    </w:p>
    <w:p>
      <w:pPr>
        <w:pStyle w:val="Normal"/>
        <w:shd w:val="clear" w:color="auto" w:fill="FFFFFF"/>
        <w:spacing w:before="0" w:after="0"/>
        <w:rPr/>
      </w:pPr>
      <w:r>
        <w:rPr/>
        <w:t xml:space="preserve">Despite our best efforts, it is possible that an error can occur. If you have concerns about a report please draw it to our attention without delay, and we will investigate immediately. </w:t>
      </w:r>
    </w:p>
    <w:p>
      <w:pPr>
        <w:pStyle w:val="Heading4"/>
        <w:numPr>
          <w:ilvl w:val="3"/>
          <w:numId w:val="25"/>
        </w:numPr>
        <w:rPr/>
      </w:pPr>
      <w:r>
        <w:rPr/>
        <w:t>Genetic Test Requests Referred by Haematology</w:t>
      </w:r>
    </w:p>
    <w:p>
      <w:pPr>
        <w:pStyle w:val="Normal"/>
        <w:shd w:val="clear" w:color="auto" w:fill="FFFFFF"/>
        <w:spacing w:before="0" w:after="0"/>
        <w:rPr/>
      </w:pPr>
      <w:r>
        <w:rPr>
          <w:lang w:val="en-IE"/>
        </w:rPr>
        <w:t xml:space="preserve">Haematology Cytogenetic reports are available on </w:t>
      </w:r>
      <w:r>
        <w:rPr/>
        <w:t xml:space="preserve">Powerchart.  </w:t>
      </w:r>
    </w:p>
    <w:p>
      <w:pPr>
        <w:pStyle w:val="Heading4"/>
        <w:numPr>
          <w:ilvl w:val="3"/>
          <w:numId w:val="25"/>
        </w:numPr>
        <w:shd w:val="clear" w:color="auto" w:fill="FFFFFF"/>
        <w:rPr/>
      </w:pPr>
      <w:r>
        <w:rPr/>
        <w:t>Critical Values</w:t>
      </w:r>
    </w:p>
    <w:p>
      <w:pPr>
        <w:pStyle w:val="Normal"/>
        <w:shd w:val="clear" w:color="auto" w:fill="FFFFFF"/>
        <w:rPr>
          <w:sz w:val="24"/>
          <w:szCs w:val="24"/>
          <w:highlight w:val="lightGray"/>
        </w:rPr>
      </w:pPr>
      <w:r>
        <w:rPr>
          <w:sz w:val="24"/>
          <w:szCs w:val="24"/>
          <w:highlight w:val="lightGray"/>
        </w:rPr>
        <w:t>Results falling outside defined alert limits and results critical to patient care will be communicated to appropriate personnel as soon as available. The below table outlines the laboratory process for communication of critical results:</w:t>
      </w:r>
    </w:p>
    <w:p>
      <w:pPr>
        <w:pStyle w:val="Normal"/>
        <w:shd w:val="clear" w:color="auto" w:fill="FFFFFF"/>
        <w:rPr>
          <w:sz w:val="24"/>
          <w:szCs w:val="24"/>
          <w:highlight w:val="lightGray"/>
        </w:rPr>
      </w:pPr>
      <w:r>
        <w:rPr>
          <w:sz w:val="24"/>
          <w:szCs w:val="24"/>
          <w:highlight w:val="lightGray"/>
        </w:rPr>
        <w:t xml:space="preserve"> </w:t>
      </w:r>
    </w:p>
    <w:tbl>
      <w:tblPr>
        <w:tblStyle w:val="TableGrid"/>
        <w:tblW w:w="9039" w:type="dxa"/>
        <w:jc w:val="start"/>
        <w:tblInd w:w="113" w:type="dxa"/>
        <w:tblLayout w:type="fixed"/>
        <w:tblCellMar>
          <w:top w:w="0" w:type="dxa"/>
          <w:start w:w="108" w:type="dxa"/>
          <w:bottom w:w="0" w:type="dxa"/>
          <w:end w:w="108" w:type="dxa"/>
        </w:tblCellMar>
        <w:tblLook w:val="04a0" w:noVBand="1" w:noHBand="0" w:lastColumn="0" w:firstColumn="1" w:lastRow="0" w:firstRow="1"/>
      </w:tblPr>
      <w:tblGrid>
        <w:gridCol w:w="4479"/>
        <w:gridCol w:w="4559"/>
      </w:tblGrid>
      <w:tr>
        <w:trPr/>
        <w:tc>
          <w:tcPr>
            <w:tcW w:w="9038" w:type="dxa"/>
            <w:gridSpan w:val="2"/>
            <w:tcBorders/>
            <w:shd w:color="auto" w:fill="DDD9C3" w:themeFill="background2" w:themeFillShade="e6"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Communication of Critical Results – All wards except A/E</w:t>
            </w:r>
          </w:p>
        </w:tc>
      </w:tr>
      <w:tr>
        <w:trPr/>
        <w:tc>
          <w:tcPr>
            <w:tcW w:w="4479" w:type="dxa"/>
            <w:tcBorders/>
            <w:shd w:color="auto" w:fill="auto" w:val="clear"/>
          </w:tcPr>
          <w:p>
            <w:pPr>
              <w:pStyle w:val="Normal"/>
              <w:widowControl w:val="false"/>
              <w:spacing w:lineRule="auto" w:line="360"/>
              <w:rPr>
                <w:b/>
                <w:sz w:val="24"/>
                <w:szCs w:val="24"/>
                <w:highlight w:val="lightGray"/>
              </w:rPr>
            </w:pPr>
            <w:r>
              <w:rPr>
                <w:rFonts w:eastAsia="Times New Roman" w:cs="Times New Roman" w:ascii="Times New Roman" w:hAnsi="Times New Roman"/>
                <w:b/>
                <w:kern w:val="0"/>
                <w:sz w:val="24"/>
                <w:szCs w:val="24"/>
                <w:highlight w:val="lightGray"/>
                <w:lang w:eastAsia="en-IE" w:bidi="ar-SA"/>
              </w:rPr>
              <w:t>Routine  Hours</w:t>
            </w:r>
          </w:p>
        </w:tc>
        <w:tc>
          <w:tcPr>
            <w:tcW w:w="4559" w:type="dxa"/>
            <w:tcBorders/>
            <w:shd w:color="auto" w:fill="auto"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Outside of Routine Hours</w:t>
            </w:r>
          </w:p>
        </w:tc>
      </w:tr>
      <w:tr>
        <w:trPr/>
        <w:tc>
          <w:tcPr>
            <w:tcW w:w="4479" w:type="dxa"/>
            <w:tcBorders/>
          </w:tcPr>
          <w:p>
            <w:pPr>
              <w:pStyle w:val="Normal"/>
              <w:widowControl w:val="false"/>
              <w:numPr>
                <w:ilvl w:val="0"/>
                <w:numId w:val="47"/>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Contact the referring / ordering clinician or an appropriate member of his / her team. </w:t>
            </w:r>
          </w:p>
          <w:p>
            <w:pPr>
              <w:pStyle w:val="ListParagraph"/>
              <w:widowControl/>
              <w:numPr>
                <w:ilvl w:val="0"/>
                <w:numId w:val="47"/>
              </w:numPr>
              <w:suppressAutoHyphens w:val="false"/>
              <w:overflowPunct w:val="true"/>
              <w:spacing w:lineRule="auto" w:line="276" w:before="0" w:after="12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the referring/ordering clinician or his/her team cannot be contacted, contact</w:t>
            </w:r>
          </w:p>
          <w:p>
            <w:pPr>
              <w:pStyle w:val="ListParagraph"/>
              <w:widowControl/>
              <w:numPr>
                <w:ilvl w:val="0"/>
                <w:numId w:val="48"/>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in-charge of the relevant area, or </w:t>
            </w:r>
          </w:p>
          <w:p>
            <w:pPr>
              <w:pStyle w:val="ListParagraph"/>
              <w:widowControl/>
              <w:numPr>
                <w:ilvl w:val="0"/>
                <w:numId w:val="48"/>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caring for the patient.  </w:t>
            </w:r>
          </w:p>
          <w:p>
            <w:pPr>
              <w:pStyle w:val="ListParagraph"/>
              <w:widowControl/>
              <w:numPr>
                <w:ilvl w:val="0"/>
                <w:numId w:val="47"/>
              </w:numPr>
              <w:suppressAutoHyphens w:val="false"/>
              <w:overflowPunct w:val="true"/>
              <w:spacing w:lineRule="auto" w:line="276" w:before="0" w:after="12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the nurse cannot be contacted, contact the Consultant in charge of the patient through switch</w:t>
            </w:r>
          </w:p>
        </w:tc>
        <w:tc>
          <w:tcPr>
            <w:tcW w:w="4559" w:type="dxa"/>
            <w:tcBorders/>
          </w:tcPr>
          <w:p>
            <w:pPr>
              <w:pStyle w:val="ListParagraph"/>
              <w:widowControl/>
              <w:numPr>
                <w:ilvl w:val="0"/>
                <w:numId w:val="49"/>
              </w:numPr>
              <w:suppressAutoHyphens w:val="false"/>
              <w:overflowPunct w:val="true"/>
              <w:spacing w:lineRule="auto" w:line="276" w:before="0" w:after="120"/>
              <w:contextualSpacing/>
              <w:rPr>
                <w:sz w:val="24"/>
                <w:szCs w:val="24"/>
                <w:highlight w:val="lightGray"/>
              </w:rPr>
            </w:pPr>
            <w:r>
              <w:rPr>
                <w:rFonts w:eastAsia="Times New Roman" w:cs="Times New Roman" w:ascii="Times New Roman" w:hAnsi="Times New Roman"/>
                <w:kern w:val="0"/>
                <w:sz w:val="24"/>
                <w:szCs w:val="24"/>
                <w:highlight w:val="lightGray"/>
                <w:lang w:bidi="ar-SA"/>
              </w:rPr>
              <w:t>Contact the</w:t>
            </w:r>
          </w:p>
          <w:p>
            <w:pPr>
              <w:pStyle w:val="ListParagraph"/>
              <w:widowControl/>
              <w:numPr>
                <w:ilvl w:val="0"/>
                <w:numId w:val="48"/>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in-charge of the relevant area, or </w:t>
            </w:r>
          </w:p>
          <w:p>
            <w:pPr>
              <w:pStyle w:val="ListParagraph"/>
              <w:widowControl/>
              <w:numPr>
                <w:ilvl w:val="0"/>
                <w:numId w:val="48"/>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caring for the patient.  </w:t>
            </w:r>
          </w:p>
          <w:p>
            <w:pPr>
              <w:pStyle w:val="ListParagraph"/>
              <w:widowControl/>
              <w:overflowPunct w:val="true"/>
              <w:rPr>
                <w:sz w:val="24"/>
                <w:szCs w:val="24"/>
                <w:highlight w:val="lightGray"/>
              </w:rPr>
            </w:pPr>
            <w:r>
              <w:rPr>
                <w:rFonts w:eastAsia="Times New Roman" w:cs="Times New Roman" w:ascii="Times New Roman" w:hAnsi="Times New Roman"/>
                <w:kern w:val="0"/>
                <w:sz w:val="24"/>
                <w:szCs w:val="24"/>
                <w:highlight w:val="lightGray"/>
                <w:lang w:bidi="ar-SA"/>
              </w:rPr>
            </w:r>
          </w:p>
          <w:p>
            <w:pPr>
              <w:pStyle w:val="ListParagraph"/>
              <w:widowControl w:val="false"/>
              <w:numPr>
                <w:ilvl w:val="0"/>
                <w:numId w:val="49"/>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the nurse cannot be contacted, contact the 2</w:t>
            </w:r>
            <w:r>
              <w:rPr>
                <w:rFonts w:eastAsia="Times New Roman" w:cs="Times New Roman" w:ascii="Times New Roman" w:hAnsi="Times New Roman"/>
                <w:kern w:val="0"/>
                <w:sz w:val="24"/>
                <w:szCs w:val="24"/>
                <w:highlight w:val="lightGray"/>
                <w:vertAlign w:val="superscript"/>
                <w:lang w:bidi="ar-SA"/>
              </w:rPr>
              <w:t>nd</w:t>
            </w:r>
            <w:r>
              <w:rPr>
                <w:rFonts w:eastAsia="Times New Roman" w:cs="Times New Roman" w:ascii="Times New Roman" w:hAnsi="Times New Roman"/>
                <w:kern w:val="0"/>
                <w:sz w:val="24"/>
                <w:szCs w:val="24"/>
                <w:highlight w:val="lightGray"/>
                <w:lang w:bidi="ar-SA"/>
              </w:rPr>
              <w:t xml:space="preserve"> medical SHO on call through switch on Dect 7402 or through switch.</w:t>
            </w:r>
          </w:p>
          <w:p>
            <w:pPr>
              <w:pStyle w:val="ListParagraph"/>
              <w:widowControl w:val="false"/>
              <w:numPr>
                <w:ilvl w:val="0"/>
                <w:numId w:val="49"/>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2</w:t>
            </w:r>
            <w:r>
              <w:rPr>
                <w:rFonts w:eastAsia="Times New Roman" w:cs="Times New Roman" w:ascii="Times New Roman" w:hAnsi="Times New Roman"/>
                <w:kern w:val="0"/>
                <w:sz w:val="24"/>
                <w:szCs w:val="24"/>
                <w:highlight w:val="lightGray"/>
                <w:vertAlign w:val="superscript"/>
                <w:lang w:bidi="ar-SA"/>
              </w:rPr>
              <w:t>nd</w:t>
            </w:r>
            <w:r>
              <w:rPr>
                <w:rFonts w:eastAsia="Times New Roman" w:cs="Times New Roman" w:ascii="Times New Roman" w:hAnsi="Times New Roman"/>
                <w:kern w:val="0"/>
                <w:sz w:val="24"/>
                <w:szCs w:val="24"/>
                <w:highlight w:val="lightGray"/>
                <w:lang w:bidi="ar-SA"/>
              </w:rPr>
              <w:t xml:space="preserve"> medical SHO cannot be contacted, contact the 1st medical SHO on Dect 7403 or through switch.</w:t>
            </w:r>
          </w:p>
          <w:p>
            <w:pPr>
              <w:pStyle w:val="ListParagraph"/>
              <w:widowControl w:val="false"/>
              <w:numPr>
                <w:ilvl w:val="0"/>
                <w:numId w:val="49"/>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1st medical SHO cannot be contacted, contact the 3rd medical SHO on call through switch.</w:t>
            </w:r>
          </w:p>
          <w:p>
            <w:pPr>
              <w:pStyle w:val="ListParagraph"/>
              <w:widowControl w:val="false"/>
              <w:numPr>
                <w:ilvl w:val="0"/>
                <w:numId w:val="49"/>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3rd medical SHO cannot be contacted,  contact the overnight nurse manager through switch</w:t>
            </w:r>
          </w:p>
        </w:tc>
      </w:tr>
      <w:tr>
        <w:trPr/>
        <w:tc>
          <w:tcPr>
            <w:tcW w:w="9038" w:type="dxa"/>
            <w:gridSpan w:val="2"/>
            <w:tcBorders/>
            <w:shd w:color="auto" w:fill="DDD9C3" w:themeFill="background2" w:themeFillShade="e6"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Communication of Critical Results – Emergency Department (ED)</w:t>
            </w:r>
          </w:p>
        </w:tc>
      </w:tr>
      <w:tr>
        <w:trPr/>
        <w:tc>
          <w:tcPr>
            <w:tcW w:w="9038" w:type="dxa"/>
            <w:gridSpan w:val="2"/>
            <w:tcBorders/>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At all times</w:t>
            </w:r>
          </w:p>
        </w:tc>
      </w:tr>
      <w:tr>
        <w:trPr/>
        <w:tc>
          <w:tcPr>
            <w:tcW w:w="9038" w:type="dxa"/>
            <w:gridSpan w:val="2"/>
            <w:tcBorders/>
          </w:tcPr>
          <w:p>
            <w:pPr>
              <w:pStyle w:val="Normal"/>
              <w:widowControl w:val="false"/>
              <w:numPr>
                <w:ilvl w:val="0"/>
                <w:numId w:val="50"/>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 xml:space="preserve">Contact the </w:t>
            </w:r>
          </w:p>
          <w:p>
            <w:pPr>
              <w:pStyle w:val="ListParagraph"/>
              <w:widowControl/>
              <w:numPr>
                <w:ilvl w:val="0"/>
                <w:numId w:val="51"/>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in-charge of ED or </w:t>
            </w:r>
          </w:p>
          <w:p>
            <w:pPr>
              <w:pStyle w:val="Normal"/>
              <w:widowControl/>
              <w:ind w:start="720" w:hanging="0"/>
              <w:rPr>
                <w:sz w:val="24"/>
                <w:szCs w:val="24"/>
                <w:highlight w:val="lightGray"/>
              </w:rPr>
            </w:pPr>
            <w:r>
              <w:rPr>
                <w:rFonts w:eastAsia="Times New Roman" w:cs="Times New Roman" w:ascii="Times New Roman" w:hAnsi="Times New Roman"/>
                <w:kern w:val="0"/>
                <w:sz w:val="24"/>
                <w:szCs w:val="24"/>
                <w:highlight w:val="lightGray"/>
                <w:lang w:eastAsia="en-IE" w:bidi="ar-SA"/>
              </w:rPr>
              <w:t xml:space="preserve">            </w:t>
            </w:r>
            <w:r>
              <w:rPr>
                <w:rFonts w:eastAsia="Times New Roman" w:cs="Times New Roman" w:ascii="Times New Roman" w:hAnsi="Times New Roman"/>
                <w:kern w:val="0"/>
                <w:sz w:val="24"/>
                <w:szCs w:val="24"/>
                <w:highlight w:val="lightGray"/>
                <w:lang w:eastAsia="en-IE" w:bidi="ar-SA"/>
              </w:rPr>
              <w:t xml:space="preserve">nurse caring for the patient.  </w:t>
            </w:r>
          </w:p>
          <w:p>
            <w:pPr>
              <w:pStyle w:val="Normal"/>
              <w:widowControl/>
              <w:ind w:start="720" w:hanging="0"/>
              <w:rPr>
                <w:sz w:val="24"/>
                <w:szCs w:val="24"/>
                <w:highlight w:val="lightGray"/>
                <w:lang w:val="en-US"/>
              </w:rPr>
            </w:pPr>
            <w:r>
              <w:rPr>
                <w:rFonts w:eastAsia="Times New Roman" w:cs="Times New Roman" w:ascii="Times New Roman" w:hAnsi="Times New Roman"/>
                <w:kern w:val="0"/>
                <w:sz w:val="24"/>
                <w:szCs w:val="24"/>
                <w:highlight w:val="lightGray"/>
                <w:lang w:val="en-US" w:eastAsia="en-IE" w:bidi="ar-SA"/>
              </w:rPr>
              <w:t xml:space="preserve">Nurses Station: 2838, 2721 or 2722 </w:t>
            </w:r>
          </w:p>
          <w:p>
            <w:pPr>
              <w:pStyle w:val="Normal"/>
              <w:widowControl/>
              <w:ind w:start="720" w:hanging="0"/>
              <w:rPr>
                <w:sz w:val="24"/>
                <w:szCs w:val="24"/>
                <w:highlight w:val="lightGray"/>
                <w:lang w:val="en-US"/>
              </w:rPr>
            </w:pPr>
            <w:r>
              <w:rPr>
                <w:rFonts w:eastAsia="Times New Roman" w:cs="Times New Roman" w:ascii="Times New Roman" w:hAnsi="Times New Roman"/>
                <w:kern w:val="0"/>
                <w:sz w:val="24"/>
                <w:szCs w:val="24"/>
                <w:highlight w:val="lightGray"/>
                <w:lang w:val="en-US" w:eastAsia="en-IE" w:bidi="ar-SA"/>
              </w:rPr>
              <w:t xml:space="preserve">Doctors Station: 3349, 2713 or 2717. </w:t>
            </w:r>
          </w:p>
          <w:p>
            <w:pPr>
              <w:pStyle w:val="Normal"/>
              <w:widowControl/>
              <w:ind w:start="720" w:hanging="0"/>
              <w:rPr>
                <w:sz w:val="24"/>
                <w:szCs w:val="24"/>
                <w:highlight w:val="lightGray"/>
                <w:lang w:val="en-US"/>
              </w:rPr>
            </w:pPr>
            <w:r>
              <w:rPr>
                <w:rFonts w:eastAsia="Times New Roman" w:cs="Times New Roman" w:ascii="Times New Roman" w:hAnsi="Times New Roman"/>
                <w:kern w:val="0"/>
                <w:sz w:val="24"/>
                <w:szCs w:val="24"/>
                <w:highlight w:val="lightGray"/>
                <w:lang w:val="en-US" w:eastAsia="en-IE" w:bidi="ar-SA"/>
              </w:rPr>
            </w:r>
          </w:p>
          <w:p>
            <w:pPr>
              <w:pStyle w:val="ListParagraph"/>
              <w:widowControl/>
              <w:numPr>
                <w:ilvl w:val="0"/>
                <w:numId w:val="50"/>
              </w:numPr>
              <w:suppressAutoHyphens w:val="false"/>
              <w:overflowPunct w:val="true"/>
              <w:spacing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the nurse cannot be contacted, contact the Consultant in charge of ED through switch</w:t>
            </w:r>
          </w:p>
        </w:tc>
      </w:tr>
      <w:tr>
        <w:trPr/>
        <w:tc>
          <w:tcPr>
            <w:tcW w:w="9038" w:type="dxa"/>
            <w:gridSpan w:val="2"/>
            <w:tcBorders/>
            <w:shd w:color="auto" w:fill="DDD9C3" w:themeFill="background2" w:themeFillShade="e6"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Communication of Critical Results - OPD</w:t>
            </w:r>
          </w:p>
        </w:tc>
      </w:tr>
      <w:tr>
        <w:trPr/>
        <w:tc>
          <w:tcPr>
            <w:tcW w:w="4479" w:type="dxa"/>
            <w:tcBorders/>
          </w:tcPr>
          <w:p>
            <w:pPr>
              <w:pStyle w:val="Normal"/>
              <w:widowControl w:val="false"/>
              <w:spacing w:lineRule="auto" w:line="360"/>
              <w:rPr>
                <w:b/>
                <w:sz w:val="24"/>
                <w:szCs w:val="24"/>
                <w:highlight w:val="lightGray"/>
              </w:rPr>
            </w:pPr>
            <w:r>
              <w:rPr>
                <w:rFonts w:eastAsia="Times New Roman" w:cs="Times New Roman" w:ascii="Times New Roman" w:hAnsi="Times New Roman"/>
                <w:b/>
                <w:kern w:val="0"/>
                <w:sz w:val="24"/>
                <w:szCs w:val="24"/>
                <w:highlight w:val="lightGray"/>
                <w:lang w:eastAsia="en-IE" w:bidi="ar-SA"/>
              </w:rPr>
              <w:t>Routine  Hours</w:t>
            </w:r>
          </w:p>
        </w:tc>
        <w:tc>
          <w:tcPr>
            <w:tcW w:w="4559" w:type="dxa"/>
            <w:tcBorders/>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Outside of Routine Hours</w:t>
            </w:r>
          </w:p>
        </w:tc>
      </w:tr>
      <w:tr>
        <w:trPr/>
        <w:tc>
          <w:tcPr>
            <w:tcW w:w="4479" w:type="dxa"/>
            <w:tcBorders/>
          </w:tcPr>
          <w:p>
            <w:pPr>
              <w:pStyle w:val="Normal"/>
              <w:widowControl w:val="false"/>
              <w:numPr>
                <w:ilvl w:val="0"/>
                <w:numId w:val="52"/>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Contact the referring / ordering clinician or an appropriate member of his / her team. </w:t>
            </w:r>
          </w:p>
          <w:p>
            <w:pPr>
              <w:pStyle w:val="Normal"/>
              <w:widowControl w:val="false"/>
              <w:numPr>
                <w:ilvl w:val="0"/>
                <w:numId w:val="52"/>
              </w:numPr>
              <w:spacing w:lineRule="auto" w:line="360" w:before="0" w:after="0"/>
              <w:jc w:val="start"/>
              <w:rPr>
                <w:sz w:val="24"/>
                <w:szCs w:val="24"/>
                <w:highlight w:val="lightGray"/>
              </w:rPr>
            </w:pPr>
            <w:r>
              <w:rPr>
                <w:rFonts w:eastAsia="Times New Roman" w:cs="Times New Roman" w:ascii="Times New Roman" w:hAnsi="Times New Roman"/>
                <w:iCs/>
                <w:kern w:val="0"/>
                <w:sz w:val="24"/>
                <w:szCs w:val="24"/>
                <w:highlight w:val="lightGray"/>
                <w:lang w:eastAsia="en-IE" w:bidi="ar-SA"/>
              </w:rPr>
              <w:t>In the event</w:t>
            </w:r>
            <w:r>
              <w:rPr>
                <w:rFonts w:eastAsia="Times New Roman" w:cs="Times New Roman" w:ascii="Times New Roman" w:hAnsi="Times New Roman"/>
                <w:kern w:val="0"/>
                <w:sz w:val="24"/>
                <w:szCs w:val="24"/>
                <w:highlight w:val="lightGray"/>
                <w:lang w:eastAsia="en-IE" w:bidi="ar-SA"/>
              </w:rPr>
              <w:t xml:space="preserve"> that the clinician cannot be contacted, contact the Consultant in charge of the patient through switch</w:t>
            </w:r>
          </w:p>
        </w:tc>
        <w:tc>
          <w:tcPr>
            <w:tcW w:w="4559" w:type="dxa"/>
            <w:tcBorders/>
          </w:tcPr>
          <w:p>
            <w:pPr>
              <w:pStyle w:val="Normal"/>
              <w:widowControl w:val="false"/>
              <w:numPr>
                <w:ilvl w:val="0"/>
                <w:numId w:val="53"/>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Contact the referring / ordering clinician or an appropriate member of his / her team. </w:t>
            </w:r>
          </w:p>
          <w:p>
            <w:pPr>
              <w:pStyle w:val="ListParagraph"/>
              <w:widowControl w:val="false"/>
              <w:numPr>
                <w:ilvl w:val="0"/>
                <w:numId w:val="53"/>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the referring/ordering clinician or his/her team, contact the 2</w:t>
            </w:r>
            <w:r>
              <w:rPr>
                <w:rFonts w:eastAsia="Times New Roman" w:cs="Times New Roman" w:ascii="Times New Roman" w:hAnsi="Times New Roman"/>
                <w:kern w:val="0"/>
                <w:sz w:val="24"/>
                <w:szCs w:val="24"/>
                <w:highlight w:val="lightGray"/>
                <w:vertAlign w:val="superscript"/>
                <w:lang w:bidi="ar-SA"/>
              </w:rPr>
              <w:t>nd</w:t>
            </w:r>
            <w:r>
              <w:rPr>
                <w:rFonts w:eastAsia="Times New Roman" w:cs="Times New Roman" w:ascii="Times New Roman" w:hAnsi="Times New Roman"/>
                <w:kern w:val="0"/>
                <w:sz w:val="24"/>
                <w:szCs w:val="24"/>
                <w:highlight w:val="lightGray"/>
                <w:lang w:bidi="ar-SA"/>
              </w:rPr>
              <w:t xml:space="preserve"> medical SHO on call on Dect 7402 or through switch.</w:t>
            </w:r>
          </w:p>
          <w:p>
            <w:pPr>
              <w:pStyle w:val="ListParagraph"/>
              <w:widowControl w:val="false"/>
              <w:numPr>
                <w:ilvl w:val="0"/>
                <w:numId w:val="53"/>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2</w:t>
            </w:r>
            <w:r>
              <w:rPr>
                <w:rFonts w:eastAsia="Times New Roman" w:cs="Times New Roman" w:ascii="Times New Roman" w:hAnsi="Times New Roman"/>
                <w:kern w:val="0"/>
                <w:sz w:val="24"/>
                <w:szCs w:val="24"/>
                <w:highlight w:val="lightGray"/>
                <w:vertAlign w:val="superscript"/>
                <w:lang w:bidi="ar-SA"/>
              </w:rPr>
              <w:t>nd</w:t>
            </w:r>
            <w:r>
              <w:rPr>
                <w:rFonts w:eastAsia="Times New Roman" w:cs="Times New Roman" w:ascii="Times New Roman" w:hAnsi="Times New Roman"/>
                <w:kern w:val="0"/>
                <w:sz w:val="24"/>
                <w:szCs w:val="24"/>
                <w:highlight w:val="lightGray"/>
                <w:lang w:bidi="ar-SA"/>
              </w:rPr>
              <w:t xml:space="preserve"> medical SHO cannot be contacted, contact the 1st medical SHO on Dect 7403 or through switch.</w:t>
            </w:r>
          </w:p>
          <w:p>
            <w:pPr>
              <w:pStyle w:val="ListParagraph"/>
              <w:widowControl w:val="false"/>
              <w:numPr>
                <w:ilvl w:val="0"/>
                <w:numId w:val="53"/>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1st medical SHO cannot be contacted, contact the 3rd medical SHO on call through switch.</w:t>
            </w:r>
          </w:p>
          <w:p>
            <w:pPr>
              <w:pStyle w:val="Normal"/>
              <w:widowControl w:val="false"/>
              <w:numPr>
                <w:ilvl w:val="0"/>
                <w:numId w:val="53"/>
              </w:numPr>
              <w:spacing w:lineRule="auto" w:line="360" w:before="0" w:after="0"/>
              <w:jc w:val="start"/>
              <w:rPr>
                <w:sz w:val="24"/>
                <w:szCs w:val="24"/>
                <w:highlight w:val="lightGray"/>
              </w:rPr>
            </w:pPr>
            <w:r>
              <w:rPr>
                <w:rFonts w:eastAsia="Times New Roman" w:cs="Times New Roman" w:ascii="Times New Roman" w:hAnsi="Times New Roman"/>
                <w:iCs/>
                <w:kern w:val="0"/>
                <w:sz w:val="24"/>
                <w:szCs w:val="24"/>
                <w:highlight w:val="lightGray"/>
                <w:lang w:eastAsia="en-IE" w:bidi="ar-SA"/>
              </w:rPr>
              <w:t>In the event</w:t>
            </w:r>
            <w:r>
              <w:rPr>
                <w:rFonts w:eastAsia="Times New Roman" w:cs="Times New Roman" w:ascii="Times New Roman" w:hAnsi="Times New Roman"/>
                <w:kern w:val="0"/>
                <w:sz w:val="24"/>
                <w:szCs w:val="24"/>
                <w:highlight w:val="lightGray"/>
                <w:lang w:eastAsia="en-IE" w:bidi="ar-SA"/>
              </w:rPr>
              <w:t xml:space="preserve"> that 3rd medical SHO cannot be contacted,  contact the overnight nurse manager through switch</w:t>
            </w:r>
          </w:p>
        </w:tc>
      </w:tr>
      <w:tr>
        <w:trPr/>
        <w:tc>
          <w:tcPr>
            <w:tcW w:w="9038" w:type="dxa"/>
            <w:gridSpan w:val="2"/>
            <w:tcBorders/>
            <w:shd w:color="auto" w:fill="DDD9C3" w:themeFill="background2" w:themeFillShade="e6"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Communication of Critical Results – Haematology/Oncology patients</w:t>
            </w:r>
          </w:p>
        </w:tc>
      </w:tr>
      <w:tr>
        <w:trPr/>
        <w:tc>
          <w:tcPr>
            <w:tcW w:w="4479" w:type="dxa"/>
            <w:tcBorders/>
          </w:tcPr>
          <w:p>
            <w:pPr>
              <w:pStyle w:val="Normal"/>
              <w:widowControl w:val="false"/>
              <w:spacing w:lineRule="auto" w:line="360"/>
              <w:rPr>
                <w:b/>
                <w:sz w:val="24"/>
                <w:szCs w:val="24"/>
                <w:highlight w:val="lightGray"/>
              </w:rPr>
            </w:pPr>
            <w:r>
              <w:rPr>
                <w:rFonts w:eastAsia="Times New Roman" w:cs="Times New Roman" w:ascii="Times New Roman" w:hAnsi="Times New Roman"/>
                <w:b/>
                <w:kern w:val="0"/>
                <w:sz w:val="24"/>
                <w:szCs w:val="24"/>
                <w:highlight w:val="lightGray"/>
                <w:lang w:eastAsia="en-IE" w:bidi="ar-SA"/>
              </w:rPr>
              <w:t>Routine  Hours</w:t>
            </w:r>
          </w:p>
        </w:tc>
        <w:tc>
          <w:tcPr>
            <w:tcW w:w="4559" w:type="dxa"/>
            <w:tcBorders/>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Outside of Routine Hours</w:t>
            </w:r>
          </w:p>
        </w:tc>
      </w:tr>
      <w:tr>
        <w:trPr/>
        <w:tc>
          <w:tcPr>
            <w:tcW w:w="4479" w:type="dxa"/>
            <w:tcBorders/>
          </w:tcPr>
          <w:p>
            <w:pPr>
              <w:pStyle w:val="Normal"/>
              <w:widowControl w:val="false"/>
              <w:numPr>
                <w:ilvl w:val="0"/>
                <w:numId w:val="54"/>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Contact the referring / ordering clinician or an appropriate member of his / her team. </w:t>
            </w:r>
          </w:p>
          <w:p>
            <w:pPr>
              <w:pStyle w:val="ListParagraph"/>
              <w:widowControl/>
              <w:numPr>
                <w:ilvl w:val="0"/>
                <w:numId w:val="54"/>
              </w:numPr>
              <w:suppressAutoHyphens w:val="false"/>
              <w:overflowPunct w:val="true"/>
              <w:spacing w:lineRule="auto" w:line="276" w:before="0" w:after="12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the referring/ordering clinician or his/her team cannot be contacted, contact</w:t>
            </w:r>
          </w:p>
          <w:p>
            <w:pPr>
              <w:pStyle w:val="ListParagraph"/>
              <w:widowControl/>
              <w:numPr>
                <w:ilvl w:val="0"/>
                <w:numId w:val="48"/>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in charge of the relevant area, or </w:t>
            </w:r>
          </w:p>
          <w:p>
            <w:pPr>
              <w:pStyle w:val="ListParagraph"/>
              <w:widowControl/>
              <w:numPr>
                <w:ilvl w:val="0"/>
                <w:numId w:val="48"/>
              </w:numPr>
              <w:suppressAutoHyphens w:val="false"/>
              <w:overflowPunct w:val="true"/>
              <w:spacing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 xml:space="preserve">nurse caring for the patient.  </w:t>
            </w:r>
          </w:p>
          <w:p>
            <w:pPr>
              <w:pStyle w:val="Normal"/>
              <w:widowControl w:val="false"/>
              <w:numPr>
                <w:ilvl w:val="0"/>
                <w:numId w:val="54"/>
              </w:numPr>
              <w:spacing w:lineRule="auto" w:line="360" w:before="0" w:after="0"/>
              <w:jc w:val="start"/>
              <w:rPr>
                <w:sz w:val="24"/>
                <w:szCs w:val="24"/>
                <w:highlight w:val="lightGray"/>
              </w:rPr>
            </w:pPr>
            <w:r>
              <w:rPr>
                <w:rFonts w:eastAsia="Times New Roman" w:cs="Times New Roman" w:ascii="Times New Roman" w:hAnsi="Times New Roman"/>
                <w:iCs/>
                <w:kern w:val="0"/>
                <w:sz w:val="24"/>
                <w:szCs w:val="24"/>
                <w:highlight w:val="lightGray"/>
                <w:lang w:eastAsia="en-IE" w:bidi="ar-SA"/>
              </w:rPr>
              <w:t>In the event</w:t>
            </w:r>
            <w:r>
              <w:rPr>
                <w:rFonts w:eastAsia="Times New Roman" w:cs="Times New Roman" w:ascii="Times New Roman" w:hAnsi="Times New Roman"/>
                <w:kern w:val="0"/>
                <w:sz w:val="24"/>
                <w:szCs w:val="24"/>
                <w:highlight w:val="lightGray"/>
                <w:lang w:eastAsia="en-IE" w:bidi="ar-SA"/>
              </w:rPr>
              <w:t xml:space="preserve"> that the nurse cannot be contacted, contact the Consultant in charge of the patient through switch</w:t>
            </w:r>
          </w:p>
        </w:tc>
        <w:tc>
          <w:tcPr>
            <w:tcW w:w="4559" w:type="dxa"/>
            <w:tcBorders/>
          </w:tcPr>
          <w:p>
            <w:pPr>
              <w:pStyle w:val="Normal"/>
              <w:widowControl w:val="false"/>
              <w:numPr>
                <w:ilvl w:val="0"/>
                <w:numId w:val="55"/>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If identified as under the care of Haematology/Oncology, contact the Haematology/Oncology SHO on call through switch</w:t>
            </w:r>
          </w:p>
          <w:p>
            <w:pPr>
              <w:pStyle w:val="Normal"/>
              <w:widowControl w:val="false"/>
              <w:numPr>
                <w:ilvl w:val="0"/>
                <w:numId w:val="55"/>
              </w:numPr>
              <w:spacing w:lineRule="auto" w:line="360" w:before="0" w:after="0"/>
              <w:jc w:val="start"/>
              <w:rPr>
                <w:sz w:val="24"/>
                <w:szCs w:val="24"/>
                <w:highlight w:val="lightGray"/>
              </w:rPr>
            </w:pPr>
            <w:r>
              <w:rPr>
                <w:rFonts w:eastAsia="Times New Roman" w:cs="Times New Roman" w:ascii="Times New Roman" w:hAnsi="Times New Roman"/>
                <w:iCs/>
                <w:kern w:val="0"/>
                <w:sz w:val="24"/>
                <w:szCs w:val="24"/>
                <w:highlight w:val="lightGray"/>
                <w:lang w:eastAsia="en-IE" w:bidi="ar-SA"/>
              </w:rPr>
              <w:t>In the event</w:t>
            </w:r>
            <w:r>
              <w:rPr>
                <w:rFonts w:eastAsia="Times New Roman" w:cs="Times New Roman" w:ascii="Times New Roman" w:hAnsi="Times New Roman"/>
                <w:kern w:val="0"/>
                <w:sz w:val="24"/>
                <w:szCs w:val="24"/>
                <w:highlight w:val="lightGray"/>
                <w:lang w:eastAsia="en-IE" w:bidi="ar-SA"/>
              </w:rPr>
              <w:t xml:space="preserve"> that the Haematology/Oncology SHO cannot be contacted, contact the Haematology/Oncology Registrar on call through switch</w:t>
            </w:r>
          </w:p>
          <w:p>
            <w:pPr>
              <w:pStyle w:val="Normal"/>
              <w:widowControl w:val="false"/>
              <w:numPr>
                <w:ilvl w:val="0"/>
                <w:numId w:val="55"/>
              </w:numPr>
              <w:spacing w:lineRule="auto" w:line="360" w:before="0" w:after="0"/>
              <w:jc w:val="start"/>
              <w:rPr>
                <w:sz w:val="24"/>
                <w:szCs w:val="24"/>
                <w:highlight w:val="lightGray"/>
              </w:rPr>
            </w:pPr>
            <w:r>
              <w:rPr>
                <w:rFonts w:eastAsia="Times New Roman" w:cs="Times New Roman" w:ascii="Times New Roman" w:hAnsi="Times New Roman"/>
                <w:iCs/>
                <w:kern w:val="0"/>
                <w:sz w:val="24"/>
                <w:szCs w:val="24"/>
                <w:highlight w:val="lightGray"/>
                <w:lang w:eastAsia="en-IE" w:bidi="ar-SA"/>
              </w:rPr>
              <w:t>In the event</w:t>
            </w:r>
            <w:r>
              <w:rPr>
                <w:rFonts w:eastAsia="Times New Roman" w:cs="Times New Roman" w:ascii="Times New Roman" w:hAnsi="Times New Roman"/>
                <w:kern w:val="0"/>
                <w:sz w:val="24"/>
                <w:szCs w:val="24"/>
                <w:highlight w:val="lightGray"/>
                <w:lang w:eastAsia="en-IE" w:bidi="ar-SA"/>
              </w:rPr>
              <w:t xml:space="preserve"> that the Haematology/Oncology Registrar cannot be contacted, contact the Haematology/Oncology Consultant on call through switch </w:t>
            </w:r>
          </w:p>
          <w:p>
            <w:pPr>
              <w:pStyle w:val="Normal"/>
              <w:widowControl/>
              <w:rPr>
                <w:sz w:val="24"/>
                <w:szCs w:val="24"/>
                <w:highlight w:val="lightGray"/>
              </w:rPr>
            </w:pPr>
            <w:r>
              <w:rPr>
                <w:rFonts w:eastAsia="Times New Roman" w:cs="Times New Roman" w:ascii="Times New Roman" w:hAnsi="Times New Roman"/>
                <w:kern w:val="0"/>
                <w:sz w:val="24"/>
                <w:szCs w:val="24"/>
                <w:highlight w:val="lightGray"/>
                <w:lang w:eastAsia="en-IE" w:bidi="ar-SA"/>
              </w:rPr>
            </w:r>
          </w:p>
        </w:tc>
      </w:tr>
      <w:tr>
        <w:trPr/>
        <w:tc>
          <w:tcPr>
            <w:tcW w:w="9038" w:type="dxa"/>
            <w:gridSpan w:val="2"/>
            <w:tcBorders/>
            <w:shd w:color="auto" w:fill="DDD9C3" w:themeFill="background2" w:themeFillShade="e6"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 xml:space="preserve">Communication of Critical Results – GP patients </w:t>
            </w:r>
          </w:p>
        </w:tc>
      </w:tr>
      <w:tr>
        <w:trPr/>
        <w:tc>
          <w:tcPr>
            <w:tcW w:w="9038" w:type="dxa"/>
            <w:gridSpan w:val="2"/>
            <w:tcBorders/>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At all times</w:t>
            </w:r>
          </w:p>
        </w:tc>
      </w:tr>
      <w:tr>
        <w:trPr/>
        <w:tc>
          <w:tcPr>
            <w:tcW w:w="9038" w:type="dxa"/>
            <w:gridSpan w:val="2"/>
            <w:tcBorders/>
          </w:tcPr>
          <w:p>
            <w:pPr>
              <w:pStyle w:val="Normal"/>
              <w:widowControl w:val="false"/>
              <w:numPr>
                <w:ilvl w:val="0"/>
                <w:numId w:val="56"/>
              </w:numPr>
              <w:spacing w:lineRule="auto" w:line="360" w:before="0" w:after="0"/>
              <w:jc w:val="start"/>
              <w:rPr>
                <w:sz w:val="24"/>
                <w:szCs w:val="24"/>
                <w:highlight w:val="lightGray"/>
              </w:rPr>
            </w:pPr>
            <w:r>
              <w:rPr>
                <w:rFonts w:eastAsia="Times New Roman" w:cs="Times New Roman" w:ascii="Times New Roman" w:hAnsi="Times New Roman"/>
                <w:kern w:val="0"/>
                <w:sz w:val="24"/>
                <w:szCs w:val="24"/>
                <w:highlight w:val="lightGray"/>
                <w:lang w:eastAsia="en-IE" w:bidi="ar-SA"/>
              </w:rPr>
              <w:t xml:space="preserve">Contact the referring GP </w:t>
            </w:r>
          </w:p>
          <w:p>
            <w:pPr>
              <w:pStyle w:val="ListParagraph"/>
              <w:widowControl w:val="false"/>
              <w:numPr>
                <w:ilvl w:val="0"/>
                <w:numId w:val="56"/>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kern w:val="0"/>
                <w:sz w:val="24"/>
                <w:szCs w:val="24"/>
                <w:highlight w:val="lightGray"/>
                <w:lang w:bidi="ar-SA"/>
              </w:rPr>
              <w:t>If the referring GP is uncontactable, contact the 2</w:t>
            </w:r>
            <w:r>
              <w:rPr>
                <w:rFonts w:eastAsia="Times New Roman" w:cs="Times New Roman" w:ascii="Times New Roman" w:hAnsi="Times New Roman"/>
                <w:kern w:val="0"/>
                <w:sz w:val="24"/>
                <w:szCs w:val="24"/>
                <w:highlight w:val="lightGray"/>
                <w:vertAlign w:val="superscript"/>
                <w:lang w:bidi="ar-SA"/>
              </w:rPr>
              <w:t>nd</w:t>
            </w:r>
            <w:r>
              <w:rPr>
                <w:rFonts w:eastAsia="Times New Roman" w:cs="Times New Roman" w:ascii="Times New Roman" w:hAnsi="Times New Roman"/>
                <w:kern w:val="0"/>
                <w:sz w:val="24"/>
                <w:szCs w:val="24"/>
                <w:highlight w:val="lightGray"/>
                <w:lang w:bidi="ar-SA"/>
              </w:rPr>
              <w:t xml:space="preserve"> medical SHO on call on Dect 7402 or through switch.</w:t>
            </w:r>
          </w:p>
          <w:p>
            <w:pPr>
              <w:pStyle w:val="ListParagraph"/>
              <w:widowControl w:val="false"/>
              <w:numPr>
                <w:ilvl w:val="0"/>
                <w:numId w:val="56"/>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2</w:t>
            </w:r>
            <w:r>
              <w:rPr>
                <w:rFonts w:eastAsia="Times New Roman" w:cs="Times New Roman" w:ascii="Times New Roman" w:hAnsi="Times New Roman"/>
                <w:kern w:val="0"/>
                <w:sz w:val="24"/>
                <w:szCs w:val="24"/>
                <w:highlight w:val="lightGray"/>
                <w:vertAlign w:val="superscript"/>
                <w:lang w:bidi="ar-SA"/>
              </w:rPr>
              <w:t>nd</w:t>
            </w:r>
            <w:r>
              <w:rPr>
                <w:rFonts w:eastAsia="Times New Roman" w:cs="Times New Roman" w:ascii="Times New Roman" w:hAnsi="Times New Roman"/>
                <w:kern w:val="0"/>
                <w:sz w:val="24"/>
                <w:szCs w:val="24"/>
                <w:highlight w:val="lightGray"/>
                <w:lang w:bidi="ar-SA"/>
              </w:rPr>
              <w:t xml:space="preserve"> medical SHO cannot be contacted, contact the 1st medical SHO on call on Dect 7403 or through switch.</w:t>
            </w:r>
          </w:p>
          <w:p>
            <w:pPr>
              <w:pStyle w:val="ListParagraph"/>
              <w:widowControl w:val="false"/>
              <w:numPr>
                <w:ilvl w:val="0"/>
                <w:numId w:val="56"/>
              </w:numPr>
              <w:suppressAutoHyphens w:val="false"/>
              <w:overflowPunct w:val="true"/>
              <w:spacing w:lineRule="auto" w:line="360" w:before="0" w:after="0"/>
              <w:contextualSpacing/>
              <w:rPr>
                <w:sz w:val="24"/>
                <w:szCs w:val="24"/>
                <w:highlight w:val="lightGray"/>
              </w:rPr>
            </w:pPr>
            <w:r>
              <w:rPr>
                <w:rFonts w:eastAsia="Times New Roman" w:cs="Times New Roman" w:ascii="Times New Roman" w:hAnsi="Times New Roman"/>
                <w:iCs/>
                <w:kern w:val="0"/>
                <w:sz w:val="24"/>
                <w:szCs w:val="24"/>
                <w:highlight w:val="lightGray"/>
                <w:lang w:bidi="ar-SA"/>
              </w:rPr>
              <w:t>In the event</w:t>
            </w:r>
            <w:r>
              <w:rPr>
                <w:rFonts w:eastAsia="Times New Roman" w:cs="Times New Roman" w:ascii="Times New Roman" w:hAnsi="Times New Roman"/>
                <w:kern w:val="0"/>
                <w:sz w:val="24"/>
                <w:szCs w:val="24"/>
                <w:highlight w:val="lightGray"/>
                <w:lang w:bidi="ar-SA"/>
              </w:rPr>
              <w:t xml:space="preserve"> that 1st medical SHO cannot be contacted, contact the 3rd medical SHO on call through switch.</w:t>
            </w:r>
          </w:p>
          <w:p>
            <w:pPr>
              <w:pStyle w:val="Normal"/>
              <w:widowControl w:val="false"/>
              <w:numPr>
                <w:ilvl w:val="0"/>
                <w:numId w:val="56"/>
              </w:numPr>
              <w:spacing w:lineRule="auto" w:line="360" w:before="0" w:after="0"/>
              <w:jc w:val="start"/>
              <w:rPr>
                <w:sz w:val="24"/>
                <w:szCs w:val="24"/>
                <w:highlight w:val="lightGray"/>
              </w:rPr>
            </w:pPr>
            <w:r>
              <w:rPr>
                <w:rFonts w:eastAsia="Times New Roman" w:cs="Times New Roman" w:ascii="Times New Roman" w:hAnsi="Times New Roman"/>
                <w:iCs/>
                <w:kern w:val="0"/>
                <w:sz w:val="24"/>
                <w:szCs w:val="24"/>
                <w:highlight w:val="lightGray"/>
                <w:lang w:eastAsia="en-IE" w:bidi="ar-SA"/>
              </w:rPr>
              <w:t>In the event</w:t>
            </w:r>
            <w:r>
              <w:rPr>
                <w:rFonts w:eastAsia="Times New Roman" w:cs="Times New Roman" w:ascii="Times New Roman" w:hAnsi="Times New Roman"/>
                <w:kern w:val="0"/>
                <w:sz w:val="24"/>
                <w:szCs w:val="24"/>
                <w:highlight w:val="lightGray"/>
                <w:lang w:eastAsia="en-IE" w:bidi="ar-SA"/>
              </w:rPr>
              <w:t xml:space="preserve"> that 3rd medical SHO cannot be contacted,  contact the overnight nurse manager through switch</w:t>
            </w:r>
          </w:p>
        </w:tc>
      </w:tr>
      <w:tr>
        <w:trPr/>
        <w:tc>
          <w:tcPr>
            <w:tcW w:w="9038" w:type="dxa"/>
            <w:gridSpan w:val="2"/>
            <w:tcBorders/>
            <w:shd w:color="auto" w:fill="C4BC96" w:themeFill="background2" w:themeFillShade="bf"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 xml:space="preserve">Communication of Critical Results – Referral Labs </w:t>
            </w:r>
          </w:p>
        </w:tc>
      </w:tr>
      <w:tr>
        <w:trPr/>
        <w:tc>
          <w:tcPr>
            <w:tcW w:w="9038" w:type="dxa"/>
            <w:gridSpan w:val="2"/>
            <w:tcBorders/>
            <w:shd w:color="auto" w:fill="auto" w:val="clear"/>
          </w:tcPr>
          <w:p>
            <w:pPr>
              <w:pStyle w:val="Normal"/>
              <w:widowControl/>
              <w:rPr>
                <w:b/>
                <w:sz w:val="24"/>
                <w:szCs w:val="24"/>
                <w:highlight w:val="lightGray"/>
              </w:rPr>
            </w:pPr>
            <w:r>
              <w:rPr>
                <w:rFonts w:eastAsia="Times New Roman" w:cs="Times New Roman" w:ascii="Times New Roman" w:hAnsi="Times New Roman"/>
                <w:b/>
                <w:kern w:val="0"/>
                <w:sz w:val="24"/>
                <w:szCs w:val="24"/>
                <w:highlight w:val="lightGray"/>
                <w:lang w:eastAsia="en-IE" w:bidi="ar-SA"/>
              </w:rPr>
              <w:t>At all times</w:t>
            </w:r>
          </w:p>
        </w:tc>
      </w:tr>
      <w:tr>
        <w:trPr/>
        <w:tc>
          <w:tcPr>
            <w:tcW w:w="9038" w:type="dxa"/>
            <w:gridSpan w:val="2"/>
            <w:tcBorders/>
            <w:shd w:color="auto" w:fill="auto" w:val="clear"/>
          </w:tcPr>
          <w:p>
            <w:pPr>
              <w:pStyle w:val="ListParagraph"/>
              <w:widowControl/>
              <w:numPr>
                <w:ilvl w:val="0"/>
                <w:numId w:val="57"/>
              </w:numPr>
              <w:suppressAutoHyphens w:val="false"/>
              <w:spacing w:before="0" w:after="0"/>
              <w:contextualSpacing/>
              <w:jc w:val="start"/>
              <w:rPr>
                <w:sz w:val="24"/>
                <w:szCs w:val="24"/>
                <w:highlight w:val="lightGray"/>
              </w:rPr>
            </w:pPr>
            <w:r>
              <w:rPr>
                <w:rFonts w:eastAsia="Times New Roman" w:cs="Times New Roman" w:ascii="Times New Roman" w:hAnsi="Times New Roman"/>
                <w:kern w:val="0"/>
                <w:sz w:val="24"/>
                <w:szCs w:val="24"/>
                <w:highlight w:val="lightGray"/>
                <w:lang w:bidi="ar-SA"/>
              </w:rPr>
              <w:t>Contact the referring laboratory</w:t>
            </w:r>
          </w:p>
          <w:p>
            <w:pPr>
              <w:pStyle w:val="ListParagraph"/>
              <w:widowControl/>
              <w:rPr>
                <w:sz w:val="24"/>
                <w:szCs w:val="24"/>
                <w:highlight w:val="lightGray"/>
              </w:rPr>
            </w:pPr>
            <w:r>
              <w:rPr>
                <w:rFonts w:eastAsia="Times New Roman" w:cs="Times New Roman" w:ascii="Times New Roman" w:hAnsi="Times New Roman"/>
                <w:kern w:val="0"/>
                <w:sz w:val="24"/>
                <w:szCs w:val="24"/>
                <w:highlight w:val="lightGray"/>
                <w:lang w:bidi="ar-SA"/>
              </w:rPr>
              <w:t>If contact details have been provided to the laboratory, they will be available on laboratory Qpulse in documents module under ‘Communication of…’ otherwise contact the referring laboratory through their switch.</w:t>
            </w:r>
          </w:p>
          <w:p>
            <w:pPr>
              <w:pStyle w:val="ListParagraph"/>
              <w:widowControl/>
              <w:rPr>
                <w:b/>
                <w:sz w:val="24"/>
                <w:szCs w:val="24"/>
              </w:rPr>
            </w:pPr>
            <w:r>
              <w:rPr>
                <w:rFonts w:eastAsia="Times New Roman" w:cs="Times New Roman" w:ascii="Times New Roman" w:hAnsi="Times New Roman"/>
                <w:kern w:val="0"/>
                <w:sz w:val="24"/>
                <w:szCs w:val="24"/>
                <w:highlight w:val="lightGray"/>
                <w:lang w:bidi="ar-SA"/>
              </w:rPr>
              <w:t>Consult departmental procedures for further details</w:t>
            </w:r>
          </w:p>
        </w:tc>
      </w:tr>
    </w:tbl>
    <w:p>
      <w:pPr>
        <w:pStyle w:val="Normal"/>
        <w:rPr>
          <w:sz w:val="2"/>
          <w:szCs w:val="2"/>
          <w:highlight w:val="lightGray"/>
          <w:lang w:val="en-US"/>
        </w:rPr>
      </w:pPr>
      <w:r>
        <w:rPr>
          <w:sz w:val="2"/>
          <w:szCs w:val="2"/>
          <w:highlight w:val="lightGray"/>
          <w:lang w:val="en-US"/>
        </w:rPr>
        <w:t xml:space="preserve">AAll </w:t>
      </w:r>
    </w:p>
    <w:p>
      <w:pPr>
        <w:pStyle w:val="Normal"/>
        <w:rPr>
          <w:color w:val="000000"/>
          <w:szCs w:val="24"/>
          <w:highlight w:val="lightGray"/>
        </w:rPr>
      </w:pPr>
      <w:r>
        <w:rPr>
          <w:szCs w:val="24"/>
          <w:highlight w:val="lightGray"/>
        </w:rPr>
        <w:t>Details of all telephoned results will be recorded and include name (forename, Surname and Grade) of the person taking the result ;the</w:t>
      </w:r>
      <w:r>
        <w:rPr>
          <w:color w:val="000000"/>
          <w:szCs w:val="24"/>
          <w:highlight w:val="lightGray"/>
        </w:rPr>
        <w:t xml:space="preserve"> patient’s name, date of birth, address (for outpatients/GP results) and one other form of identification e.g. hospital number and also contain the test, examination date and request date/time (where pertinent).</w:t>
      </w:r>
    </w:p>
    <w:p>
      <w:pPr>
        <w:pStyle w:val="Normal"/>
        <w:rPr>
          <w:lang w:val="en-US"/>
        </w:rPr>
      </w:pPr>
      <w:r>
        <w:rPr>
          <w:highlight w:val="lightGray"/>
          <w:lang w:val="en-US"/>
        </w:rPr>
        <w:t>Any difficulties encountered in notifying the patient’s clinical team of a critical result will be documented in the same manner as telephoned results departmentally, recorded as a non-conformance on Q-Pulse and notified to laboratory management.</w:t>
      </w:r>
      <w:r>
        <w:rPr>
          <w:lang w:val="en-US"/>
        </w:rPr>
        <w:t xml:space="preserve">  </w:t>
      </w:r>
    </w:p>
    <w:p>
      <w:pPr>
        <w:pStyle w:val="Heading3"/>
        <w:numPr>
          <w:ilvl w:val="2"/>
          <w:numId w:val="25"/>
        </w:numPr>
        <w:rPr/>
      </w:pPr>
      <w:bookmarkStart w:id="47" w:name="_Toc192968359"/>
      <w:bookmarkStart w:id="48" w:name="_Toc489374641"/>
      <w:r>
        <w:rPr/>
        <w:t>A/E Patient that has been Discharged</w:t>
      </w:r>
      <w:bookmarkEnd w:id="47"/>
      <w:bookmarkEnd w:id="48"/>
    </w:p>
    <w:p>
      <w:pPr>
        <w:pStyle w:val="Normal"/>
        <w:rPr>
          <w:lang w:val="en-US"/>
        </w:rPr>
      </w:pPr>
      <w:r>
        <w:rPr>
          <w:lang w:val="en-US"/>
        </w:rPr>
        <w:t xml:space="preserve">If the laboratory needs to contact </w:t>
      </w:r>
      <w:r>
        <w:rPr>
          <w:b/>
          <w:lang w:val="en-US"/>
        </w:rPr>
        <w:t>an A/E</w:t>
      </w:r>
      <w:r>
        <w:rPr>
          <w:lang w:val="en-US"/>
        </w:rPr>
        <w:t xml:space="preserve"> patient that has been discharged with anadd on result e.g.  a Blood morphology report, positive Lupus screen, whereby this result has a clinical impact on patient treatment and care, the Liaison Nurse on 2708 will be contacted. </w:t>
      </w:r>
    </w:p>
    <w:p>
      <w:pPr>
        <w:pStyle w:val="Normal"/>
        <w:shd w:val="clear" w:color="auto" w:fill="FFFFFF"/>
        <w:rPr/>
      </w:pPr>
      <w:r>
        <w:rPr/>
        <w:t>Chemical Pathology Samples that are received that were not drawn on the day of delivery to the department will have all labile tests reported as ‘on cells’.</w:t>
      </w:r>
    </w:p>
    <w:p>
      <w:pPr>
        <w:pStyle w:val="Heading3"/>
        <w:numPr>
          <w:ilvl w:val="2"/>
          <w:numId w:val="25"/>
        </w:numPr>
        <w:shd w:val="clear" w:color="auto" w:fill="FFFFFF"/>
        <w:rPr/>
      </w:pPr>
      <w:bookmarkStart w:id="49" w:name="_Toc192968360"/>
      <w:r>
        <w:rPr/>
        <w:t>Specimen Referral</w:t>
      </w:r>
      <w:bookmarkEnd w:id="49"/>
      <w:r>
        <w:rPr/>
        <w:t xml:space="preserve"> </w:t>
      </w:r>
    </w:p>
    <w:p>
      <w:pPr>
        <w:pStyle w:val="Normal"/>
        <w:shd w:val="clear" w:color="auto" w:fill="FFFFFF"/>
        <w:rPr/>
      </w:pPr>
      <w:r>
        <w:rPr/>
        <w:t>Tests not provided by Beaumont Hospital are referred to an appropriate referral Laboratory. The choice of laboratory is primarily based on quality grounds, with accredited laboratories being chosen preferentially. Other factors such as cost and turnaround times are also considered.  A list of referral laboratories in use is available from the Directorate on request.</w:t>
      </w:r>
    </w:p>
    <w:p>
      <w:pPr>
        <w:pStyle w:val="Heading3"/>
        <w:numPr>
          <w:ilvl w:val="2"/>
          <w:numId w:val="25"/>
        </w:numPr>
        <w:shd w:val="clear" w:color="auto" w:fill="FFFFFF"/>
        <w:rPr>
          <w:lang w:val="en-IE"/>
        </w:rPr>
      </w:pPr>
      <w:bookmarkStart w:id="50" w:name="_Toc192968361"/>
      <w:bookmarkStart w:id="51" w:name="_Ref303064141"/>
      <w:bookmarkStart w:id="52" w:name="_Ref303064131"/>
      <w:r>
        <w:rPr>
          <w:lang w:val="en-IE"/>
        </w:rPr>
        <w:t>Specimen Transportation Guidelines</w:t>
      </w:r>
      <w:bookmarkEnd w:id="50"/>
      <w:bookmarkEnd w:id="51"/>
      <w:bookmarkEnd w:id="52"/>
    </w:p>
    <w:p>
      <w:pPr>
        <w:pStyle w:val="Normal"/>
        <w:numPr>
          <w:ilvl w:val="0"/>
          <w:numId w:val="58"/>
        </w:numPr>
        <w:shd w:val="clear" w:color="auto" w:fill="FFFFFF"/>
        <w:spacing w:before="0" w:after="0"/>
        <w:rPr/>
      </w:pPr>
      <w:r>
        <w:rPr/>
        <w:t>Transport specimens to the laboratory as quickly as possible.</w:t>
      </w:r>
    </w:p>
    <w:p>
      <w:pPr>
        <w:pStyle w:val="Normal"/>
        <w:numPr>
          <w:ilvl w:val="0"/>
          <w:numId w:val="58"/>
        </w:numPr>
        <w:shd w:val="clear" w:color="auto" w:fill="FFFFFF"/>
        <w:spacing w:before="0" w:after="0"/>
        <w:rPr/>
      </w:pPr>
      <w:r>
        <w:rPr/>
        <w:t>Place all specimens in bio-hazard bags and transport to the laboratory in a way as to minimise damage or risk of leakage. Up to 10 specimens may be placed in the bag.</w:t>
      </w:r>
    </w:p>
    <w:p>
      <w:pPr>
        <w:pStyle w:val="Normal"/>
        <w:numPr>
          <w:ilvl w:val="0"/>
          <w:numId w:val="58"/>
        </w:numPr>
        <w:shd w:val="clear" w:color="auto" w:fill="FFFFFF"/>
        <w:spacing w:before="0" w:after="0"/>
        <w:rPr/>
      </w:pPr>
      <w:r>
        <w:rPr/>
        <w:t>Porter sample collections are Monday- Friday collections at 10.00, 12.00, and 15.00, Saturday and Sunday collections at 9.00, 11.00, and 13.00.</w:t>
      </w:r>
    </w:p>
    <w:p>
      <w:pPr>
        <w:pStyle w:val="Normal"/>
        <w:numPr>
          <w:ilvl w:val="0"/>
          <w:numId w:val="58"/>
        </w:numPr>
        <w:shd w:val="clear" w:color="auto" w:fill="FFFFFF"/>
        <w:spacing w:before="0" w:after="0"/>
        <w:rPr/>
      </w:pPr>
      <w:r>
        <w:rPr/>
        <w:t>Specimens where the external surface is contaminated with blood or other body fluids will not be accepted for analysis – another specimen must be collected.</w:t>
      </w:r>
    </w:p>
    <w:p>
      <w:pPr>
        <w:pStyle w:val="Normal"/>
        <w:numPr>
          <w:ilvl w:val="0"/>
          <w:numId w:val="58"/>
        </w:numPr>
        <w:shd w:val="clear" w:color="auto" w:fill="FFFFFF"/>
        <w:spacing w:before="0" w:after="0"/>
        <w:rPr/>
      </w:pPr>
      <w:r>
        <w:rPr/>
        <w:t>If a specimen arrives in a condition which places staff at risk, we regret that it cannot be processed. Where contact details are provided the requesting clinician will be informed, however we can take no responsibility for delays which occur due to the lack of contact details.</w:t>
      </w:r>
      <w:r>
        <w:rPr>
          <w:rFonts w:ascii="Comic Sans MS" w:hAnsi="Comic Sans MS"/>
          <w:sz w:val="24"/>
        </w:rPr>
        <w:t xml:space="preserve"> </w:t>
      </w:r>
    </w:p>
    <w:p>
      <w:pPr>
        <w:pStyle w:val="Normal"/>
        <w:numPr>
          <w:ilvl w:val="0"/>
          <w:numId w:val="58"/>
        </w:numPr>
        <w:shd w:val="clear" w:color="auto" w:fill="FFFFFF"/>
        <w:spacing w:before="0" w:after="0"/>
        <w:ind w:start="357" w:hanging="357"/>
        <w:rPr>
          <w:lang w:val="en-IE" w:eastAsia="ar-SA"/>
        </w:rPr>
      </w:pPr>
      <w:r>
        <w:rPr>
          <w:lang w:val="en-IE" w:eastAsia="ar-SA"/>
        </w:rPr>
        <w:t>Samples drawn by the Phlebotomy Department are collected by the laboratory portering service from all wards at specified times through the day and on Saturday and Sunday mornings.</w:t>
      </w:r>
    </w:p>
    <w:p>
      <w:pPr>
        <w:pStyle w:val="Normal"/>
        <w:numPr>
          <w:ilvl w:val="0"/>
          <w:numId w:val="58"/>
        </w:numPr>
        <w:shd w:val="clear" w:color="auto" w:fill="FFFFFF"/>
        <w:spacing w:before="0" w:after="0"/>
        <w:ind w:start="357" w:hanging="357"/>
        <w:rPr>
          <w:lang w:val="en-IE" w:eastAsia="ar-SA"/>
        </w:rPr>
      </w:pPr>
      <w:r>
        <w:rPr>
          <w:lang w:val="en-IE" w:eastAsia="ar-SA"/>
        </w:rPr>
        <w:t xml:space="preserve">Urgent samples or samples drawn outside the standard phlebotomy service must be sealed into a bio-hazard bag and may be delivered to the laboratory via the chute system unless specifically specified in </w:t>
      </w:r>
      <w:r>
        <w:rPr/>
        <w:t xml:space="preserve">Powerchart.  </w:t>
      </w:r>
    </w:p>
    <w:p>
      <w:pPr>
        <w:pStyle w:val="Normal"/>
        <w:numPr>
          <w:ilvl w:val="0"/>
          <w:numId w:val="58"/>
        </w:numPr>
        <w:shd w:val="clear" w:color="auto" w:fill="FFFFFF"/>
        <w:spacing w:before="0" w:after="0"/>
        <w:ind w:start="357" w:hanging="357"/>
        <w:rPr>
          <w:lang w:val="en-IE" w:eastAsia="ar-SA"/>
        </w:rPr>
      </w:pPr>
      <w:r>
        <w:rPr>
          <w:lang w:val="en-IE" w:eastAsia="ar-SA"/>
        </w:rPr>
        <w:t>Labile samples must be delivered directly to the laboratory with the time of sampling clearly on the label.</w:t>
      </w:r>
    </w:p>
    <w:p>
      <w:pPr>
        <w:pStyle w:val="Normal"/>
        <w:numPr>
          <w:ilvl w:val="0"/>
          <w:numId w:val="58"/>
        </w:numPr>
        <w:shd w:val="clear" w:color="auto" w:fill="FFFFFF"/>
        <w:spacing w:before="0" w:after="0"/>
        <w:ind w:start="357" w:hanging="357"/>
        <w:rPr>
          <w:lang w:val="en-IE" w:eastAsia="ar-SA"/>
        </w:rPr>
      </w:pPr>
      <w:r>
        <w:rPr>
          <w:lang w:val="en-IE" w:eastAsia="ar-SA"/>
        </w:rPr>
        <w:t>24 hour urine samples must be tightly sealed and in a plastic bag.</w:t>
      </w:r>
    </w:p>
    <w:p>
      <w:pPr>
        <w:pStyle w:val="Normal"/>
        <w:numPr>
          <w:ilvl w:val="0"/>
          <w:numId w:val="58"/>
        </w:numPr>
        <w:shd w:val="clear" w:color="auto" w:fill="FFFFFF"/>
        <w:spacing w:before="0" w:after="0"/>
        <w:ind w:start="357" w:hanging="357"/>
        <w:rPr>
          <w:lang w:val="en-IE" w:eastAsia="ar-SA"/>
        </w:rPr>
      </w:pPr>
      <w:r>
        <w:rPr>
          <w:lang w:val="en-IE" w:eastAsia="ar-SA"/>
        </w:rPr>
        <w:t>MSU samples must be sealed in a bio-hazard bag.</w:t>
      </w:r>
    </w:p>
    <w:p>
      <w:pPr>
        <w:pStyle w:val="Normal"/>
        <w:numPr>
          <w:ilvl w:val="0"/>
          <w:numId w:val="58"/>
        </w:numPr>
        <w:shd w:val="clear" w:color="auto" w:fill="FFFFFF"/>
        <w:spacing w:before="0" w:after="0"/>
        <w:ind w:start="357" w:hanging="357"/>
        <w:rPr>
          <w:lang w:val="en-IE" w:eastAsia="ar-SA"/>
        </w:rPr>
      </w:pPr>
      <w:r>
        <w:rPr>
          <w:lang w:val="en-IE" w:eastAsia="ar-SA"/>
        </w:rPr>
        <w:t>Urine samples must be delivered to the appropriate laboratory, as specified on the sample label, to ensure appropriate storage prior to analysis.</w:t>
      </w:r>
    </w:p>
    <w:p>
      <w:pPr>
        <w:pStyle w:val="Normal"/>
        <w:numPr>
          <w:ilvl w:val="0"/>
          <w:numId w:val="58"/>
        </w:numPr>
        <w:shd w:val="clear" w:color="auto" w:fill="FFFFFF"/>
        <w:spacing w:before="0" w:after="0"/>
        <w:ind w:start="357" w:hanging="357"/>
        <w:rPr>
          <w:lang w:val="en-IE" w:eastAsia="ar-SA"/>
        </w:rPr>
      </w:pPr>
      <w:r>
        <w:rPr>
          <w:lang w:val="en-IE" w:eastAsia="ar-SA"/>
        </w:rPr>
        <w:t>Blood gas samples (ABGs) to be processed by the laboratory must be hand delivered within 30mins of sample collection (15mins if ionised calcium is requested). Samples must arrive in a sealed biohazard bag with no needle attached to the syringe.</w:t>
      </w:r>
    </w:p>
    <w:p>
      <w:pPr>
        <w:pStyle w:val="Normal"/>
        <w:numPr>
          <w:ilvl w:val="0"/>
          <w:numId w:val="58"/>
        </w:numPr>
        <w:shd w:val="clear" w:color="auto" w:fill="FFFFFF"/>
        <w:spacing w:before="0" w:after="0"/>
        <w:ind w:start="357" w:hanging="357"/>
        <w:rPr>
          <w:lang w:val="en-IE" w:eastAsia="ar-SA"/>
        </w:rPr>
      </w:pPr>
      <w:r>
        <w:rPr>
          <w:lang w:eastAsia="ar-SA"/>
        </w:rPr>
        <w:t>Blood, CSFs and other critical specimens must be transported to the laboratory immediately. All specimens should be placed in bio-hazard bags and transported to the laboratory in such a way as to minimise damage or risk of breakage.</w:t>
      </w:r>
    </w:p>
    <w:p>
      <w:pPr>
        <w:pStyle w:val="Normal"/>
        <w:numPr>
          <w:ilvl w:val="0"/>
          <w:numId w:val="58"/>
        </w:numPr>
        <w:shd w:val="clear" w:color="auto" w:fill="FFFFFF"/>
        <w:spacing w:before="0" w:after="0"/>
        <w:ind w:start="357" w:hanging="357"/>
        <w:rPr>
          <w:lang w:val="en-IE" w:eastAsia="ar-SA"/>
        </w:rPr>
      </w:pPr>
      <w:r>
        <w:rPr>
          <w:lang w:eastAsia="ar-SA"/>
        </w:rPr>
        <w:t>Blood cultures must be incubated at 37˚C within 4 hours of collection. Specimens in plastic bottles should be sent by the pneumatic tube system; otherwise bottles should be transported to the laboratory by the portering service and placed in the automated blood culture monitoring system. This can be arranged by calling extension 2140.</w:t>
      </w:r>
    </w:p>
    <w:p>
      <w:pPr>
        <w:pStyle w:val="Normal"/>
        <w:numPr>
          <w:ilvl w:val="0"/>
          <w:numId w:val="58"/>
        </w:numPr>
        <w:shd w:val="clear" w:color="auto" w:fill="FFFFFF"/>
        <w:spacing w:before="0" w:after="0"/>
        <w:ind w:start="357" w:hanging="357"/>
        <w:rPr>
          <w:lang w:val="en-IE" w:eastAsia="ar-SA"/>
        </w:rPr>
      </w:pPr>
      <w:r>
        <w:rPr/>
        <w:t>Samples for auto antibody crossmatches for NHISSOT should reach the laboratory within 24 hours'.</w:t>
      </w:r>
    </w:p>
    <w:p>
      <w:pPr>
        <w:pStyle w:val="Normal"/>
        <w:shd w:val="clear" w:color="auto" w:fill="FFFFFF"/>
        <w:rPr/>
      </w:pPr>
      <w:r>
        <w:rPr>
          <w:b/>
        </w:rPr>
        <w:t xml:space="preserve">Please note: </w:t>
      </w:r>
      <w:r>
        <w:rPr/>
        <w:t xml:space="preserve">Glass specimen tubes are not acceptable due to Health and Safety regulations. </w:t>
      </w:r>
    </w:p>
    <w:p>
      <w:pPr>
        <w:pStyle w:val="Heading4"/>
        <w:numPr>
          <w:ilvl w:val="3"/>
          <w:numId w:val="25"/>
        </w:numPr>
        <w:shd w:val="clear" w:color="auto" w:fill="FFFFFF"/>
        <w:rPr/>
      </w:pPr>
      <w:r>
        <w:rPr/>
        <w:t>Exception to the above</w:t>
      </w:r>
    </w:p>
    <w:tbl>
      <w:tblPr>
        <w:tblW w:w="8662" w:type="dxa"/>
        <w:jc w:val="start"/>
        <w:tblInd w:w="10" w:type="dxa"/>
        <w:tblLayout w:type="fixed"/>
        <w:tblCellMar>
          <w:top w:w="0" w:type="dxa"/>
          <w:start w:w="5" w:type="dxa"/>
          <w:bottom w:w="0" w:type="dxa"/>
          <w:end w:w="5" w:type="dxa"/>
        </w:tblCellMar>
        <w:tblLook w:val="04a0" w:noVBand="1" w:noHBand="0" w:lastColumn="0" w:firstColumn="1" w:lastRow="0" w:firstRow="1"/>
      </w:tblPr>
      <w:tblGrid>
        <w:gridCol w:w="3113"/>
        <w:gridCol w:w="3129"/>
        <w:gridCol w:w="2420"/>
      </w:tblGrid>
      <w:tr>
        <w:trPr/>
        <w:tc>
          <w:tcPr>
            <w:tcW w:w="3113"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pPr>
            <w:r>
              <w:rPr/>
              <w:t>Test</w:t>
            </w:r>
          </w:p>
        </w:tc>
        <w:tc>
          <w:tcPr>
            <w:tcW w:w="3129"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pPr>
            <w:r>
              <w:rPr/>
              <w:t>Details</w:t>
            </w:r>
          </w:p>
        </w:tc>
        <w:tc>
          <w:tcPr>
            <w:tcW w:w="2420"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pPr>
            <w:r>
              <w:rPr/>
              <w:t>Department</w:t>
            </w:r>
          </w:p>
        </w:tc>
      </w:tr>
      <w:tr>
        <w:trPr/>
        <w:tc>
          <w:tcPr>
            <w:tcW w:w="3113"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b w:val="false"/>
              </w:rPr>
            </w:pPr>
            <w:r>
              <w:rPr>
                <w:b w:val="false"/>
              </w:rPr>
              <w:t>Critical specimens</w:t>
            </w:r>
          </w:p>
        </w:tc>
        <w:tc>
          <w:tcPr>
            <w:tcW w:w="3129"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jc w:val="center"/>
              <w:rPr>
                <w:b w:val="false"/>
              </w:rPr>
            </w:pPr>
            <w:r>
              <w:rPr>
                <w:b w:val="false"/>
              </w:rPr>
              <w:t>Must be hand delivered/sent by porter</w:t>
            </w:r>
          </w:p>
        </w:tc>
        <w:tc>
          <w:tcPr>
            <w:tcW w:w="2420"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b w:val="false"/>
              </w:rPr>
            </w:pPr>
            <w:r>
              <w:rPr>
                <w:b w:val="false"/>
              </w:rPr>
              <w:t>All departments</w:t>
            </w:r>
          </w:p>
        </w:tc>
      </w:tr>
      <w:tr>
        <w:trPr/>
        <w:tc>
          <w:tcPr>
            <w:tcW w:w="3113"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b w:val="false"/>
              </w:rPr>
            </w:pPr>
            <w:r>
              <w:rPr>
                <w:b w:val="false"/>
              </w:rPr>
              <w:t>CSF</w:t>
            </w:r>
          </w:p>
        </w:tc>
        <w:tc>
          <w:tcPr>
            <w:tcW w:w="3129"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jc w:val="center"/>
              <w:rPr/>
            </w:pPr>
            <w:r>
              <w:rPr>
                <w:b w:val="false"/>
              </w:rPr>
              <w:t>Must be hand delivered/sent by porter</w:t>
            </w:r>
          </w:p>
        </w:tc>
        <w:tc>
          <w:tcPr>
            <w:tcW w:w="2420"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b w:val="false"/>
              </w:rPr>
            </w:pPr>
            <w:r>
              <w:rPr>
                <w:b w:val="false"/>
              </w:rPr>
              <w:t>Microbiology</w:t>
            </w:r>
          </w:p>
        </w:tc>
      </w:tr>
      <w:tr>
        <w:trPr/>
        <w:tc>
          <w:tcPr>
            <w:tcW w:w="3113"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b w:val="false"/>
              </w:rPr>
            </w:pPr>
            <w:r>
              <w:rPr>
                <w:b w:val="false"/>
              </w:rPr>
              <w:t>CSF Xanthochromia</w:t>
            </w:r>
          </w:p>
        </w:tc>
        <w:tc>
          <w:tcPr>
            <w:tcW w:w="3129"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jc w:val="center"/>
              <w:rPr>
                <w:b w:val="false"/>
              </w:rPr>
            </w:pPr>
            <w:r>
              <w:rPr>
                <w:b w:val="false"/>
              </w:rPr>
              <w:t>Must be hand delivered/sent by porter</w:t>
            </w:r>
          </w:p>
        </w:tc>
        <w:tc>
          <w:tcPr>
            <w:tcW w:w="2420" w:type="dxa"/>
            <w:tcBorders>
              <w:top w:val="single" w:sz="4" w:space="0" w:color="000000"/>
              <w:start w:val="single" w:sz="4" w:space="0" w:color="000000"/>
              <w:bottom w:val="single" w:sz="4" w:space="0" w:color="000000"/>
              <w:end w:val="single" w:sz="4" w:space="0" w:color="000000"/>
            </w:tcBorders>
          </w:tcPr>
          <w:p>
            <w:pPr>
              <w:pStyle w:val="TextBody"/>
              <w:widowControl w:val="false"/>
              <w:shd w:val="clear" w:color="auto" w:fill="FFFFFF"/>
              <w:spacing w:before="0" w:after="0"/>
              <w:rPr>
                <w:b w:val="false"/>
              </w:rPr>
            </w:pPr>
            <w:r>
              <w:rPr>
                <w:b w:val="false"/>
              </w:rPr>
              <w:t>Chemical Pathology</w:t>
            </w:r>
          </w:p>
        </w:tc>
      </w:tr>
    </w:tbl>
    <w:p>
      <w:pPr>
        <w:pStyle w:val="Normal"/>
        <w:rPr/>
      </w:pPr>
      <w:r>
        <w:rPr/>
      </w:r>
    </w:p>
    <w:p>
      <w:pPr>
        <w:pStyle w:val="Heading4"/>
        <w:numPr>
          <w:ilvl w:val="3"/>
          <w:numId w:val="25"/>
        </w:numPr>
        <w:shd w:val="clear" w:color="auto" w:fill="FFFFFF"/>
        <w:rPr/>
      </w:pPr>
      <w:r>
        <w:rPr/>
        <w:t>Pneumatic Chute System</w:t>
      </w:r>
    </w:p>
    <w:p>
      <w:pPr>
        <w:pStyle w:val="Normal"/>
        <w:shd w:val="clear" w:color="auto" w:fill="FFFFFF"/>
        <w:rPr/>
      </w:pPr>
      <w:r>
        <w:rPr/>
        <w:t>Specimens may be sent via the Chute system to the following terminals:</w:t>
      </w:r>
    </w:p>
    <w:tbl>
      <w:tblPr>
        <w:tblW w:w="5367" w:type="dxa"/>
        <w:jc w:val="center"/>
        <w:tblInd w:w="0" w:type="dxa"/>
        <w:tblLayout w:type="fixed"/>
        <w:tblCellMar>
          <w:top w:w="0" w:type="dxa"/>
          <w:start w:w="5" w:type="dxa"/>
          <w:bottom w:w="0" w:type="dxa"/>
          <w:end w:w="5" w:type="dxa"/>
        </w:tblCellMar>
        <w:tblLook w:val="04a0" w:noVBand="1" w:noHBand="0" w:lastColumn="0" w:firstColumn="1" w:lastRow="0" w:firstRow="1"/>
      </w:tblPr>
      <w:tblGrid>
        <w:gridCol w:w="3040"/>
        <w:gridCol w:w="2326"/>
      </w:tblGrid>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rPr>
            </w:pPr>
            <w:r>
              <w:rPr>
                <w:b/>
              </w:rPr>
              <w:t>Laboratory Department</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rPr>
            </w:pPr>
            <w:r>
              <w:rPr>
                <w:b/>
              </w:rPr>
              <w:t>Terminal Number</w:t>
            </w:r>
          </w:p>
        </w:tc>
      </w:tr>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Blood Transfusion</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US"/>
              </w:rPr>
              <w:t>2706</w:t>
            </w:r>
          </w:p>
        </w:tc>
      </w:tr>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2703/2656</w:t>
            </w:r>
          </w:p>
        </w:tc>
      </w:tr>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Chemical Pathology</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US"/>
              </w:rPr>
              <w:t>2668/2704</w:t>
            </w:r>
          </w:p>
        </w:tc>
      </w:tr>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Immunology</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2635</w:t>
            </w:r>
          </w:p>
        </w:tc>
      </w:tr>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Microbiology</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US"/>
              </w:rPr>
              <w:t>2645 / 2647</w:t>
            </w:r>
          </w:p>
        </w:tc>
      </w:tr>
      <w:tr>
        <w:trPr/>
        <w:tc>
          <w:tcPr>
            <w:tcW w:w="3040"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NHISSOT</w:t>
            </w:r>
          </w:p>
        </w:tc>
        <w:tc>
          <w:tcPr>
            <w:tcW w:w="232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2650</w:t>
            </w:r>
          </w:p>
        </w:tc>
      </w:tr>
    </w:tbl>
    <w:p>
      <w:pPr>
        <w:pStyle w:val="Normal"/>
        <w:shd w:val="clear" w:color="auto" w:fill="FFFFFF"/>
        <w:rPr/>
      </w:pPr>
      <w:r>
        <w:rPr/>
        <w:t xml:space="preserve">The following specimens may </w:t>
      </w:r>
      <w:r>
        <w:rPr>
          <w:b/>
          <w:u w:val="single"/>
        </w:rPr>
        <w:t>NOT</w:t>
      </w:r>
      <w:r>
        <w:rPr/>
        <w:t xml:space="preserve"> be transported using the Chute System:</w:t>
      </w:r>
    </w:p>
    <w:p>
      <w:pPr>
        <w:pStyle w:val="Normal"/>
        <w:numPr>
          <w:ilvl w:val="0"/>
          <w:numId w:val="59"/>
        </w:numPr>
        <w:shd w:val="clear" w:color="auto" w:fill="FFFFFF"/>
        <w:spacing w:before="0" w:after="0"/>
        <w:ind w:start="714" w:hanging="357"/>
        <w:rPr>
          <w:lang w:val="en-IE"/>
        </w:rPr>
      </w:pPr>
      <w:r>
        <w:rPr>
          <w:lang w:val="en-IE"/>
        </w:rPr>
        <w:t>CSF Specimens</w:t>
      </w:r>
    </w:p>
    <w:p>
      <w:pPr>
        <w:pStyle w:val="Normal"/>
        <w:numPr>
          <w:ilvl w:val="0"/>
          <w:numId w:val="59"/>
        </w:numPr>
        <w:shd w:val="clear" w:color="auto" w:fill="FFFFFF"/>
        <w:spacing w:before="0" w:after="0"/>
        <w:ind w:start="714" w:hanging="357"/>
        <w:rPr>
          <w:lang w:val="en-IE"/>
        </w:rPr>
      </w:pPr>
      <w:r>
        <w:rPr>
          <w:lang w:val="en-IE"/>
        </w:rPr>
        <w:t>Blood gas samples</w:t>
      </w:r>
    </w:p>
    <w:p>
      <w:pPr>
        <w:pStyle w:val="Normal"/>
        <w:numPr>
          <w:ilvl w:val="0"/>
          <w:numId w:val="59"/>
        </w:numPr>
        <w:shd w:val="clear" w:color="auto" w:fill="FFFFFF"/>
        <w:spacing w:before="0" w:after="0"/>
        <w:ind w:start="714" w:hanging="357"/>
        <w:rPr>
          <w:lang w:val="en-IE"/>
        </w:rPr>
      </w:pPr>
      <w:r>
        <w:rPr>
          <w:lang w:val="en-IE"/>
        </w:rPr>
        <w:t>LDH test results may be increased by up to 15% if sample is sent via Chute System</w:t>
      </w:r>
    </w:p>
    <w:p>
      <w:pPr>
        <w:pStyle w:val="Heading3"/>
        <w:numPr>
          <w:ilvl w:val="2"/>
          <w:numId w:val="25"/>
        </w:numPr>
        <w:shd w:val="clear" w:color="auto" w:fill="FFFFFF"/>
        <w:rPr/>
      </w:pPr>
      <w:bookmarkStart w:id="53" w:name="_Toc192968362"/>
      <w:bookmarkStart w:id="54" w:name="_Toc214093846"/>
      <w:bookmarkStart w:id="55" w:name="_Toc432147268"/>
      <w:bookmarkStart w:id="56" w:name="_Toc432147054"/>
      <w:bookmarkEnd w:id="55"/>
      <w:bookmarkEnd w:id="56"/>
      <w:r>
        <w:rPr/>
        <w:t>Specimen Storage Conditions</w:t>
      </w:r>
      <w:bookmarkEnd w:id="53"/>
      <w:bookmarkEnd w:id="54"/>
    </w:p>
    <w:p>
      <w:pPr>
        <w:pStyle w:val="Normal"/>
        <w:numPr>
          <w:ilvl w:val="0"/>
          <w:numId w:val="4"/>
        </w:numPr>
        <w:shd w:val="clear" w:color="auto" w:fill="FFFFFF"/>
        <w:tabs>
          <w:tab w:val="clear" w:pos="709"/>
          <w:tab w:val="left" w:pos="-77" w:leader="none"/>
        </w:tabs>
        <w:spacing w:before="0" w:after="0"/>
        <w:ind w:start="357" w:hanging="357"/>
        <w:rPr/>
      </w:pPr>
      <w:r>
        <w:rPr/>
        <w:t xml:space="preserve">Store </w:t>
      </w:r>
      <w:r>
        <w:rPr>
          <w:bCs/>
        </w:rPr>
        <w:t xml:space="preserve">blood </w:t>
      </w:r>
      <w:r>
        <w:rPr/>
        <w:t>samples at room temperature, unless otherwise specified.  Note that blood samples stored in a refrigerator may have falsely elevated results e.g. potassium.</w:t>
      </w:r>
    </w:p>
    <w:p>
      <w:pPr>
        <w:pStyle w:val="Normal"/>
        <w:numPr>
          <w:ilvl w:val="0"/>
          <w:numId w:val="4"/>
        </w:numPr>
        <w:shd w:val="clear" w:color="auto" w:fill="FFFFFF"/>
        <w:tabs>
          <w:tab w:val="clear" w:pos="709"/>
          <w:tab w:val="left" w:pos="-77" w:leader="none"/>
        </w:tabs>
        <w:spacing w:before="0" w:after="0"/>
        <w:ind w:start="357" w:hanging="357"/>
        <w:rPr/>
      </w:pPr>
      <w:r>
        <w:rPr/>
        <w:t xml:space="preserve">24 hour </w:t>
      </w:r>
      <w:r>
        <w:rPr>
          <w:bCs/>
        </w:rPr>
        <w:t>urine</w:t>
      </w:r>
      <w:r>
        <w:rPr/>
        <w:t xml:space="preserve"> collections should be refrigerated throughout the collection and brought to the laboratory ASAP.</w:t>
      </w:r>
    </w:p>
    <w:p>
      <w:pPr>
        <w:pStyle w:val="Normal"/>
        <w:numPr>
          <w:ilvl w:val="0"/>
          <w:numId w:val="4"/>
        </w:numPr>
        <w:shd w:val="clear" w:color="auto" w:fill="FFFFFF"/>
        <w:tabs>
          <w:tab w:val="clear" w:pos="709"/>
          <w:tab w:val="left" w:pos="-77" w:leader="none"/>
        </w:tabs>
        <w:spacing w:before="0" w:after="0"/>
        <w:ind w:start="357" w:hanging="357"/>
        <w:rPr>
          <w:bCs/>
        </w:rPr>
      </w:pPr>
      <w:r>
        <w:rPr/>
        <w:t>Addition of test requests to existing samples is not recommended due to issues of sample integrity.  Contact individual laboratory for advice.</w:t>
      </w:r>
    </w:p>
    <w:p>
      <w:pPr>
        <w:pStyle w:val="Normal"/>
        <w:numPr>
          <w:ilvl w:val="0"/>
          <w:numId w:val="4"/>
        </w:numPr>
        <w:shd w:val="clear" w:color="auto" w:fill="FFFFFF"/>
        <w:tabs>
          <w:tab w:val="clear" w:pos="709"/>
          <w:tab w:val="left" w:pos="-77" w:leader="none"/>
        </w:tabs>
        <w:spacing w:before="0" w:after="0"/>
        <w:ind w:start="357" w:hanging="357"/>
        <w:rPr>
          <w:bCs/>
        </w:rPr>
      </w:pPr>
      <w:r>
        <w:rPr/>
        <w:t xml:space="preserve">Blood, CSFs and other critical specimens must be transported to the laboratory immediately. </w:t>
      </w:r>
    </w:p>
    <w:p>
      <w:pPr>
        <w:pStyle w:val="Normal"/>
        <w:numPr>
          <w:ilvl w:val="0"/>
          <w:numId w:val="4"/>
        </w:numPr>
        <w:shd w:val="clear" w:color="auto" w:fill="FFFFFF"/>
        <w:tabs>
          <w:tab w:val="clear" w:pos="709"/>
          <w:tab w:val="left" w:pos="-77" w:leader="none"/>
        </w:tabs>
        <w:spacing w:before="0" w:after="0"/>
        <w:ind w:start="357" w:hanging="357"/>
        <w:rPr>
          <w:bCs/>
        </w:rPr>
      </w:pPr>
      <w:r>
        <w:rPr>
          <w:lang w:val="en-IE"/>
        </w:rPr>
        <w:t>CSF Samples for Xanthochromia.must be hand delivered to the Chemical Pathology laboratory immediately. Do not put into the Chute.</w:t>
      </w:r>
    </w:p>
    <w:p>
      <w:pPr>
        <w:pStyle w:val="Normal"/>
        <w:numPr>
          <w:ilvl w:val="0"/>
          <w:numId w:val="4"/>
        </w:numPr>
        <w:shd w:val="clear" w:color="auto" w:fill="FFFFFF"/>
        <w:tabs>
          <w:tab w:val="clear" w:pos="709"/>
          <w:tab w:val="left" w:pos="-77" w:leader="none"/>
        </w:tabs>
        <w:spacing w:before="0" w:after="0"/>
        <w:ind w:start="357" w:hanging="357"/>
        <w:rPr>
          <w:bCs/>
        </w:rPr>
      </w:pPr>
      <w:r>
        <w:rPr>
          <w:lang w:val="en-IE"/>
        </w:rPr>
        <w:t>Samples that require preservation on ice post collection due to the labile nature of the analyte must be sent to the lab immediately.</w:t>
      </w:r>
    </w:p>
    <w:p>
      <w:pPr>
        <w:pStyle w:val="Normal"/>
        <w:numPr>
          <w:ilvl w:val="0"/>
          <w:numId w:val="4"/>
        </w:numPr>
        <w:shd w:val="clear" w:color="auto" w:fill="FFFFFF"/>
        <w:tabs>
          <w:tab w:val="clear" w:pos="709"/>
          <w:tab w:val="left" w:pos="-77" w:leader="none"/>
        </w:tabs>
        <w:spacing w:before="0" w:after="0"/>
        <w:ind w:start="357" w:hanging="357"/>
        <w:jc w:val="start"/>
        <w:rPr>
          <w:bCs/>
        </w:rPr>
      </w:pPr>
      <w:r>
        <w:rPr/>
        <w:t xml:space="preserve">In most cases, if delays are unavoidable, microbiology specimens can be preserved by refrigeration at 2-8˚C in a designated specimen fridge, as this maintains the viability of the pathogens present and prevents the overgrowth of non-pathogenic bacteria. This is of particular importance if quantitative or semi-quantitative culture is required, for example during microbiological analysis of sputum and urine. </w:t>
      </w:r>
      <w:r>
        <w:rPr>
          <w:bCs/>
        </w:rPr>
        <w:br/>
      </w:r>
      <w:r>
        <w:rPr/>
        <w:t>Exceptions to this include:</w:t>
      </w:r>
    </w:p>
    <w:p>
      <w:pPr>
        <w:pStyle w:val="Normal"/>
        <w:numPr>
          <w:ilvl w:val="0"/>
          <w:numId w:val="9"/>
        </w:numPr>
        <w:shd w:val="clear" w:color="auto" w:fill="FFFFFF"/>
        <w:spacing w:before="0" w:after="0"/>
        <w:ind w:start="1134" w:hanging="357"/>
        <w:rPr/>
      </w:pPr>
      <w:r>
        <w:rPr/>
        <w:t xml:space="preserve">Blood cultures should be promptly incubated at 37˚C. </w:t>
      </w:r>
    </w:p>
    <w:p>
      <w:pPr>
        <w:pStyle w:val="Normal"/>
        <w:numPr>
          <w:ilvl w:val="0"/>
          <w:numId w:val="9"/>
        </w:numPr>
        <w:shd w:val="clear" w:color="auto" w:fill="FFFFFF"/>
        <w:spacing w:before="0" w:after="0"/>
        <w:ind w:start="1134" w:hanging="357"/>
        <w:rPr/>
      </w:pPr>
      <w:r>
        <w:rPr/>
        <w:t>CSF</w:t>
      </w:r>
      <w:r>
        <w:rPr>
          <w:b/>
        </w:rPr>
        <w:t xml:space="preserve"> </w:t>
      </w:r>
      <w:r>
        <w:rPr/>
        <w:t xml:space="preserve">should be held at room temperature </w:t>
      </w:r>
      <w:r>
        <w:rPr>
          <w:highlight w:val="lightGray"/>
        </w:rPr>
        <w:t>and arrive in laboratory &lt;2 hours after collection for accurate microscopy results.</w:t>
      </w:r>
    </w:p>
    <w:p>
      <w:pPr>
        <w:pStyle w:val="Normal"/>
        <w:numPr>
          <w:ilvl w:val="0"/>
          <w:numId w:val="9"/>
        </w:numPr>
        <w:shd w:val="clear" w:color="auto" w:fill="FFFFFF"/>
        <w:spacing w:before="0" w:after="0"/>
        <w:ind w:start="1134" w:hanging="357"/>
        <w:rPr/>
      </w:pPr>
      <w:r>
        <w:rPr/>
        <w:t xml:space="preserve">Samples specifically for the isolation of </w:t>
      </w:r>
      <w:r>
        <w:rPr>
          <w:i/>
        </w:rPr>
        <w:t>Neisseria gonorrhoea</w:t>
      </w:r>
      <w:r>
        <w:rPr>
          <w:b/>
          <w:i/>
        </w:rPr>
        <w:t>.</w:t>
      </w:r>
      <w:r>
        <w:rPr>
          <w:i/>
        </w:rPr>
        <w:t xml:space="preserve"> (</w:t>
      </w:r>
      <w:r>
        <w:rPr/>
        <w:t>i.e. cervical or urethral specimens) should be stored at room temperature.</w:t>
      </w:r>
    </w:p>
    <w:p>
      <w:pPr>
        <w:pStyle w:val="Heading3"/>
        <w:numPr>
          <w:ilvl w:val="2"/>
          <w:numId w:val="25"/>
        </w:numPr>
        <w:rPr/>
      </w:pPr>
      <w:bookmarkStart w:id="57" w:name="_Toc192968363"/>
      <w:bookmarkStart w:id="58" w:name="_Toc395706168"/>
      <w:bookmarkStart w:id="59" w:name="_Toc386816554"/>
      <w:r>
        <w:rPr/>
        <w:t>Data Protection Policy</w:t>
      </w:r>
      <w:bookmarkEnd w:id="57"/>
      <w:bookmarkEnd w:id="58"/>
      <w:bookmarkEnd w:id="59"/>
    </w:p>
    <w:p>
      <w:pPr>
        <w:pStyle w:val="Normal"/>
        <w:shd w:val="clear" w:color="auto" w:fill="FFFFFF"/>
        <w:rPr>
          <w:lang w:val="en-IE"/>
        </w:rPr>
      </w:pPr>
      <w:r>
        <w:rPr>
          <w:lang w:val="en-IE"/>
        </w:rPr>
        <w:t xml:space="preserve">The Clinical Directorate of Laboratory Medicine complies with the policy of the HSE regarding the legislation pertaining to the rights of the patient and staff and to act in an ethical and responsible manner in maintaining the security and integrity of all personal information </w:t>
      </w:r>
    </w:p>
    <w:p>
      <w:pPr>
        <w:pStyle w:val="Normal"/>
        <w:shd w:val="clear" w:color="auto" w:fill="FFFFFF"/>
        <w:rPr>
          <w:lang w:val="en-IE"/>
        </w:rPr>
      </w:pPr>
      <w:r>
        <w:rPr>
          <w:lang w:val="en-IE"/>
        </w:rPr>
        <w:t>The Directorate retains the following information in relation to each test request received, for a minimum of 30 years, in order to ensure patient history is maintained and that sufficient information is available to staff responsible for the interpretation and reporting of results from the laboratory:</w:t>
      </w:r>
    </w:p>
    <w:p>
      <w:pPr>
        <w:pStyle w:val="Normal"/>
        <w:numPr>
          <w:ilvl w:val="0"/>
          <w:numId w:val="60"/>
        </w:numPr>
        <w:shd w:val="clear" w:color="auto" w:fill="FFFFFF"/>
        <w:spacing w:before="0" w:after="0"/>
        <w:ind w:start="357" w:hanging="357"/>
        <w:rPr>
          <w:lang w:val="en-IE"/>
        </w:rPr>
      </w:pPr>
      <w:r>
        <w:rPr>
          <w:lang w:val="en-IE"/>
        </w:rPr>
        <w:t>Patient full name</w:t>
      </w:r>
    </w:p>
    <w:p>
      <w:pPr>
        <w:pStyle w:val="Normal"/>
        <w:numPr>
          <w:ilvl w:val="0"/>
          <w:numId w:val="60"/>
        </w:numPr>
        <w:shd w:val="clear" w:color="auto" w:fill="FFFFFF"/>
        <w:spacing w:before="0" w:after="0"/>
        <w:ind w:start="357" w:hanging="357"/>
        <w:rPr>
          <w:lang w:val="en-IE"/>
        </w:rPr>
      </w:pPr>
      <w:r>
        <w:rPr>
          <w:lang w:val="en-IE"/>
        </w:rPr>
        <w:t>Patient Address</w:t>
      </w:r>
    </w:p>
    <w:p>
      <w:pPr>
        <w:pStyle w:val="Normal"/>
        <w:numPr>
          <w:ilvl w:val="0"/>
          <w:numId w:val="60"/>
        </w:numPr>
        <w:shd w:val="clear" w:color="auto" w:fill="FFFFFF"/>
        <w:spacing w:before="0" w:after="0"/>
        <w:ind w:start="357" w:hanging="357"/>
        <w:rPr>
          <w:lang w:val="en-IE"/>
        </w:rPr>
      </w:pPr>
      <w:r>
        <w:rPr>
          <w:lang w:val="en-IE"/>
        </w:rPr>
        <w:t>Patient medical record number/episode number</w:t>
      </w:r>
    </w:p>
    <w:p>
      <w:pPr>
        <w:pStyle w:val="Normal"/>
        <w:numPr>
          <w:ilvl w:val="0"/>
          <w:numId w:val="60"/>
        </w:numPr>
        <w:shd w:val="clear" w:color="auto" w:fill="FFFFFF"/>
        <w:spacing w:before="0" w:after="0"/>
        <w:ind w:start="357" w:hanging="357"/>
        <w:rPr>
          <w:lang w:val="en-IE"/>
        </w:rPr>
      </w:pPr>
      <w:r>
        <w:rPr>
          <w:lang w:val="en-IE"/>
        </w:rPr>
        <w:t>Patient date of birth</w:t>
      </w:r>
    </w:p>
    <w:p>
      <w:pPr>
        <w:pStyle w:val="Normal"/>
        <w:numPr>
          <w:ilvl w:val="0"/>
          <w:numId w:val="60"/>
        </w:numPr>
        <w:shd w:val="clear" w:color="auto" w:fill="FFFFFF"/>
        <w:spacing w:before="0" w:after="0"/>
        <w:ind w:start="357" w:hanging="357"/>
        <w:rPr>
          <w:lang w:val="en-IE"/>
        </w:rPr>
      </w:pPr>
      <w:r>
        <w:rPr>
          <w:lang w:val="en-IE"/>
        </w:rPr>
        <w:t>For each specimen: date/time of collection, date/time of receipt in the laboratory and date/time of report, specimen type, priority.</w:t>
      </w:r>
    </w:p>
    <w:p>
      <w:pPr>
        <w:pStyle w:val="Normal"/>
        <w:numPr>
          <w:ilvl w:val="0"/>
          <w:numId w:val="60"/>
        </w:numPr>
        <w:shd w:val="clear" w:color="auto" w:fill="FFFFFF"/>
        <w:spacing w:before="0" w:after="0"/>
        <w:ind w:start="357" w:hanging="357"/>
        <w:rPr>
          <w:lang w:val="en-IE"/>
        </w:rPr>
      </w:pPr>
      <w:r>
        <w:rPr>
          <w:lang w:val="en-IE"/>
        </w:rPr>
        <w:t>Clinical information provided by clinicians</w:t>
      </w:r>
    </w:p>
    <w:p>
      <w:pPr>
        <w:pStyle w:val="Normal"/>
        <w:numPr>
          <w:ilvl w:val="0"/>
          <w:numId w:val="60"/>
        </w:numPr>
        <w:shd w:val="clear" w:color="auto" w:fill="FFFFFF"/>
        <w:spacing w:before="0" w:after="0"/>
        <w:ind w:start="357" w:hanging="357"/>
        <w:rPr>
          <w:lang w:val="en-IE"/>
        </w:rPr>
      </w:pPr>
      <w:r>
        <w:rPr>
          <w:lang w:val="en-IE"/>
        </w:rPr>
        <w:t>The results and where appropriate, interpretation of each test requested.</w:t>
      </w:r>
    </w:p>
    <w:p>
      <w:pPr>
        <w:pStyle w:val="Normal"/>
        <w:numPr>
          <w:ilvl w:val="0"/>
          <w:numId w:val="60"/>
        </w:numPr>
        <w:shd w:val="clear" w:color="auto" w:fill="FFFFFF"/>
        <w:spacing w:before="0" w:after="0"/>
        <w:ind w:start="357" w:hanging="357"/>
        <w:rPr>
          <w:lang w:val="en-IE"/>
        </w:rPr>
      </w:pPr>
      <w:r>
        <w:rPr>
          <w:lang w:val="en-IE"/>
        </w:rPr>
        <w:t>Requesting clinician and address</w:t>
      </w:r>
    </w:p>
    <w:p>
      <w:pPr>
        <w:pStyle w:val="Normal"/>
        <w:shd w:val="clear" w:color="auto" w:fill="FFFFFF"/>
        <w:spacing w:before="0" w:after="0"/>
        <w:ind w:start="357" w:hanging="0"/>
        <w:rPr>
          <w:lang w:val="en-IE"/>
        </w:rPr>
      </w:pPr>
      <w:r>
        <w:rPr>
          <w:lang w:val="en-IE"/>
        </w:rPr>
      </w:r>
    </w:p>
    <w:p>
      <w:pPr>
        <w:pStyle w:val="Heading3"/>
        <w:numPr>
          <w:ilvl w:val="2"/>
          <w:numId w:val="25"/>
        </w:numPr>
        <w:rPr>
          <w:highlight w:val="lightGray"/>
        </w:rPr>
      </w:pPr>
      <w:bookmarkStart w:id="60" w:name="_Toc192968364"/>
      <w:r>
        <w:rPr>
          <w:highlight w:val="lightGray"/>
        </w:rPr>
        <w:t>Placing Patient Information in the Public Domain</w:t>
      </w:r>
      <w:bookmarkEnd w:id="60"/>
    </w:p>
    <w:p>
      <w:pPr>
        <w:pStyle w:val="Normal"/>
        <w:rPr>
          <w:rFonts w:cs="Cambria"/>
          <w:color w:val="000000"/>
          <w:highlight w:val="lightGray"/>
        </w:rPr>
      </w:pPr>
      <w:r>
        <w:rPr>
          <w:highlight w:val="lightGray"/>
          <w:lang w:val="en-US"/>
        </w:rPr>
        <w:t xml:space="preserve">It is laboratory policy that information </w:t>
      </w:r>
      <w:r>
        <w:rPr>
          <w:rFonts w:cs="Cambria"/>
          <w:color w:val="000000"/>
          <w:highlight w:val="lightGray"/>
        </w:rPr>
        <w:t>obtained or created during the performance of laboratory activities is not placed in the public domain unless agreed by the patient. If the laboratory is required by law or authorised by contractual arrangements to do so, the patient’s clinician will be informed and they will inform the patient (unless this is prohibited by law). Further details are outlined in the relevant departmental standard operating procedures.</w:t>
      </w:r>
    </w:p>
    <w:p>
      <w:pPr>
        <w:pStyle w:val="Normal"/>
        <w:rPr>
          <w:lang w:val="en-US"/>
        </w:rPr>
      </w:pPr>
      <w:r>
        <w:rPr>
          <w:rFonts w:cs="Cambria"/>
          <w:color w:val="000000"/>
          <w:highlight w:val="lightGray"/>
        </w:rPr>
        <w:t>Information about the patient from a source other than the patient (e.g. complainant, regulator) is kept confidential by the laboratory. The identity of the source is kept confidential by the laboratory and is not shared with the patient, unless agreed by the source.</w:t>
      </w:r>
    </w:p>
    <w:p>
      <w:pPr>
        <w:pStyle w:val="Normal"/>
        <w:shd w:val="clear" w:color="auto" w:fill="FFFFFF"/>
        <w:spacing w:before="0" w:after="0"/>
        <w:ind w:start="357" w:hanging="0"/>
        <w:rPr>
          <w:lang w:val="en-IE"/>
        </w:rPr>
      </w:pPr>
      <w:r>
        <w:rPr>
          <w:lang w:val="en-IE"/>
        </w:rPr>
      </w:r>
    </w:p>
    <w:p>
      <w:pPr>
        <w:pStyle w:val="Heading3"/>
        <w:numPr>
          <w:ilvl w:val="2"/>
          <w:numId w:val="25"/>
        </w:numPr>
        <w:rPr/>
      </w:pPr>
      <w:bookmarkStart w:id="61" w:name="_Toc192968365"/>
      <w:r>
        <w:rPr/>
        <w:t>Time Limits for Requesting Additional Examinations</w:t>
      </w:r>
      <w:bookmarkEnd w:id="61"/>
    </w:p>
    <w:p>
      <w:pPr>
        <w:pStyle w:val="Normal"/>
        <w:shd w:val="clear" w:color="auto" w:fill="FFFFFF"/>
        <w:rPr/>
      </w:pPr>
      <w:r>
        <w:rPr/>
        <w:t xml:space="preserve">Please note that requests for any additional examinations must be placed electronically in Powerchart and the barcode delivered to the appropriate laboratory, in order for results to be issued.  </w:t>
      </w:r>
    </w:p>
    <w:p>
      <w:pPr>
        <w:pStyle w:val="Normal"/>
        <w:shd w:val="clear" w:color="auto" w:fill="FFFFFF"/>
        <w:rPr/>
      </w:pPr>
      <w:r>
        <w:rPr/>
        <w:t>Requests for add-on testing cannot be accepted by Chemical Pathology during any period of I.T. Downtime.</w:t>
      </w:r>
    </w:p>
    <w:p>
      <w:pPr>
        <w:pStyle w:val="Heading3"/>
        <w:numPr>
          <w:ilvl w:val="2"/>
          <w:numId w:val="25"/>
        </w:numPr>
        <w:rPr/>
      </w:pPr>
      <w:bookmarkStart w:id="62" w:name="_Toc192968366"/>
      <w:bookmarkStart w:id="63" w:name="_Toc360097458"/>
      <w:r>
        <w:rPr/>
        <w:t>Repeat Examination due to Analytical Failure</w:t>
      </w:r>
      <w:bookmarkEnd w:id="62"/>
      <w:bookmarkEnd w:id="63"/>
    </w:p>
    <w:p>
      <w:pPr>
        <w:pStyle w:val="Normal"/>
        <w:shd w:val="clear" w:color="auto" w:fill="FFFFFF"/>
        <w:rPr>
          <w:lang w:val="en-IE"/>
        </w:rPr>
      </w:pPr>
      <w:r>
        <w:rPr/>
        <w:t>In the event of an analytical failure, if the system returns to normal within the test cut-off time, the samples are processed accordingly. However, if this time exceeds the test cut-off limit, the users are notified and repeat samples are requested, where applicable</w:t>
      </w:r>
    </w:p>
    <w:p>
      <w:pPr>
        <w:pStyle w:val="Heading3"/>
        <w:numPr>
          <w:ilvl w:val="2"/>
          <w:numId w:val="25"/>
        </w:numPr>
        <w:rPr>
          <w:lang w:val="en-IE"/>
        </w:rPr>
      </w:pPr>
      <w:bookmarkStart w:id="64" w:name="_Toc192968367"/>
      <w:r>
        <w:rPr>
          <w:lang w:val="en-IE"/>
        </w:rPr>
        <w:t>Uncertainty of Measurement (UM)</w:t>
      </w:r>
      <w:bookmarkEnd w:id="64"/>
    </w:p>
    <w:p>
      <w:pPr>
        <w:pStyle w:val="Normal"/>
        <w:shd w:val="clear" w:color="auto" w:fill="FFFFFF"/>
        <w:rPr>
          <w:lang w:val="en-IE"/>
        </w:rPr>
      </w:pPr>
      <w:r>
        <w:rPr>
          <w:lang w:val="en-IE"/>
        </w:rPr>
        <w:t>Every measurement, including a laboratory result, is subject to a level of uncertainty.  For example blood pressure measured a few times within a single clinical visit may vary. This variation is made up of biological variation together with the uncertainty of measurement (and may be compounded further if any error is made).  Systems in the laboratory are designed to minimise error – however if you are concerned that an error has occurred please contact us to let us investigate this.  Even when error is eliminated, uncertainty of measurement affects all results.</w:t>
      </w:r>
    </w:p>
    <w:p>
      <w:pPr>
        <w:pStyle w:val="Normal"/>
        <w:shd w:val="clear" w:color="auto" w:fill="FFFFFF"/>
        <w:jc w:val="start"/>
        <w:rPr>
          <w:lang w:val="en-IE"/>
        </w:rPr>
      </w:pPr>
      <w:r>
        <w:rPr>
          <w:lang w:val="en-IE"/>
        </w:rPr>
        <w:t xml:space="preserve">When interpreting the results of a laboratory test the uncertainty of measurement (UM) of that result needs to be considered.  UM is a numerical value &amp; is an expression of the magnitude of uncertainty of a result.  It characterizes the dispersion of values reasonably attributed to measurement.  If not understood may lead to over interpretation of results.  </w:t>
        <w:br/>
        <w:t>e.g. If the UM is 10% &amp; the result is 100, then the true result probably lies between 90-110. Therefore is the result obtained due to clinical changes in the patient or imprecision of the test method itself?</w:t>
      </w:r>
    </w:p>
    <w:p>
      <w:pPr>
        <w:pStyle w:val="Normal"/>
        <w:shd w:val="clear" w:color="auto" w:fill="FFFFFF"/>
        <w:rPr>
          <w:lang w:val="en-IE"/>
        </w:rPr>
      </w:pPr>
      <w:r>
        <w:rPr>
          <w:lang w:val="en-IE"/>
        </w:rPr>
        <w:t xml:space="preserve">Uncertainty is not error. Error tells us the difference between the true value &amp; the measured value. Error can be corrected, uncertainty cannot. UM is the quantitative expression of doubt (uncertainty) &amp; spread of a particular measurement.  It is an estimate of the confidence in the result produced by the laboratory. </w:t>
        <w:br/>
        <w:t>Uncertainty is a parameter associated with every result &amp; is specific to each result.  The uncertainty of any assay performed in the laboratory is available on request.</w:t>
      </w:r>
    </w:p>
    <w:p>
      <w:pPr>
        <w:pStyle w:val="Heading3"/>
        <w:numPr>
          <w:ilvl w:val="2"/>
          <w:numId w:val="25"/>
        </w:numPr>
        <w:rPr>
          <w:highlight w:val="lightGray"/>
        </w:rPr>
      </w:pPr>
      <w:bookmarkStart w:id="65" w:name="_Toc192968368"/>
      <w:bookmarkStart w:id="66" w:name="_Toc398483595"/>
      <w:r>
        <w:rPr>
          <w:highlight w:val="lightGray"/>
          <w:lang w:val="en-IE"/>
        </w:rPr>
        <w:t>Complaints</w:t>
      </w:r>
      <w:bookmarkEnd w:id="65"/>
      <w:bookmarkEnd w:id="66"/>
    </w:p>
    <w:p>
      <w:pPr>
        <w:pStyle w:val="Normal"/>
        <w:tabs>
          <w:tab w:val="clear" w:pos="709"/>
          <w:tab w:val="left" w:pos="2200" w:leader="none"/>
        </w:tabs>
        <w:rPr>
          <w:highlight w:val="lightGray"/>
          <w:lang w:val="en-US"/>
        </w:rPr>
      </w:pPr>
      <w:r>
        <w:rPr>
          <w:highlight w:val="lightGray"/>
          <w:lang w:val="en-US"/>
        </w:rPr>
        <w:t>Beaumont Hospital is committed to responding to patient and user feedback both positive and negative. The hospital endeavors to respond to concerns and identify and manage any deviation from high quality care.</w:t>
      </w:r>
    </w:p>
    <w:p>
      <w:pPr>
        <w:pStyle w:val="Normal"/>
        <w:shd w:val="clear" w:color="auto" w:fill="FFFFFF"/>
        <w:rPr/>
      </w:pPr>
      <w:r>
        <w:rPr>
          <w:highlight w:val="lightGray"/>
        </w:rPr>
        <w:t xml:space="preserve">Complaints and feedback may be given directly to any member of staff in the laboratory or through the </w:t>
      </w:r>
      <w:r>
        <w:rPr>
          <w:highlight w:val="lightGray"/>
          <w:lang w:val="en-US"/>
        </w:rPr>
        <w:t xml:space="preserve">Patient Advisory Liaison Service (PALS) </w:t>
      </w:r>
      <w:r>
        <w:rPr/>
        <w:t>In any case, there may be a resolution at point of contact or the case may be of a serious nature that requires further action.  All complaints (verbal or written) are recorded directly onto Q-Pulse, and are classified as per Non-conformity procedure. The medical significance of each complaint is decided upon by the departmental Consultant Pathologist.  The Head of Department or Laboratory Manager may deal with the complaint depending on its severity. Records of complaints are maintained for periods as defined in schedule for record retention.</w:t>
      </w:r>
    </w:p>
    <w:p>
      <w:pPr>
        <w:pStyle w:val="Normal"/>
        <w:shd w:val="clear" w:color="auto" w:fill="FFFFFF"/>
        <w:rPr/>
      </w:pPr>
      <w:r>
        <w:rPr/>
        <w:t>If a complaint cannot be resolved at local level it will be forwarded to the hospital’s Patient Liaison officer.</w:t>
      </w:r>
    </w:p>
    <w:p>
      <w:pPr>
        <w:pStyle w:val="Normal"/>
        <w:rPr/>
      </w:pPr>
      <w:r>
        <w:rPr>
          <w:highlight w:val="lightGray"/>
        </w:rPr>
        <w:t>The laboratory actively seeks feedback from its patients, users and personnel which is used to analyse and improve the laboratory management system, activities and services provided to users as demonstrated below.This is achieved through regular user satisfaction surveys, complaints and compliments that are received and through it’s annual management review. All of these contribute to the laboratory continual improvement process.</w:t>
      </w:r>
    </w:p>
    <w:p>
      <w:pPr>
        <w:pStyle w:val="Normal"/>
        <w:rPr/>
      </w:pPr>
      <w:r>
        <w:rPr/>
      </w:r>
    </w:p>
    <w:p>
      <w:pPr>
        <w:pStyle w:val="Normal"/>
        <w:tabs>
          <w:tab w:val="clear" w:pos="709"/>
          <w:tab w:val="left" w:pos="2200" w:leader="none"/>
        </w:tabs>
        <w:rPr>
          <w:highlight w:val="lightGray"/>
        </w:rPr>
      </w:pPr>
      <w:r>
        <w:rPr>
          <w:highlight w:val="lightGray"/>
        </w:rPr>
      </w:r>
    </w:p>
    <w:p>
      <w:pPr>
        <w:pStyle w:val="Heading3"/>
        <w:numPr>
          <w:ilvl w:val="2"/>
          <w:numId w:val="25"/>
        </w:numPr>
        <w:rPr>
          <w:highlight w:val="lightGray"/>
          <w:lang w:val="en-IE"/>
        </w:rPr>
      </w:pPr>
      <w:bookmarkStart w:id="67" w:name="_Toc192968369"/>
      <w:r>
        <w:rPr>
          <w:highlight w:val="lightGray"/>
          <w:lang w:val="en-IE"/>
        </w:rPr>
        <w:t>Open Disclosure</w:t>
      </w:r>
      <w:bookmarkEnd w:id="67"/>
    </w:p>
    <w:p>
      <w:pPr>
        <w:pStyle w:val="Normal"/>
        <w:rPr>
          <w:lang w:val="en-US"/>
        </w:rPr>
      </w:pPr>
      <w:r>
        <w:rPr>
          <w:highlight w:val="lightGray"/>
          <w:lang w:val="en-US"/>
        </w:rPr>
        <w:t xml:space="preserve">Beaumont Hospital follows the HSE National Policy for Open Disclosure. Open Disclosure is a requirement of the HIQA National Standards for Safer Better Healthcare. Open Disclosure </w:t>
      </w:r>
      <w:r>
        <w:rPr>
          <w:highlight w:val="lightGray"/>
        </w:rPr>
        <w:t>“an open, consistent approach to communicating with patients when things go wrong in healthcare. This includes expressing regret for what has happened, keeping the patient informed, providing feedback on investigations and the steps taken to prevent a recurrence of the adverse event.”</w:t>
      </w:r>
      <w:r>
        <w:rPr>
          <w:highlight w:val="lightGray"/>
          <w:lang w:val="en-US"/>
        </w:rPr>
        <w:t xml:space="preserve">Open Disclosure should happen when </w:t>
      </w:r>
      <w:r>
        <w:rPr>
          <w:highlight w:val="lightGray"/>
        </w:rPr>
        <w:t>a service user has experienced an “adverse event” but also when a service user experiences a “no harm event” or is exposed to a “near miss event”.</w:t>
      </w:r>
    </w:p>
    <w:p>
      <w:pPr>
        <w:pStyle w:val="Normal"/>
        <w:rPr>
          <w:lang w:val="en-IE"/>
        </w:rPr>
      </w:pPr>
      <w:r>
        <w:rPr>
          <w:lang w:val="en-IE"/>
        </w:rPr>
      </w:r>
    </w:p>
    <w:p>
      <w:pPr>
        <w:pStyle w:val="Heading3"/>
        <w:numPr>
          <w:ilvl w:val="2"/>
          <w:numId w:val="25"/>
        </w:numPr>
        <w:rPr/>
      </w:pPr>
      <w:bookmarkStart w:id="68" w:name="_Toc192968370"/>
      <w:r>
        <w:rPr/>
        <w:t>Accreditation/Quality Standards</w:t>
      </w:r>
      <w:bookmarkEnd w:id="68"/>
    </w:p>
    <w:p>
      <w:pPr>
        <w:pStyle w:val="Normal"/>
        <w:shd w:val="clear" w:color="auto" w:fill="FFFFFF"/>
        <w:rPr/>
      </w:pPr>
      <w:r>
        <w:rPr/>
        <w:t>Beaumont Hospital Clinical Directorate of Laboratory Medicine’s current scope of Accreditation to ISO15189 is available from the INAB website, https://www.inab.ie/fileupload/medical-testing/beaumont-hospital-225mt.pdf</w:t>
      </w:r>
    </w:p>
    <w:p>
      <w:pPr>
        <w:pStyle w:val="Normal"/>
        <w:shd w:val="clear" w:color="auto" w:fill="FFFFFF"/>
        <w:rPr/>
      </w:pPr>
      <w:bookmarkStart w:id="69" w:name="_Toc302901911"/>
      <w:r>
        <w:rPr/>
        <w:t>The H&amp;I Department is accredited by EFI (European Federation for Immunogenetics).</w:t>
      </w:r>
      <w:bookmarkEnd w:id="69"/>
    </w:p>
    <w:p>
      <w:pPr>
        <w:pStyle w:val="Normal"/>
        <w:shd w:val="clear" w:color="auto" w:fill="FFFFFF"/>
        <w:rPr/>
      </w:pPr>
      <w:r>
        <w:rPr/>
      </w:r>
    </w:p>
    <w:p>
      <w:pPr>
        <w:pStyle w:val="Normal"/>
        <w:shd w:val="clear" w:color="auto" w:fill="FFFFFF"/>
        <w:rPr>
          <w:lang w:val="en-IE"/>
        </w:rPr>
      </w:pPr>
      <w:r>
        <w:rPr>
          <w:lang w:val="en-IE"/>
        </w:rPr>
      </w:r>
    </w:p>
    <w:p>
      <w:pPr>
        <w:pStyle w:val="Normal"/>
        <w:shd w:val="clear" w:color="auto" w:fill="FFFFFF"/>
        <w:rPr>
          <w:lang w:val="en-IE"/>
        </w:rPr>
      </w:pPr>
      <w:r>
        <w:rPr>
          <w:lang w:val="en-IE"/>
        </w:rPr>
      </w:r>
    </w:p>
    <w:p>
      <w:pPr>
        <w:pStyle w:val="Normal"/>
        <w:shd w:val="clear" w:color="auto" w:fill="FFFFFF"/>
        <w:rPr>
          <w:lang w:val="en-IE"/>
        </w:rPr>
      </w:pPr>
      <w:r>
        <w:rPr>
          <w:lang w:val="en-IE"/>
        </w:rPr>
      </w:r>
    </w:p>
    <w:p>
      <w:pPr>
        <w:pStyle w:val="Normal"/>
        <w:shd w:val="clear" w:color="auto" w:fill="FFFFFF"/>
        <w:rPr>
          <w:lang w:val="en-IE"/>
        </w:rPr>
      </w:pPr>
      <w:r>
        <w:rPr>
          <w:lang w:val="en-I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 xml:space="preserve">BLOOD TRANSFUSION </w:t>
      </w:r>
    </w:p>
    <w:p>
      <w:pPr>
        <w:pStyle w:val="Heading3"/>
        <w:numPr>
          <w:ilvl w:val="2"/>
          <w:numId w:val="16"/>
        </w:numPr>
        <w:tabs>
          <w:tab w:val="left" w:pos="1134" w:leader="none"/>
          <w:tab w:val="left" w:pos="1854" w:leader="none"/>
        </w:tabs>
        <w:bidi w:val="0"/>
        <w:spacing w:lineRule="auto" w:line="240"/>
        <w:ind w:start="720" w:end="0" w:hanging="720"/>
        <w:jc w:val="start"/>
        <w:rPr>
          <w:b/>
          <w:szCs w:val="26"/>
          <w:u w:val="single"/>
        </w:rPr>
      </w:pPr>
      <w:r>
        <w:rPr>
          <w:iCs/>
          <w:szCs w:val="28"/>
        </w:rPr>
        <w:tab/>
      </w:r>
      <w:bookmarkStart w:id="70" w:name="_Toc196476645"/>
      <w:bookmarkStart w:id="71" w:name="OLE_LINK3"/>
      <w:r>
        <w:rPr/>
        <w:t xml:space="preserve">Blood Transfusion </w:t>
      </w:r>
      <w:bookmarkStart w:id="72" w:name="_Toc196476646"/>
      <w:bookmarkStart w:id="73" w:name="_Toc158999441"/>
      <w:r>
        <w:rPr>
          <w:rFonts w:eastAsia="Andale Sans UI" w:cs="Arial"/>
          <w:bCs/>
          <w:szCs w:val="26"/>
          <w:lang w:val="en-IE" w:eastAsia="en-GB"/>
        </w:rPr>
        <w:t>Test Repertoire and TAT</w:t>
      </w:r>
      <w:bookmarkStart w:id="74" w:name="_Toc158999440"/>
    </w:p>
    <w:tbl>
      <w:tblPr>
        <w:tblW w:w="14358" w:type="dxa"/>
        <w:jc w:val="center"/>
        <w:tblInd w:w="0" w:type="dxa"/>
        <w:tblLayout w:type="fixed"/>
        <w:tblCellMar>
          <w:top w:w="28" w:type="dxa"/>
          <w:start w:w="28" w:type="dxa"/>
          <w:bottom w:w="0" w:type="dxa"/>
          <w:end w:w="28" w:type="dxa"/>
        </w:tblCellMar>
      </w:tblPr>
      <w:tblGrid>
        <w:gridCol w:w="1599"/>
        <w:gridCol w:w="1433"/>
        <w:gridCol w:w="1116"/>
        <w:gridCol w:w="2975"/>
        <w:gridCol w:w="5958"/>
        <w:gridCol w:w="1276"/>
      </w:tblGrid>
      <w:tr>
        <w:trPr>
          <w:trHeight w:val="11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Test</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Sample Type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Minimum</w:t>
            </w:r>
          </w:p>
          <w:p>
            <w:pPr>
              <w:pStyle w:val="Normal"/>
              <w:widowControl w:val="false"/>
              <w:shd w:fill="FFFFFF"/>
              <w:tabs>
                <w:tab w:val="clear" w:pos="709"/>
              </w:tabs>
              <w:bidi w:val="0"/>
              <w:spacing w:lineRule="auto" w:line="240"/>
              <w:jc w:val="start"/>
              <w:rPr>
                <w:b/>
                <w:szCs w:val="26"/>
                <w:u w:val="single"/>
              </w:rPr>
            </w:pPr>
            <w:r>
              <w:rPr>
                <w:b/>
                <w:sz w:val="20"/>
              </w:rPr>
              <w:t>Volume</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TAT</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Comment</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Mnemonic</w:t>
            </w:r>
          </w:p>
        </w:tc>
      </w:tr>
      <w:tr>
        <w:trPr>
          <w:trHeight w:val="1967"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&amp; Screen</w:t>
            </w:r>
          </w:p>
          <w:p>
            <w:pPr>
              <w:pStyle w:val="Normal"/>
              <w:widowControl w:val="false"/>
              <w:shd w:fill="FFFFFF"/>
              <w:tabs>
                <w:tab w:val="clear" w:pos="709"/>
              </w:tabs>
              <w:bidi w:val="0"/>
              <w:spacing w:lineRule="auto" w:line="240" w:before="0" w:after="0"/>
              <w:jc w:val="start"/>
              <w:rPr>
                <w:sz w:val="20"/>
              </w:rPr>
            </w:pPr>
            <w:r>
              <w:rPr>
                <w:sz w:val="20"/>
              </w:rPr>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 bottle labelled: “EDTA - FOR BLOOD BANK” (Pale</w:t>
            </w:r>
            <w:r>
              <w:rPr>
                <w:sz w:val="20"/>
                <w:shd w:fill="D9D9D9" w:val="clear"/>
              </w:rPr>
              <w:t>Pink</w:t>
            </w:r>
            <w:r>
              <w:rPr>
                <w:sz w:val="20"/>
              </w:rPr>
              <w:t xml:space="preserve"> top tube)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sz w:val="20"/>
              </w:rPr>
            </w:pPr>
            <w:r>
              <w:rPr>
                <w:sz w:val="20"/>
              </w:rPr>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GS specimens should be taken using the Bridge Medical devices/Powerchart for OPD either desktop or PDA. Equipment must be brought to patient bedside.</w:t>
            </w:r>
          </w:p>
          <w:p>
            <w:pPr>
              <w:pStyle w:val="Normal"/>
              <w:widowControl w:val="false"/>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p>
            <w:pPr>
              <w:pStyle w:val="Normal"/>
              <w:widowControl w:val="false"/>
              <w:tabs>
                <w:tab w:val="clear" w:pos="709"/>
              </w:tabs>
              <w:bidi w:val="0"/>
              <w:spacing w:lineRule="auto" w:line="240"/>
              <w:jc w:val="start"/>
              <w:rPr>
                <w:b/>
                <w:szCs w:val="26"/>
                <w:u w:val="single"/>
              </w:rPr>
            </w:pPr>
            <w:r>
              <w:rPr>
                <w:sz w:val="20"/>
              </w:rPr>
              <w:t>Unavoidable delays in the provision of results can occur when a patient has a positive antibody screen and/ or when a specimen is referred to the IBTS.</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and Antibody screen</w:t>
            </w:r>
          </w:p>
        </w:tc>
      </w:tr>
      <w:tr>
        <w:trPr>
          <w:trHeight w:val="1259"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Direct Antiglobulin Test</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EDTA Specimen (2.7 ml)</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DAT 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DAT</w:t>
            </w:r>
          </w:p>
        </w:tc>
      </w:tr>
      <w:tr>
        <w:trPr>
          <w:trHeight w:val="124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Transfusion Reaction Investigation</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4.9ml EDTA Specimen </w:t>
            </w:r>
            <w:r>
              <w:rPr>
                <w:color w:val="000000"/>
                <w:sz w:val="20"/>
              </w:rPr>
              <w:t>+ 7.5ml clotted serum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Depends on the complexity of investigation.</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Should be sent to the hospital Blood Bank as soon as possible after taking the specimens.</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TRX</w:t>
            </w:r>
          </w:p>
        </w:tc>
      </w:tr>
      <w:tr>
        <w:trPr>
          <w:trHeight w:val="14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Antibody titration</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4.0ml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24 hours from time of receipt during routine hours</w:t>
            </w:r>
          </w:p>
          <w:p>
            <w:pPr>
              <w:pStyle w:val="Normal"/>
              <w:widowControl w:val="false"/>
              <w:shd w:fill="FFFFFF"/>
              <w:tabs>
                <w:tab w:val="clear" w:pos="709"/>
              </w:tabs>
              <w:bidi w:val="0"/>
              <w:spacing w:lineRule="auto" w:line="240"/>
              <w:jc w:val="start"/>
              <w:rPr>
                <w:b/>
                <w:szCs w:val="26"/>
                <w:u w:val="single"/>
              </w:rPr>
            </w:pPr>
            <w:r>
              <w:rPr>
                <w:b/>
                <w:sz w:val="20"/>
              </w:rPr>
              <w:t>Urgent:</w:t>
            </w:r>
          </w:p>
          <w:p>
            <w:pPr>
              <w:pStyle w:val="Normal"/>
              <w:widowControl w:val="false"/>
              <w:shd w:fill="FFFFFF"/>
              <w:tabs>
                <w:tab w:val="clear" w:pos="709"/>
              </w:tabs>
              <w:bidi w:val="0"/>
              <w:spacing w:lineRule="auto" w:line="240"/>
              <w:jc w:val="start"/>
              <w:rPr>
                <w:b/>
                <w:szCs w:val="26"/>
                <w:u w:val="single"/>
              </w:rPr>
            </w:pPr>
            <w:r>
              <w:rPr>
                <w:sz w:val="20"/>
              </w:rPr>
              <w:t>Same day if received before 1400.</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This test is requested only under the instruction of the Nephrology team.</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Anitbody TITR</w:t>
            </w:r>
          </w:p>
        </w:tc>
      </w:tr>
      <w:tr>
        <w:trPr>
          <w:trHeight w:val="11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 Agglutinins</w:t>
            </w:r>
          </w:p>
          <w:p>
            <w:pPr>
              <w:pStyle w:val="Normal"/>
              <w:widowControl w:val="false"/>
              <w:shd w:fill="FFFFFF"/>
              <w:tabs>
                <w:tab w:val="clear" w:pos="709"/>
              </w:tabs>
              <w:bidi w:val="0"/>
              <w:spacing w:lineRule="auto" w:line="240" w:before="0" w:after="0"/>
              <w:jc w:val="start"/>
              <w:rPr>
                <w:sz w:val="20"/>
              </w:rPr>
            </w:pPr>
            <w:r>
              <w:rPr>
                <w:sz w:val="20"/>
              </w:rPr>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 X 4.9ml EDTA specimen bottle.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5 working days from sample receipt by NHSBT</w:t>
            </w:r>
          </w:p>
          <w:p>
            <w:pPr>
              <w:pStyle w:val="Normal"/>
              <w:widowControl w:val="false"/>
              <w:shd w:fill="FFFFFF"/>
              <w:tabs>
                <w:tab w:val="clear" w:pos="709"/>
              </w:tabs>
              <w:bidi w:val="0"/>
              <w:spacing w:lineRule="auto" w:line="240"/>
              <w:jc w:val="start"/>
              <w:rPr>
                <w:b/>
                <w:szCs w:val="26"/>
                <w:u w:val="single"/>
              </w:rPr>
            </w:pPr>
            <w:r>
              <w:rPr>
                <w:sz w:val="20"/>
              </w:rPr>
              <w:t>As per Specimen User Manual IBTS</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Referred to IBTS</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COLDAGGS</w:t>
            </w:r>
          </w:p>
        </w:tc>
      </w:tr>
      <w:tr>
        <w:trPr>
          <w:trHeight w:val="1917"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Rh D grouping for Living donor and H&amp;I</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0"/>
              </w:rPr>
            </w:pPr>
            <w:r>
              <w:rPr>
                <w:sz w:val="20"/>
              </w:rPr>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Ext Blood Group</w:t>
            </w:r>
          </w:p>
        </w:tc>
      </w:tr>
    </w:tbl>
    <w:p>
      <w:pPr>
        <w:pStyle w:val="Heading3"/>
        <w:widowControl w:val="false"/>
        <w:numPr>
          <w:ilvl w:val="2"/>
          <w:numId w:val="16"/>
        </w:numPr>
        <w:tabs>
          <w:tab w:val="left" w:pos="1134" w:leader="none"/>
          <w:tab w:val="left" w:pos="1854" w:leader="none"/>
        </w:tabs>
        <w:bidi w:val="0"/>
        <w:spacing w:lineRule="auto" w:line="240"/>
        <w:ind w:start="720" w:end="0" w:hanging="720"/>
        <w:jc w:val="start"/>
        <w:rPr>
          <w:lang w:val="en-IE"/>
        </w:rPr>
      </w:pPr>
      <w:bookmarkStart w:id="75" w:name="_Toc196476647"/>
      <w:bookmarkEnd w:id="75"/>
      <w:r>
        <w:rPr>
          <w:rFonts w:eastAsia="Andale Sans UI"/>
          <w:lang w:val="en-IE" w:eastAsia="en-GB"/>
        </w:rPr>
        <w:t>Blood Components/Products Available</w:t>
      </w:r>
    </w:p>
    <w:tbl>
      <w:tblPr>
        <w:tblW w:w="14742" w:type="dxa"/>
        <w:jc w:val="start"/>
        <w:tblInd w:w="539" w:type="dxa"/>
        <w:tblLayout w:type="fixed"/>
        <w:tblCellMar>
          <w:top w:w="0" w:type="dxa"/>
          <w:start w:w="108" w:type="dxa"/>
          <w:bottom w:w="0" w:type="dxa"/>
          <w:end w:w="108" w:type="dxa"/>
        </w:tblCellMar>
      </w:tblPr>
      <w:tblGrid>
        <w:gridCol w:w="2693"/>
        <w:gridCol w:w="4819"/>
        <w:gridCol w:w="7230"/>
      </w:tblGrid>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Power chart Mnemonic</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Turnaround Time</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Comment</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Red Blood Cells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With valid TS: 15 mins to 3hours *</w:t>
            </w:r>
          </w:p>
          <w:p>
            <w:pPr>
              <w:pStyle w:val="Normal"/>
              <w:widowControl w:val="false"/>
              <w:shd w:fill="FFFFFF"/>
              <w:tabs>
                <w:tab w:val="clear" w:pos="709"/>
              </w:tabs>
              <w:bidi w:val="0"/>
              <w:spacing w:lineRule="auto" w:line="240"/>
              <w:jc w:val="start"/>
              <w:rPr>
                <w:b/>
                <w:szCs w:val="26"/>
                <w:u w:val="single"/>
              </w:rPr>
            </w:pPr>
            <w:r>
              <w:rPr>
                <w:kern w:val="0"/>
                <w:sz w:val="20"/>
              </w:rPr>
              <w:t>From receipt of TS: up to 4 hours*</w:t>
            </w:r>
          </w:p>
          <w:p>
            <w:pPr>
              <w:pStyle w:val="Normal"/>
              <w:widowControl w:val="false"/>
              <w:shd w:fill="FFFFFF"/>
              <w:tabs>
                <w:tab w:val="clear" w:pos="709"/>
              </w:tabs>
              <w:bidi w:val="0"/>
              <w:spacing w:lineRule="auto" w:line="240"/>
              <w:jc w:val="start"/>
              <w:rPr>
                <w:b/>
                <w:szCs w:val="26"/>
                <w:u w:val="single"/>
              </w:rPr>
            </w:pPr>
            <w:r>
              <w:rPr>
                <w:kern w:val="0"/>
                <w:sz w:val="20"/>
              </w:rPr>
              <w:t>Emergency</w:t>
            </w:r>
          </w:p>
          <w:p>
            <w:pPr>
              <w:pStyle w:val="Normal"/>
              <w:widowControl w:val="false"/>
              <w:numPr>
                <w:ilvl w:val="0"/>
                <w:numId w:val="18"/>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Uncrossmatched RC: &lt;10 mins</w:t>
            </w:r>
          </w:p>
          <w:p>
            <w:pPr>
              <w:pStyle w:val="Normal"/>
              <w:widowControl w:val="false"/>
              <w:numPr>
                <w:ilvl w:val="0"/>
                <w:numId w:val="18"/>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Crossmatched RC: 60 min from receipt of GS*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Frozen Plasma</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40min to 3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Platelete Concentrate</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15mins to 12hours **</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The blood bank strives to maintain 2 stock platelets at all times for emergency issue. However this depends on demand and supply.</w:t>
            </w:r>
          </w:p>
          <w:p>
            <w:pPr>
              <w:pStyle w:val="Normal"/>
              <w:widowControl w:val="false"/>
              <w:tabs>
                <w:tab w:val="clear" w:pos="709"/>
              </w:tabs>
              <w:bidi w:val="0"/>
              <w:spacing w:lineRule="auto" w:line="240"/>
              <w:jc w:val="start"/>
              <w:rPr>
                <w:b/>
                <w:szCs w:val="26"/>
                <w:u w:val="single"/>
              </w:rPr>
            </w:pPr>
            <w:r>
              <w:rPr>
                <w:kern w:val="0"/>
                <w:sz w:val="20"/>
              </w:rPr>
              <w:t>Non-emergency orders should be placed prior to 14:00 hrs during routine working hours and will be available from 16:30 hrs the same day and before 22:00 hrs for approx. 11am next day delivery.</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Fibrinogen Product</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Albumin 5%</w:t>
            </w:r>
          </w:p>
          <w:p>
            <w:pPr>
              <w:pStyle w:val="Normal"/>
              <w:widowControl w:val="false"/>
              <w:tabs>
                <w:tab w:val="clear" w:pos="709"/>
              </w:tabs>
              <w:bidi w:val="0"/>
              <w:spacing w:lineRule="auto" w:line="240"/>
              <w:jc w:val="start"/>
              <w:rPr>
                <w:b/>
                <w:szCs w:val="26"/>
                <w:u w:val="single"/>
              </w:rPr>
            </w:pPr>
            <w:r>
              <w:rPr>
                <w:kern w:val="0"/>
                <w:sz w:val="24"/>
                <w:szCs w:val="24"/>
              </w:rPr>
              <w:t>Albumin 20%</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Factor Concentrates</w:t>
            </w:r>
          </w:p>
          <w:p>
            <w:pPr>
              <w:pStyle w:val="ListParagraph"/>
              <w:widowControl w:val="false"/>
              <w:numPr>
                <w:ilvl w:val="0"/>
                <w:numId w:val="17"/>
              </w:numPr>
              <w:tabs>
                <w:tab w:val="clear" w:pos="709"/>
              </w:tabs>
              <w:bidi w:val="0"/>
              <w:spacing w:lineRule="auto" w:line="240"/>
              <w:jc w:val="start"/>
              <w:rPr>
                <w:b/>
                <w:szCs w:val="26"/>
                <w:u w:val="single"/>
              </w:rPr>
            </w:pPr>
            <w:r>
              <w:rPr>
                <w:kern w:val="0"/>
                <w:sz w:val="24"/>
                <w:szCs w:val="24"/>
                <w:lang w:bidi="ar-SA"/>
              </w:rPr>
              <w:t>Novoseven</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 xml:space="preserve">Factor </w:t>
            </w:r>
            <w:r>
              <w:rPr>
                <w:kern w:val="0"/>
                <w:sz w:val="20"/>
                <w:shd w:fill="D9D9D9" w:val="clear"/>
                <w:lang w:bidi="ar-SA"/>
              </w:rPr>
              <w:t>VIII (Altuvoct and Elocta)</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vWF</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Factor IX</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Prpthrombin Concentrate</w:t>
            </w:r>
          </w:p>
          <w:p>
            <w:pPr>
              <w:pStyle w:val="ListParagraph"/>
              <w:widowControl w:val="false"/>
              <w:numPr>
                <w:ilvl w:val="0"/>
                <w:numId w:val="17"/>
              </w:numPr>
              <w:tabs>
                <w:tab w:val="clear" w:pos="709"/>
              </w:tabs>
              <w:bidi w:val="0"/>
              <w:spacing w:lineRule="auto" w:line="240"/>
              <w:jc w:val="start"/>
              <w:rPr>
                <w:b/>
                <w:szCs w:val="26"/>
                <w:u w:val="single"/>
              </w:rPr>
            </w:pPr>
            <w:r>
              <w:rPr>
                <w:kern w:val="0"/>
                <w:sz w:val="20"/>
                <w:lang w:bidi="ar-SA"/>
              </w:rPr>
              <w:t>Factor XIII</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 mins to 60 mins</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p>
            <w:pPr>
              <w:pStyle w:val="Normal"/>
              <w:widowControl w:val="false"/>
              <w:tabs>
                <w:tab w:val="clear" w:pos="709"/>
              </w:tabs>
              <w:bidi w:val="0"/>
              <w:spacing w:lineRule="auto" w:line="240"/>
              <w:jc w:val="start"/>
              <w:rPr>
                <w:kern w:val="0"/>
                <w:sz w:val="20"/>
              </w:rPr>
            </w:pPr>
            <w:r>
              <w:rPr>
                <w:kern w:val="0"/>
                <w:sz w:val="20"/>
              </w:rPr>
            </w:r>
          </w:p>
          <w:p>
            <w:pPr>
              <w:pStyle w:val="Normal"/>
              <w:widowControl w:val="false"/>
              <w:shd w:fill="D9D9D9"/>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Other</w:t>
            </w:r>
          </w:p>
          <w:p>
            <w:pPr>
              <w:pStyle w:val="Normal"/>
              <w:widowControl w:val="false"/>
              <w:shd w:fill="FFFFFF"/>
              <w:tabs>
                <w:tab w:val="clear" w:pos="709"/>
              </w:tabs>
              <w:bidi w:val="0"/>
              <w:spacing w:lineRule="auto" w:line="240"/>
              <w:jc w:val="start"/>
              <w:rPr>
                <w:b/>
                <w:szCs w:val="26"/>
                <w:u w:val="single"/>
              </w:rPr>
            </w:pPr>
            <w:r>
              <w:rPr>
                <w:kern w:val="0"/>
                <w:sz w:val="20"/>
              </w:rPr>
              <w:t>Anti-D</w:t>
            </w:r>
          </w:p>
          <w:p>
            <w:pPr>
              <w:pStyle w:val="Normal"/>
              <w:widowControl w:val="false"/>
              <w:shd w:fill="FFFFFF"/>
              <w:tabs>
                <w:tab w:val="clear" w:pos="709"/>
              </w:tabs>
              <w:bidi w:val="0"/>
              <w:spacing w:lineRule="auto" w:line="240"/>
              <w:jc w:val="start"/>
              <w:rPr>
                <w:b/>
                <w:szCs w:val="26"/>
                <w:u w:val="single"/>
              </w:rPr>
            </w:pPr>
            <w:r>
              <w:rPr>
                <w:kern w:val="0"/>
                <w:sz w:val="20"/>
              </w:rPr>
              <w:t>Anti-Thromin</w:t>
            </w:r>
          </w:p>
          <w:p>
            <w:pPr>
              <w:pStyle w:val="Normal"/>
              <w:widowControl w:val="false"/>
              <w:tabs>
                <w:tab w:val="clear" w:pos="709"/>
              </w:tabs>
              <w:bidi w:val="0"/>
              <w:spacing w:lineRule="auto" w:line="240"/>
              <w:jc w:val="start"/>
              <w:rPr>
                <w:b/>
                <w:szCs w:val="26"/>
                <w:u w:val="single"/>
              </w:rPr>
            </w:pPr>
            <w:r>
              <w:rPr>
                <w:kern w:val="0"/>
                <w:sz w:val="20"/>
              </w:rPr>
              <w:t>Granulocytes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60min to 4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tc>
      </w:tr>
    </w:tbl>
    <w:p>
      <w:pPr>
        <w:pStyle w:val="Normal"/>
        <w:widowControl w:val="false"/>
        <w:bidi w:val="0"/>
        <w:spacing w:lineRule="auto" w:line="240"/>
        <w:ind w:start="720" w:end="0" w:hanging="0"/>
        <w:jc w:val="start"/>
        <w:rPr>
          <w:sz w:val="24"/>
          <w:szCs w:val="24"/>
        </w:rPr>
      </w:pPr>
      <w:r>
        <w:rPr>
          <w:sz w:val="24"/>
          <w:szCs w:val="24"/>
        </w:rPr>
      </w:r>
    </w:p>
    <w:p>
      <w:pPr>
        <w:pStyle w:val="Normal"/>
        <w:bidi w:val="0"/>
        <w:spacing w:lineRule="auto" w:line="240"/>
        <w:ind w:start="720" w:end="0" w:hanging="0"/>
        <w:jc w:val="start"/>
        <w:rPr>
          <w:b/>
          <w:szCs w:val="26"/>
          <w:u w:val="single"/>
        </w:rPr>
      </w:pPr>
      <w:r>
        <w:rPr>
          <w:sz w:val="24"/>
          <w:szCs w:val="24"/>
        </w:rPr>
        <w:t>*Turnaround Time provided the patient has no Antibodies or blood group discrepancies. **Availability is dependent on national supply</w:t>
      </w:r>
    </w:p>
    <w:p>
      <w:pPr>
        <w:pStyle w:val="Normal"/>
        <w:bidi w:val="0"/>
        <w:spacing w:lineRule="auto" w:line="240"/>
        <w:ind w:start="720" w:end="0" w:hanging="0"/>
        <w:jc w:val="start"/>
        <w:rPr>
          <w:b/>
          <w:szCs w:val="26"/>
          <w:u w:val="single"/>
        </w:rPr>
      </w:pPr>
      <w:r>
        <w:rPr>
          <w:sz w:val="24"/>
          <w:szCs w:val="24"/>
        </w:rPr>
        <w:t>Specimens referred to the IBTS for antibody investigation, serological crossmatch or/and Cold Agglutinins, the results of these tests are not covered by the scope of Beaumont Hospital Blood Bank Department ISO15189 accreditation</w:t>
      </w:r>
    </w:p>
    <w:p>
      <w:pPr>
        <w:sectPr>
          <w:headerReference w:type="default" r:id="rId18"/>
          <w:footerReference w:type="default" r:id="rId19"/>
          <w:type w:val="nextPage"/>
          <w:pgSz w:w="11906" w:h="16838"/>
          <w:pgMar w:left="1418" w:right="1440" w:gutter="0" w:header="720" w:top="1134" w:footer="720" w:bottom="777"/>
          <w:pgNumType w:fmt="decimal"/>
          <w:formProt w:val="false"/>
          <w:textDirection w:val="lrTb"/>
          <w:docGrid w:type="default" w:linePitch="312" w:charSpace="4294961151"/>
        </w:sectPr>
      </w:pPr>
    </w:p>
    <w:p>
      <w:pPr>
        <w:pStyle w:val="Normal"/>
        <w:bidi w:val="0"/>
        <w:spacing w:lineRule="auto" w:line="240"/>
        <w:ind w:start="720" w:end="0" w:hanging="0"/>
        <w:jc w:val="start"/>
        <w:rPr>
          <w:iCs/>
          <w:szCs w:val="28"/>
        </w:rPr>
      </w:pPr>
      <w:r>
        <w:rPr>
          <w:iCs/>
          <w:szCs w:val="28"/>
        </w:rPr>
      </w:r>
    </w:p>
    <w:p>
      <w:pPr>
        <w:pStyle w:val="Normal"/>
        <w:keepNext w:val="true"/>
        <w:widowControl w:val="false"/>
        <w:numPr>
          <w:ilvl w:val="2"/>
          <w:numId w:val="16"/>
        </w:numPr>
        <w:tabs>
          <w:tab w:val="clear" w:pos="709"/>
          <w:tab w:val="left" w:pos="1790" w:leader="none"/>
          <w:tab w:val="left" w:pos="2860" w:leader="none"/>
        </w:tabs>
        <w:bidi w:val="0"/>
        <w:spacing w:lineRule="auto" w:line="360" w:before="240" w:after="120"/>
        <w:ind w:start="1430" w:end="0" w:hanging="0"/>
        <w:jc w:val="start"/>
        <w:rPr>
          <w:lang w:val="en-US"/>
        </w:rPr>
      </w:pPr>
      <w:r>
        <w:rPr>
          <w:rFonts w:eastAsia="Andale Sans UI" w:cs="Arial" w:ascii="Times New Roman Bold" w:hAnsi="Times New Roman Bold"/>
          <w:b/>
          <w:bCs/>
          <w:i/>
          <w:szCs w:val="26"/>
          <w:lang w:val="en-US" w:eastAsia="en-GB"/>
        </w:rPr>
        <w:t xml:space="preserve"> </w:t>
      </w:r>
      <w:bookmarkStart w:id="76" w:name="_Toc196476648"/>
      <w:bookmarkStart w:id="77" w:name="_Toc158999442"/>
      <w:r>
        <w:rPr>
          <w:rFonts w:eastAsia="Andale Sans UI" w:cs="Arial" w:ascii="Times New Roman Bold" w:hAnsi="Times New Roman Bold"/>
          <w:b/>
          <w:bCs/>
          <w:i/>
          <w:szCs w:val="26"/>
          <w:lang w:val="en-US" w:eastAsia="en-GB"/>
        </w:rPr>
        <w:t>Specialised Tests Referred to the National Histocompatibility and Immunogenetics Reference Laboratory (NHIRL)</w:t>
      </w:r>
    </w:p>
    <w:tbl>
      <w:tblPr>
        <w:tblW w:w="9817" w:type="dxa"/>
        <w:jc w:val="center"/>
        <w:tblInd w:w="0" w:type="dxa"/>
        <w:tblLayout w:type="fixed"/>
        <w:tblCellMar>
          <w:top w:w="0" w:type="dxa"/>
          <w:start w:w="28" w:type="dxa"/>
          <w:bottom w:w="0" w:type="dxa"/>
          <w:end w:w="28" w:type="dxa"/>
        </w:tblCellMar>
      </w:tblPr>
      <w:tblGrid>
        <w:gridCol w:w="5388"/>
        <w:gridCol w:w="2216"/>
        <w:gridCol w:w="2213"/>
      </w:tblGrid>
      <w:tr>
        <w:trPr>
          <w:trHeight w:val="458" w:hRule="atLeast"/>
        </w:trPr>
        <w:tc>
          <w:tcPr>
            <w:tcW w:w="5388"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Test Referred</w:t>
            </w:r>
          </w:p>
        </w:tc>
        <w:tc>
          <w:tcPr>
            <w:tcW w:w="2216"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b/>
                <w:sz w:val="24"/>
                <w:szCs w:val="24"/>
              </w:rPr>
              <w:t>Power chart Mnemonic</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Specimen Required</w:t>
            </w:r>
          </w:p>
        </w:tc>
      </w:tr>
      <w:tr>
        <w:trPr>
          <w:trHeight w:val="358" w:hRule="atLeast"/>
        </w:trPr>
        <w:tc>
          <w:tcPr>
            <w:tcW w:w="5388"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sv-SE"/>
              </w:rPr>
            </w:pPr>
            <w:r>
              <w:rPr>
                <w:szCs w:val="28"/>
                <w:lang w:val="sv-SE"/>
              </w:rPr>
              <w:t>Human Leucocyte Antigen (HLA Typing) for Matcheded platelets</w:t>
            </w:r>
          </w:p>
        </w:tc>
        <w:tc>
          <w:tcPr>
            <w:tcW w:w="2216"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HLA typing for matched platetes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r>
        <w:trPr>
          <w:trHeight w:val="474" w:hRule="atLeast"/>
        </w:trPr>
        <w:tc>
          <w:tcPr>
            <w:tcW w:w="5388"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szCs w:val="28"/>
              </w:rPr>
              <w:t>Screening for Platelet Allo-antibodies</w:t>
            </w:r>
          </w:p>
        </w:tc>
        <w:tc>
          <w:tcPr>
            <w:tcW w:w="2216"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platelet allo Ab investigation</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clotted</w:t>
            </w:r>
          </w:p>
        </w:tc>
      </w:tr>
      <w:tr>
        <w:trPr>
          <w:trHeight w:val="458" w:hRule="atLeast"/>
        </w:trPr>
        <w:tc>
          <w:tcPr>
            <w:tcW w:w="5388"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nb-NO"/>
              </w:rPr>
            </w:pPr>
            <w:r>
              <w:rPr>
                <w:szCs w:val="28"/>
                <w:lang w:val="nb-NO"/>
              </w:rPr>
              <w:t>Human Platelet Antigen Typing (HPA) (Genotyping)</w:t>
            </w:r>
          </w:p>
        </w:tc>
        <w:tc>
          <w:tcPr>
            <w:tcW w:w="2216"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HPA genotyping</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5mls EDTA</w:t>
            </w:r>
          </w:p>
        </w:tc>
      </w:tr>
      <w:tr>
        <w:trPr>
          <w:trHeight w:val="458" w:hRule="atLeast"/>
        </w:trPr>
        <w:tc>
          <w:tcPr>
            <w:tcW w:w="5388"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Platelet Refractoriness</w:t>
            </w:r>
          </w:p>
        </w:tc>
        <w:tc>
          <w:tcPr>
            <w:tcW w:w="2216"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Ref Lab platelet refractoriness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4"/>
              </w:rPr>
              <w:t>5-10mls EDTA and Citrate</w:t>
            </w:r>
          </w:p>
        </w:tc>
      </w:tr>
      <w:tr>
        <w:trPr>
          <w:trHeight w:val="458" w:hRule="atLeast"/>
        </w:trPr>
        <w:tc>
          <w:tcPr>
            <w:tcW w:w="5388"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HLA Class 1&amp;11 typing of transplant patients and family for BMT</w:t>
            </w:r>
          </w:p>
        </w:tc>
        <w:tc>
          <w:tcPr>
            <w:tcW w:w="2216"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Not on Powerchart</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bl>
    <w:p>
      <w:pPr>
        <w:pStyle w:val="Normal"/>
        <w:widowControl w:val="false"/>
        <w:shd w:fill="D9D9D9"/>
        <w:bidi w:val="0"/>
        <w:spacing w:lineRule="auto" w:line="240"/>
        <w:jc w:val="start"/>
        <w:rPr>
          <w:b/>
          <w:szCs w:val="26"/>
          <w:u w:val="single"/>
        </w:rPr>
      </w:pPr>
      <w:r>
        <w:rPr>
          <w:b/>
          <w:szCs w:val="28"/>
        </w:rPr>
        <w:t xml:space="preserve">These samaples must be accompanied by form BT255-6 for reference lab send out. </w:t>
      </w:r>
    </w:p>
    <w:p>
      <w:pPr>
        <w:pStyle w:val="Normal"/>
        <w:bidi w:val="0"/>
        <w:spacing w:lineRule="auto" w:line="240"/>
        <w:jc w:val="start"/>
        <w:rPr>
          <w:b/>
          <w:szCs w:val="26"/>
          <w:u w:val="single"/>
        </w:rPr>
      </w:pPr>
      <w:r>
        <w:rPr>
          <w:b/>
          <w:szCs w:val="26"/>
          <w:u w:val="single"/>
        </w:rPr>
      </w:r>
    </w:p>
    <w:p>
      <w:pPr>
        <w:pStyle w:val="Normal"/>
        <w:bidi w:val="0"/>
        <w:spacing w:lineRule="auto" w:line="240" w:before="0" w:after="0"/>
        <w:jc w:val="start"/>
        <w:rPr>
          <w:szCs w:val="28"/>
        </w:rPr>
      </w:pPr>
      <w:r>
        <w:rPr>
          <w:szCs w:val="28"/>
        </w:rPr>
      </w:r>
    </w:p>
    <w:p>
      <w:pPr>
        <w:pStyle w:val="Normal"/>
        <w:bidi w:val="0"/>
        <w:spacing w:lineRule="auto" w:line="240"/>
        <w:jc w:val="start"/>
        <w:rPr>
          <w:b/>
          <w:szCs w:val="26"/>
          <w:u w:val="single"/>
        </w:rPr>
      </w:pPr>
      <w:r>
        <w:rPr>
          <w:b/>
          <w:szCs w:val="26"/>
          <w:u w:val="single"/>
        </w:rPr>
      </w:r>
    </w:p>
    <w:p>
      <w:pPr>
        <w:pStyle w:val="Normal"/>
        <w:shd w:fill="FFFFFF"/>
        <w:bidi w:val="0"/>
        <w:spacing w:lineRule="auto" w:line="240" w:before="0" w:after="0"/>
        <w:jc w:val="center"/>
        <w:rPr>
          <w:b/>
          <w:szCs w:val="26"/>
          <w:u w:val="single"/>
        </w:rPr>
      </w:pPr>
      <w:r>
        <w:rPr>
          <w:b/>
          <w:szCs w:val="26"/>
          <w:u w:val="single"/>
        </w:rPr>
      </w:r>
    </w:p>
    <w:p>
      <w:pPr>
        <w:pStyle w:val="Normal"/>
        <w:bidi w:val="0"/>
        <w:spacing w:lineRule="auto" w:line="240"/>
        <w:jc w:val="start"/>
        <w:rPr>
          <w:b/>
          <w:szCs w:val="26"/>
          <w:u w:val="single"/>
        </w:rPr>
      </w:pPr>
      <w:r>
        <w:rPr>
          <w:b/>
          <w:szCs w:val="26"/>
          <w:u w:val="single"/>
        </w:rPr>
        <w:t>HAEMATOLOGY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MICROBIOLOGY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Table 1</w:t>
      </w:r>
      <w:r>
        <w:rPr>
          <w:b/>
          <w:szCs w:val="26"/>
        </w:rPr>
        <w:t>:</w:t>
      </w:r>
      <w:r>
        <w:rPr>
          <w:szCs w:val="26"/>
        </w:rPr>
        <w:t xml:space="preserve"> Approved urine, faeces and respiratory sample containers for microbiology investigations</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016" w:type="dxa"/>
        <w:jc w:val="start"/>
        <w:tblInd w:w="118" w:type="dxa"/>
        <w:tblLayout w:type="fixed"/>
        <w:tblCellMar>
          <w:top w:w="0" w:type="dxa"/>
          <w:start w:w="108" w:type="dxa"/>
          <w:bottom w:w="0" w:type="dxa"/>
          <w:end w:w="108" w:type="dxa"/>
        </w:tblCellMar>
      </w:tblPr>
      <w:tblGrid>
        <w:gridCol w:w="2235"/>
        <w:gridCol w:w="3775"/>
        <w:gridCol w:w="3006"/>
      </w:tblGrid>
      <w:tr>
        <w:trPr/>
        <w:tc>
          <w:tcPr>
            <w:tcW w:w="223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Department</w:t>
            </w:r>
          </w:p>
        </w:tc>
        <w:tc>
          <w:tcPr>
            <w:tcW w:w="377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Test</w:t>
            </w:r>
          </w:p>
        </w:tc>
        <w:tc>
          <w:tcPr>
            <w:tcW w:w="3006"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Container</w:t>
            </w:r>
          </w:p>
        </w:tc>
      </w:tr>
      <w:tr>
        <w:trPr>
          <w:trHeight w:val="3034"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before="0" w:after="0"/>
              <w:jc w:val="start"/>
              <w:rPr>
                <w:rFonts w:ascii="Calibri" w:hAnsi="Calibri" w:cs="Calibri"/>
                <w:b/>
                <w:sz w:val="18"/>
                <w:szCs w:val="18"/>
              </w:rPr>
            </w:pPr>
            <w:r>
              <w:rPr>
                <w:rFonts w:cs="Calibri" w:ascii="Calibri" w:hAnsi="Calibri"/>
                <w:b/>
                <w:sz w:val="18"/>
                <w:szCs w:val="18"/>
              </w:rPr>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b/>
                <w:szCs w:val="26"/>
                <w:u w:val="single"/>
              </w:rPr>
            </w:pPr>
            <w:r>
              <w:rPr>
                <w:rFonts w:cs="Calibri" w:ascii="Calibri" w:hAnsi="Calibri"/>
                <w:b/>
                <w:sz w:val="18"/>
                <w:szCs w:val="18"/>
              </w:rPr>
              <w:t>Non-Urine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Eg:</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-Faeces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-Sputum/Respiratory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-Sterile fluids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-Tips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-Theatre samples/miscellaneous</w:t>
            </w:r>
          </w:p>
          <w:p>
            <w:pPr>
              <w:pStyle w:val="Normal"/>
              <w:widowControl w:val="false"/>
              <w:tabs>
                <w:tab w:val="clear" w:pos="709"/>
              </w:tabs>
              <w:bidi w:val="0"/>
              <w:spacing w:lineRule="auto" w:line="240" w:before="120" w:after="0"/>
              <w:jc w:val="start"/>
              <w:rPr>
                <w:b/>
                <w:szCs w:val="26"/>
                <w:u w:val="single"/>
              </w:rPr>
            </w:pPr>
            <w:r>
              <w:rPr>
                <w:sz w:val="18"/>
                <w:szCs w:val="18"/>
              </w:rPr>
              <w:t>Ref. 75.9922.745</w:t>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drawing>
                <wp:inline distT="0" distB="0" distL="0" distR="0">
                  <wp:extent cx="1196340" cy="1618615"/>
                  <wp:effectExtent l="0" t="0" r="0" b="0"/>
                  <wp:docPr id="1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title=""/>
                          <pic:cNvPicPr>
                            <a:picLocks noChangeAspect="1" noChangeArrowheads="1"/>
                          </pic:cNvPicPr>
                        </pic:nvPicPr>
                        <pic:blipFill>
                          <a:blip r:embed="rId20"/>
                          <a:stretch>
                            <a:fillRect/>
                          </a:stretch>
                        </pic:blipFill>
                        <pic:spPr bwMode="auto">
                          <a:xfrm>
                            <a:off x="0" y="0"/>
                            <a:ext cx="1196340" cy="161861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&amp;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hCG (pregnancy test)</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-Urinary Legionella/ Streptococcal Antigen</w:t>
            </w:r>
          </w:p>
          <w:p>
            <w:pPr>
              <w:pStyle w:val="Normal"/>
              <w:widowControl w:val="false"/>
              <w:tabs>
                <w:tab w:val="clear" w:pos="709"/>
              </w:tabs>
              <w:bidi w:val="0"/>
              <w:spacing w:lineRule="auto" w:line="240"/>
              <w:jc w:val="start"/>
              <w:rPr>
                <w:b/>
                <w:szCs w:val="26"/>
                <w:u w:val="single"/>
              </w:rPr>
            </w:pPr>
            <w:r>
              <w:rPr>
                <w:bCs/>
                <w:color w:val="000000"/>
                <w:sz w:val="18"/>
                <w:szCs w:val="18"/>
              </w:rPr>
              <w:t>Sarstedt Product reference 10.252)</w:t>
            </w:r>
          </w:p>
          <w:p>
            <w:pPr>
              <w:pStyle w:val="Normal"/>
              <w:widowControl w:val="false"/>
              <w:tabs>
                <w:tab w:val="clear" w:pos="709"/>
              </w:tabs>
              <w:bidi w:val="0"/>
              <w:spacing w:lineRule="auto" w:line="240" w:before="0" w:after="0"/>
              <w:jc w:val="start"/>
              <w:rPr>
                <w:rFonts w:ascii="Calibri" w:hAnsi="Calibri" w:cs="Calibri"/>
                <w:sz w:val="18"/>
                <w:szCs w:val="18"/>
              </w:rPr>
            </w:pPr>
            <w:r>
              <w:rPr>
                <w:rFonts w:cs="Calibri" w:ascii="Calibri" w:hAnsi="Calibri"/>
                <w:sz w:val="18"/>
                <w:szCs w:val="18"/>
              </w:rPr>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drawing>
                <wp:inline distT="0" distB="0" distL="0" distR="0">
                  <wp:extent cx="359410" cy="1663065"/>
                  <wp:effectExtent l="0" t="0" r="0" b="0"/>
                  <wp:docPr id="1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itle=""/>
                          <pic:cNvPicPr>
                            <a:picLocks noChangeAspect="1" noChangeArrowheads="1"/>
                          </pic:cNvPicPr>
                        </pic:nvPicPr>
                        <pic:blipFill>
                          <a:blip r:embed="rId21"/>
                          <a:stretch>
                            <a:fillRect/>
                          </a:stretch>
                        </pic:blipFill>
                        <pic:spPr bwMode="auto">
                          <a:xfrm>
                            <a:off x="0" y="0"/>
                            <a:ext cx="359410" cy="166306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and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Catheter Stream Urines (CSU) only</w:t>
            </w:r>
          </w:p>
        </w:tc>
        <w:tc>
          <w:tcPr>
            <w:tcW w:w="300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before="0" w:after="0"/>
              <w:jc w:val="center"/>
              <w:rPr>
                <w:b/>
                <w:szCs w:val="26"/>
                <w:u w:val="single"/>
              </w:rPr>
            </w:pPr>
            <w:r>
              <w:rPr/>
              <w:drawing>
                <wp:inline distT="0" distB="0" distL="0" distR="0">
                  <wp:extent cx="1325880" cy="1866265"/>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22"/>
                          <a:stretch>
                            <a:fillRect/>
                          </a:stretch>
                        </pic:blipFill>
                        <pic:spPr bwMode="auto">
                          <a:xfrm>
                            <a:off x="0" y="0"/>
                            <a:ext cx="1325880" cy="1866265"/>
                          </a:xfrm>
                          <a:prstGeom prst="rect">
                            <a:avLst/>
                          </a:prstGeom>
                        </pic:spPr>
                      </pic:pic>
                    </a:graphicData>
                  </a:graphic>
                </wp:inline>
              </w:drawing>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2: Specimen acceptance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746" w:type="dxa"/>
        <w:jc w:val="start"/>
        <w:tblInd w:w="118" w:type="dxa"/>
        <w:tblLayout w:type="fixed"/>
        <w:tblCellMar>
          <w:top w:w="0" w:type="dxa"/>
          <w:start w:w="108" w:type="dxa"/>
          <w:bottom w:w="0" w:type="dxa"/>
          <w:end w:w="108" w:type="dxa"/>
        </w:tblCellMar>
      </w:tblPr>
      <w:tblGrid>
        <w:gridCol w:w="1101"/>
        <w:gridCol w:w="2267"/>
        <w:gridCol w:w="1588"/>
        <w:gridCol w:w="1275"/>
        <w:gridCol w:w="1843"/>
        <w:gridCol w:w="1671"/>
      </w:tblGrid>
      <w:tr>
        <w:trPr>
          <w:trHeight w:val="113" w:hRule="atLeast"/>
          <w:cantSplit w:val="true"/>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Urine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Urine culture with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 with red sticker on the lid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Exception:</w:t>
            </w:r>
            <w:r>
              <w:rPr>
                <w:sz w:val="18"/>
                <w:szCs w:val="18"/>
                <w:lang w:val="en-US"/>
              </w:rPr>
              <w:t>Nephrostomy and Theatre urines always processed</w:t>
            </w:r>
          </w:p>
        </w:tc>
      </w:tr>
      <w:tr>
        <w:trPr>
          <w:trHeight w:val="918"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HCG Pregnancy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Legionella urinary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rHeight w:val="964"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Streptococcus pneumoniae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hour without the addition of undiluted formalin</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rHeight w:val="192" w:hRule="atLeast"/>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Faeces</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and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Rotavirus/Adenovirus combi test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without addition of 10% formalin-water</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Travel details essential or CMT Request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Helicobacter pylori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 RNA</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Respiratory</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Respiratory culture</w:t>
            </w:r>
          </w:p>
          <w:p>
            <w:pPr>
              <w:pStyle w:val="Normal"/>
              <w:widowControl w:val="false"/>
              <w:tabs>
                <w:tab w:val="clear" w:pos="709"/>
              </w:tabs>
              <w:bidi w:val="0"/>
              <w:spacing w:lineRule="auto" w:line="240"/>
              <w:jc w:val="center"/>
              <w:rPr>
                <w:lang w:val="en-US"/>
              </w:rPr>
            </w:pPr>
            <w:r>
              <w:rPr>
                <w:sz w:val="18"/>
                <w:szCs w:val="18"/>
                <w:lang w:val="en-US"/>
              </w:rPr>
              <w:t>BAL/Sputum/TASP/EBUS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CF specimens can be processed &gt;48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Galactomannan-BAL</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5 days at 4℃</w:t>
            </w:r>
          </w:p>
          <w:p>
            <w:pPr>
              <w:pStyle w:val="Normal"/>
              <w:widowControl w:val="false"/>
              <w:tabs>
                <w:tab w:val="clear" w:pos="709"/>
              </w:tabs>
              <w:bidi w:val="0"/>
              <w:spacing w:lineRule="auto" w:line="240" w:before="120" w:after="0"/>
              <w:jc w:val="center"/>
              <w:rPr>
                <w:lang w:val="en-US"/>
              </w:rPr>
            </w:pPr>
            <w:r>
              <w:rPr>
                <w:sz w:val="18"/>
                <w:szCs w:val="18"/>
                <w:lang w:val="en-US"/>
              </w:rPr>
              <w:t>14 days at -20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SARS-CoV-2/Influenza A/B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 Transplant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Processed immediately on receipt</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Fungal culture</w:t>
            </w:r>
          </w:p>
          <w:p>
            <w:pPr>
              <w:pStyle w:val="Normal"/>
              <w:widowControl w:val="false"/>
              <w:tabs>
                <w:tab w:val="clear" w:pos="709"/>
              </w:tabs>
              <w:bidi w:val="0"/>
              <w:spacing w:lineRule="auto" w:line="240"/>
              <w:jc w:val="center"/>
              <w:rPr>
                <w:lang w:val="en-US"/>
              </w:rPr>
            </w:pPr>
            <w:r>
              <w:rPr>
                <w:sz w:val="18"/>
                <w:szCs w:val="18"/>
                <w:lang w:val="en-US"/>
              </w:rPr>
              <w:t>(Skin scrapings/Nail clippings/Hair)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Dermapak</w:t>
            </w:r>
          </w:p>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Several months stored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hair specimens must contain root of the hair</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Galactomanna-Blood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5 days at 4℃</w:t>
            </w:r>
          </w:p>
          <w:p>
            <w:pPr>
              <w:pStyle w:val="Normal"/>
              <w:widowControl w:val="false"/>
              <w:tabs>
                <w:tab w:val="clear" w:pos="709"/>
              </w:tabs>
              <w:bidi w:val="0"/>
              <w:spacing w:lineRule="auto" w:line="240" w:before="120" w:after="0"/>
              <w:jc w:val="center"/>
              <w:rPr>
                <w:lang w:val="en-US"/>
              </w:rPr>
            </w:pPr>
            <w:r>
              <w:rPr>
                <w:sz w:val="18"/>
                <w:szCs w:val="18"/>
                <w:lang w:val="en-US"/>
              </w:rPr>
              <w:t>14 days at</w:t>
            </w:r>
          </w:p>
          <w:p>
            <w:pPr>
              <w:pStyle w:val="Normal"/>
              <w:widowControl w:val="false"/>
              <w:tabs>
                <w:tab w:val="clear" w:pos="709"/>
              </w:tabs>
              <w:bidi w:val="0"/>
              <w:spacing w:lineRule="auto" w:line="240" w:before="120" w:after="0"/>
              <w:jc w:val="center"/>
              <w:rPr>
                <w:lang w:val="en-US"/>
              </w:rPr>
            </w:pPr>
            <w:r>
              <w:rPr>
                <w:sz w:val="18"/>
                <w:szCs w:val="18"/>
                <w:lang w:val="en-US"/>
              </w:rPr>
              <w:t xml:space="preserve"> </w:t>
            </w:r>
            <w:r>
              <w:rPr>
                <w:sz w:val="18"/>
                <w:szCs w:val="18"/>
                <w:lang w:val="en-US"/>
              </w:rPr>
              <w:t>-20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MRSA Screen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(Nasal, Groin or Wound site)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VRE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Screen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Molecular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 xml:space="preserve">Liquid Amies eSwab </w:t>
            </w:r>
            <w:r>
              <w:rPr>
                <w:sz w:val="18"/>
                <w:szCs w:val="18"/>
                <w:lang w:val="en-US"/>
              </w:rPr>
              <w:t>(Rectal swab)</w:t>
            </w:r>
          </w:p>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with CPE Mol. Scrn orders can be accepted. In GenLab result as “See Culture”</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Swab/Wound/Eye/Ear/Throat/Mouth/Nasal/Pus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(Wound, Eye, Ear, Throat, Mouth, Nasal, Pus),NT swab (orange)For ear, nose, throat only</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Genital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(Cervical/Endocervical/Urethral/ Throat/Rectal/Pus or Discharge from penis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GC Direct plate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VCAT plate already inoculated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HVS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(HVS)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Abd Fl,C Ascitic fl,C Bile fl,C Drainage fl,Pancreatic fl,C Peritoneal fl,C Pleural fl,C Perf/Ves. Perf. Fl,C Pericardial fl,C Joint fl,C Fl/Asp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Abdominal fluid culture,Ascitic fluid cultureBile fluid culture,Drainage fluid culture,Pancreatic fluid culture,Peritoneal fluid culture,Pleural fluid culture,Perfusion fluid,Pericardial fluid culture,Joint fluid culture,Fluid/Aspirate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1 ml in 60 ml sterile container</w:t>
            </w:r>
          </w:p>
          <w:p>
            <w:pPr>
              <w:pStyle w:val="Normal"/>
              <w:widowControl w:val="false"/>
              <w:tabs>
                <w:tab w:val="clear" w:pos="709"/>
              </w:tabs>
              <w:bidi w:val="0"/>
              <w:spacing w:lineRule="auto" w:line="240"/>
              <w:jc w:val="center"/>
              <w:rPr>
                <w:lang w:val="en-US"/>
              </w:rPr>
            </w:pPr>
            <w:r>
              <w:rPr>
                <w:sz w:val="18"/>
                <w:szCs w:val="18"/>
                <w:lang w:val="en-US"/>
              </w:rPr>
              <w:t>Minimum of 2 mls in blood culture bottles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 for 60 ml sterile container</w:t>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 for blood culture bottles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PD fluid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jc w:val="center"/>
              <w:rPr>
                <w:lang w:val="en-US"/>
              </w:rPr>
            </w:pPr>
            <w:r>
              <w:rPr>
                <w:sz w:val="18"/>
                <w:szCs w:val="18"/>
                <w:lang w:val="en-US"/>
              </w:rPr>
              <w:t>Rocket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2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rHeight w:val="39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microscopy (cell count)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Theatre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Pus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Catheter Tip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4-5 cm length</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 culture &amp;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Minumum of 600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hours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“Order of collection not indicated” if received in the lab &gt;2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500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8-10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p>
            <w:pPr>
              <w:pStyle w:val="Normal"/>
              <w:widowControl w:val="false"/>
              <w:tabs>
                <w:tab w:val="clear" w:pos="709"/>
              </w:tabs>
              <w:bidi w:val="0"/>
              <w:spacing w:lineRule="auto" w:line="240"/>
              <w:jc w:val="center"/>
              <w:rPr>
                <w:lang w:val="en-US"/>
              </w:rPr>
            </w:pPr>
            <w:r>
              <w:rPr>
                <w:sz w:val="18"/>
                <w:szCs w:val="18"/>
                <w:lang w:val="en-US"/>
              </w:rPr>
              <w:t>Comment if incomplete/incorrect BC set received.</w:t>
            </w:r>
          </w:p>
          <w:p>
            <w:pPr>
              <w:pStyle w:val="Normal"/>
              <w:widowControl w:val="false"/>
              <w:tabs>
                <w:tab w:val="clear" w:pos="709"/>
              </w:tabs>
              <w:bidi w:val="0"/>
              <w:spacing w:lineRule="auto" w:line="240"/>
              <w:jc w:val="center"/>
              <w:rPr>
                <w:lang w:val="en-US"/>
              </w:rPr>
            </w:pPr>
            <w:r>
              <w:rPr>
                <w:sz w:val="18"/>
                <w:szCs w:val="18"/>
                <w:lang w:val="en-US"/>
              </w:rPr>
              <w:t>See 2.4.2 above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Blood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Mycobacterium blood culture bottle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 x 4 tubes (fill to black line on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16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MF-MIC-55 request form must be filled out with MedLIS sticker and Date &amp; time bloods taken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72 hours at 4 ℃</w:t>
            </w:r>
          </w:p>
          <w:p>
            <w:pPr>
              <w:pStyle w:val="Normal"/>
              <w:widowControl w:val="false"/>
              <w:tabs>
                <w:tab w:val="clear" w:pos="709"/>
              </w:tabs>
              <w:bidi w:val="0"/>
              <w:spacing w:lineRule="auto" w:line="240" w:before="120" w:after="0"/>
              <w:jc w:val="center"/>
              <w:rPr>
                <w:lang w:val="en-US"/>
              </w:rPr>
            </w:pPr>
            <w:r>
              <w:rPr>
                <w:sz w:val="18"/>
                <w:szCs w:val="18"/>
                <w:lang w:val="en-US"/>
              </w:rPr>
              <w:t>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72 hours at 4 ℃,Longer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Amikacin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MMUH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Adenovirus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Dispatched to NVRL</w:t>
            </w:r>
          </w:p>
          <w:p>
            <w:pPr>
              <w:pStyle w:val="Normal"/>
              <w:widowControl w:val="false"/>
              <w:tabs>
                <w:tab w:val="clear" w:pos="709"/>
              </w:tabs>
              <w:bidi w:val="0"/>
              <w:spacing w:lineRule="auto" w:line="240"/>
              <w:jc w:val="center"/>
              <w:rPr>
                <w:lang w:val="en-US"/>
              </w:rPr>
            </w:pPr>
            <w:r>
              <w:rPr>
                <w:sz w:val="18"/>
                <w:szCs w:val="18"/>
                <w:lang w:val="en-US"/>
              </w:rPr>
              <w:t>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Serology</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B Viral Load/PCR/DNA</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C PCR/Genotype/DNA/Viral Load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Beta-D-glucan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for 15 days</w:t>
            </w:r>
          </w:p>
          <w:p>
            <w:pPr>
              <w:pStyle w:val="Normal"/>
              <w:widowControl w:val="false"/>
              <w:tabs>
                <w:tab w:val="clear" w:pos="709"/>
              </w:tabs>
              <w:bidi w:val="0"/>
              <w:spacing w:lineRule="auto" w:line="240"/>
              <w:jc w:val="center"/>
              <w:rPr>
                <w:lang w:val="en-US"/>
              </w:rPr>
            </w:pPr>
            <w:r>
              <w:rPr>
                <w:sz w:val="18"/>
                <w:szCs w:val="18"/>
                <w:lang w:val="en-US"/>
              </w:rPr>
              <w:t>Separated at -20 ℃ for 27 days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Southmead, Bristol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stored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Eurofins Biomnis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Tobramycin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SVUH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MMUH</w:t>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3: Specimen rejection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468" w:type="dxa"/>
        <w:jc w:val="start"/>
        <w:tblInd w:w="255" w:type="dxa"/>
        <w:tblLayout w:type="fixed"/>
        <w:tblCellMar>
          <w:top w:w="0" w:type="dxa"/>
          <w:start w:w="108" w:type="dxa"/>
          <w:bottom w:w="0" w:type="dxa"/>
          <w:end w:w="108" w:type="dxa"/>
        </w:tblCellMar>
      </w:tblPr>
      <w:tblGrid>
        <w:gridCol w:w="1276"/>
        <w:gridCol w:w="1842"/>
        <w:gridCol w:w="1105"/>
        <w:gridCol w:w="1163"/>
        <w:gridCol w:w="1275"/>
        <w:gridCol w:w="1418"/>
        <w:gridCol w:w="1388"/>
      </w:tblGrid>
      <w:tr>
        <w:trPr>
          <w:cantSplit w:val="true"/>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center"/>
              <w:rPr>
                <w:lang w:val="en-US"/>
              </w:rPr>
            </w:pPr>
            <w:r>
              <w:rPr>
                <w:b/>
                <w:sz w:val="18"/>
                <w:szCs w:val="18"/>
                <w:u w:val="single"/>
                <w:lang w:val="en-US"/>
              </w:rPr>
              <w:t>Urine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60 ml sterile container without red sticker on lid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2 ml (manual microscopy &amp; culture will be performed)</w:t>
            </w:r>
          </w:p>
          <w:p>
            <w:pPr>
              <w:pStyle w:val="Normal"/>
              <w:widowControl w:val="false"/>
              <w:tabs>
                <w:tab w:val="clear" w:pos="709"/>
              </w:tabs>
              <w:bidi w:val="0"/>
              <w:spacing w:lineRule="auto" w:line="240" w:before="0" w:after="0"/>
              <w:jc w:val="center"/>
              <w:rPr>
                <w:color w:val="FF0000"/>
                <w:sz w:val="18"/>
                <w:szCs w:val="18"/>
              </w:rPr>
            </w:pPr>
            <w:r>
              <w:rPr>
                <w:color w:val="FF0000"/>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 hours at room temperature</w:t>
            </w:r>
          </w:p>
          <w:p>
            <w:pPr>
              <w:pStyle w:val="Normal"/>
              <w:widowControl w:val="false"/>
              <w:tabs>
                <w:tab w:val="clear" w:pos="709"/>
              </w:tabs>
              <w:bidi w:val="0"/>
              <w:spacing w:lineRule="auto" w:line="24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start"/>
              <w:rPr>
                <w:lang w:val="en-US"/>
              </w:rPr>
            </w:pPr>
            <w:r>
              <w:rPr>
                <w:sz w:val="18"/>
                <w:szCs w:val="18"/>
                <w:lang w:val="en-US"/>
              </w:rPr>
              <w:t>e</w:t>
            </w:r>
          </w:p>
          <w:p>
            <w:pPr>
              <w:pStyle w:val="Normal"/>
              <w:widowControl w:val="false"/>
              <w:tabs>
                <w:tab w:val="clear" w:pos="709"/>
              </w:tabs>
              <w:bidi w:val="0"/>
              <w:spacing w:lineRule="auto" w:line="240"/>
              <w:jc w:val="start"/>
              <w:rPr>
                <w:lang w:val="en-US"/>
              </w:rPr>
            </w:pPr>
            <w:r>
              <w:rPr>
                <w:b/>
                <w:sz w:val="18"/>
                <w:szCs w:val="18"/>
                <w:lang w:val="en-US"/>
              </w:rPr>
              <w:t xml:space="preserve">Exception: </w:t>
            </w:r>
            <w:r>
              <w:rPr>
                <w:sz w:val="18"/>
                <w:szCs w:val="18"/>
                <w:lang w:val="en-US"/>
              </w:rPr>
              <w:t>Nephrostomy and Theatre urines always processed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lang w:val="en-US"/>
              </w:rPr>
            </w:pPr>
            <w:r>
              <w:rPr>
                <w:sz w:val="18"/>
                <w:szCs w:val="18"/>
                <w:lang w:val="en-US"/>
              </w:rPr>
              <w:t>24 hours at RT</w:t>
            </w:r>
          </w:p>
          <w:p>
            <w:pPr>
              <w:pStyle w:val="Normal"/>
              <w:widowControl w:val="false"/>
              <w:tabs>
                <w:tab w:val="clear" w:pos="709"/>
              </w:tabs>
              <w:bidi w:val="0"/>
              <w:spacing w:lineRule="auto" w:line="240" w:before="120" w:after="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color w:val="FF0000"/>
                <w:sz w:val="18"/>
                <w:szCs w:val="18"/>
                <w:lang w:val="en-US"/>
              </w:rPr>
            </w:pPr>
            <w:r>
              <w:rPr>
                <w:color w:val="FF0000"/>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Faeces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9"/>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Formed samples &amp; &lt; 2 years old for C.diff</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9"/>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at 4℃ without addition of 10% formalin-water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Will only be processed for Crypto/Giardia if no travel details have been received or no request from CMT</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unless stored at –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Respiratory</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 leaking BALs from endoscopy)</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stored at 4 ̊C except CF specimens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Salivary samples (except CF) are rejected.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jc w:val="center"/>
              <w:rPr>
                <w:lang w:val="en-US"/>
              </w:rPr>
            </w:pPr>
            <w:r>
              <w:rPr>
                <w:sz w:val="18"/>
                <w:szCs w:val="18"/>
                <w:lang w:val="en-US"/>
              </w:rPr>
              <w:t>&gt;14 days at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jc w:val="center"/>
              <w:rPr>
                <w:lang w:val="en-US"/>
              </w:rPr>
            </w:pPr>
            <w:r>
              <w:rPr>
                <w:sz w:val="18"/>
                <w:szCs w:val="18"/>
                <w:lang w:val="en-US"/>
              </w:rPr>
              <w:t>(Culture only)</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unlabeled with MedLIS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mislabeled with incorrect patient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before="0" w:after="0"/>
              <w:jc w:val="center"/>
              <w:rPr>
                <w:sz w:val="18"/>
                <w:szCs w:val="18"/>
              </w:rPr>
            </w:pPr>
            <w:r>
              <w:rPr>
                <w:sz w:val="18"/>
                <w:szCs w:val="18"/>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sample present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Culture only performed on insufficient sample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Stored at 4 ℃</w:t>
            </w:r>
          </w:p>
          <w:p>
            <w:pPr>
              <w:pStyle w:val="Normal"/>
              <w:widowControl w:val="false"/>
              <w:tabs>
                <w:tab w:val="clear" w:pos="709"/>
              </w:tabs>
              <w:bidi w:val="0"/>
              <w:spacing w:lineRule="auto" w:line="240"/>
              <w:jc w:val="center"/>
              <w:rPr>
                <w:lang w:val="en-US"/>
              </w:rPr>
            </w:pPr>
            <w:r>
              <w:rPr>
                <w:sz w:val="18"/>
                <w:szCs w:val="18"/>
                <w:lang w:val="en-US"/>
              </w:rPr>
              <w:t>&gt; Several months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rPr>
            </w:pPr>
            <w:r>
              <w:rPr>
                <w:sz w:val="18"/>
                <w:szCs w:val="18"/>
              </w:rPr>
            </w:r>
          </w:p>
          <w:p>
            <w:pPr>
              <w:pStyle w:val="Normal"/>
              <w:widowControl w:val="false"/>
              <w:tabs>
                <w:tab w:val="clear" w:pos="709"/>
              </w:tabs>
              <w:bidi w:val="0"/>
              <w:spacing w:lineRule="auto" w:line="240"/>
              <w:jc w:val="center"/>
              <w:rPr>
                <w:b/>
                <w:szCs w:val="26"/>
                <w:u w:val="single"/>
              </w:rPr>
            </w:pPr>
            <w:r>
              <w:rPr>
                <w:sz w:val="18"/>
                <w:szCs w:val="18"/>
              </w:rPr>
              <w:t>Any blood sample other that serum</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ENT swab (orange)</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charcoal Transswab received process and enter “See Culture” in GenLab</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jc w:val="center"/>
              <w:rPr>
                <w:b/>
                <w:szCs w:val="26"/>
                <w:u w:val="single"/>
              </w:rPr>
            </w:pPr>
            <w:r>
              <w:rPr>
                <w:sz w:val="18"/>
                <w:szCs w:val="18"/>
              </w:rPr>
              <w:t>Liquid Amies eSwab</w:t>
            </w:r>
          </w:p>
          <w:p>
            <w:pPr>
              <w:pStyle w:val="Normal"/>
              <w:widowControl w:val="false"/>
              <w:tabs>
                <w:tab w:val="clear" w:pos="709"/>
              </w:tabs>
              <w:bidi w:val="0"/>
              <w:spacing w:lineRule="auto" w:line="240"/>
              <w:jc w:val="center"/>
              <w:rPr>
                <w:lang w:val="en-US"/>
              </w:rPr>
            </w:pPr>
            <w:r>
              <w:rPr>
                <w:sz w:val="18"/>
                <w:szCs w:val="18"/>
                <w:lang w:val="en-US"/>
              </w:rPr>
              <w:t>ENT swab (orange) for any site other than ear, nose, throat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Agar plate other than VCAT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Bile fl</w:t>
            </w:r>
          </w:p>
          <w:p>
            <w:pPr>
              <w:pStyle w:val="Normal"/>
              <w:widowControl w:val="false"/>
              <w:tabs>
                <w:tab w:val="clear" w:pos="709"/>
              </w:tabs>
              <w:bidi w:val="0"/>
              <w:spacing w:lineRule="auto" w:line="240"/>
              <w:jc w:val="center"/>
              <w:rPr>
                <w:lang w:val="en-US"/>
              </w:rPr>
            </w:pPr>
            <w:r>
              <w:rPr>
                <w:sz w:val="18"/>
                <w:szCs w:val="18"/>
                <w:lang w:val="en-US"/>
              </w:rPr>
              <w:t>C Drainage fl</w:t>
            </w:r>
          </w:p>
          <w:p>
            <w:pPr>
              <w:pStyle w:val="Normal"/>
              <w:widowControl w:val="false"/>
              <w:tabs>
                <w:tab w:val="clear" w:pos="709"/>
              </w:tabs>
              <w:bidi w:val="0"/>
              <w:spacing w:lineRule="auto" w:line="240"/>
              <w:jc w:val="center"/>
              <w:rPr>
                <w:lang w:val="en-US"/>
              </w:rPr>
            </w:pPr>
            <w:r>
              <w:rPr>
                <w:sz w:val="18"/>
                <w:szCs w:val="18"/>
                <w:lang w:val="en-US"/>
              </w:rPr>
              <w:t>C Pancreatic fl</w:t>
            </w:r>
          </w:p>
          <w:p>
            <w:pPr>
              <w:pStyle w:val="Normal"/>
              <w:widowControl w:val="false"/>
              <w:tabs>
                <w:tab w:val="clear" w:pos="709"/>
              </w:tabs>
              <w:bidi w:val="0"/>
              <w:spacing w:lineRule="auto" w:line="240"/>
              <w:jc w:val="center"/>
              <w:rPr>
                <w:lang w:val="en-US"/>
              </w:rPr>
            </w:pPr>
            <w:r>
              <w:rPr>
                <w:sz w:val="18"/>
                <w:szCs w:val="18"/>
                <w:lang w:val="en-US"/>
              </w:rPr>
              <w:t>C Peritoneal fl</w:t>
            </w:r>
          </w:p>
          <w:p>
            <w:pPr>
              <w:pStyle w:val="Normal"/>
              <w:widowControl w:val="false"/>
              <w:tabs>
                <w:tab w:val="clear" w:pos="709"/>
              </w:tabs>
              <w:bidi w:val="0"/>
              <w:spacing w:lineRule="auto" w:line="240"/>
              <w:jc w:val="center"/>
              <w:rPr>
                <w:lang w:val="en-US"/>
              </w:rPr>
            </w:pPr>
            <w:r>
              <w:rPr>
                <w:sz w:val="18"/>
                <w:szCs w:val="18"/>
                <w:lang w:val="en-US"/>
              </w:rPr>
              <w:t>C Pleural fl</w:t>
            </w:r>
          </w:p>
          <w:p>
            <w:pPr>
              <w:pStyle w:val="Normal"/>
              <w:widowControl w:val="false"/>
              <w:tabs>
                <w:tab w:val="clear" w:pos="709"/>
              </w:tabs>
              <w:bidi w:val="0"/>
              <w:spacing w:lineRule="auto" w:line="240"/>
              <w:jc w:val="center"/>
              <w:rPr>
                <w:lang w:val="en-US"/>
              </w:rPr>
            </w:pPr>
            <w:r>
              <w:rPr>
                <w:sz w:val="18"/>
                <w:szCs w:val="18"/>
                <w:lang w:val="en-US"/>
              </w:rPr>
              <w:t>C Perf/Ves. Perf. fl</w:t>
            </w:r>
          </w:p>
          <w:p>
            <w:pPr>
              <w:pStyle w:val="Normal"/>
              <w:widowControl w:val="false"/>
              <w:tabs>
                <w:tab w:val="clear" w:pos="709"/>
              </w:tabs>
              <w:bidi w:val="0"/>
              <w:spacing w:lineRule="auto" w:line="240"/>
              <w:jc w:val="center"/>
              <w:rPr>
                <w:lang w:val="en-US"/>
              </w:rPr>
            </w:pPr>
            <w:r>
              <w:rPr>
                <w:sz w:val="18"/>
                <w:szCs w:val="18"/>
                <w:lang w:val="en-US"/>
              </w:rPr>
              <w:t>C Pericardial fl</w:t>
            </w:r>
          </w:p>
          <w:p>
            <w:pPr>
              <w:pStyle w:val="Normal"/>
              <w:widowControl w:val="false"/>
              <w:tabs>
                <w:tab w:val="clear" w:pos="709"/>
              </w:tabs>
              <w:bidi w:val="0"/>
              <w:spacing w:lineRule="auto" w:line="240"/>
              <w:jc w:val="center"/>
              <w:rPr>
                <w:lang w:val="en-US"/>
              </w:rPr>
            </w:pPr>
            <w:r>
              <w:rPr>
                <w:sz w:val="18"/>
                <w:szCs w:val="18"/>
                <w:lang w:val="en-US"/>
              </w:rPr>
              <w:t>C Joint fl</w:t>
            </w:r>
          </w:p>
          <w:p>
            <w:pPr>
              <w:pStyle w:val="Normal"/>
              <w:widowControl w:val="false"/>
              <w:tabs>
                <w:tab w:val="clear" w:pos="709"/>
              </w:tabs>
              <w:bidi w:val="0"/>
              <w:spacing w:lineRule="auto" w:line="240"/>
              <w:jc w:val="center"/>
              <w:rPr>
                <w:lang w:val="en-US"/>
              </w:rPr>
            </w:pPr>
            <w:r>
              <w:rPr>
                <w:sz w:val="18"/>
                <w:szCs w:val="18"/>
                <w:lang w:val="en-US"/>
              </w:rPr>
              <w:t>C Fl/Asp</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 in 60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sample inoculated for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 for 60 ml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 other than EDTA</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&lt;1 ml</w:t>
            </w:r>
          </w:p>
          <w:p>
            <w:pPr>
              <w:pStyle w:val="Normal"/>
              <w:widowControl w:val="false"/>
              <w:tabs>
                <w:tab w:val="clear" w:pos="709"/>
              </w:tabs>
              <w:bidi w:val="0"/>
              <w:spacing w:lineRule="auto" w:line="240"/>
              <w:jc w:val="center"/>
              <w:rPr>
                <w:lang w:val="en-US"/>
              </w:rPr>
            </w:pPr>
            <w:r>
              <w:rPr>
                <w:sz w:val="18"/>
                <w:szCs w:val="18"/>
                <w:lang w:val="en-US"/>
              </w:rPr>
              <w:t>(Culture only performed on insufficient 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(Send back to theatre to label)</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(Contact theatre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(Send back to theatre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(Send back to theatre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specimen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4 ℃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18"/>
                <w:szCs w:val="18"/>
              </w:rPr>
              <w:t>C Pus</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&lt; 1 ml charcoal swab can be processed</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4-5 cm length</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Urinary catheter tips not processed for culture</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come to lab and fill out MF-MIC- 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in safety cabinet &amp; process with comment for sample rejection)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 in lab)</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(Clinician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 See LI-MIC-Barcodes for sample rejection)</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Liase with CMT to prioritise tests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 hours</w:t>
            </w:r>
          </w:p>
          <w:p>
            <w:pPr>
              <w:pStyle w:val="Normal"/>
              <w:widowControl w:val="false"/>
              <w:tabs>
                <w:tab w:val="clear" w:pos="709"/>
              </w:tabs>
              <w:bidi w:val="0"/>
              <w:spacing w:lineRule="auto" w:line="240"/>
              <w:jc w:val="center"/>
              <w:rPr>
                <w:lang w:val="en-US"/>
              </w:rPr>
            </w:pPr>
            <w:r>
              <w:rPr>
                <w:sz w:val="18"/>
                <w:szCs w:val="18"/>
                <w:lang w:val="en-US"/>
              </w:rPr>
              <w:t>(Comment added ‘The white cell count on a CSF rec’d in lab 2hrs or more after collection may not be accurate due to cell lysiswith</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(Prcess with comment. See LI-MIC-Barcodes for sample rejection)</w:t>
            </w:r>
          </w:p>
          <w:p>
            <w:pPr>
              <w:pStyle w:val="Normal"/>
              <w:widowControl w:val="false"/>
              <w:tabs>
                <w:tab w:val="clear" w:pos="709"/>
              </w:tabs>
              <w:bidi w:val="0"/>
              <w:spacing w:lineRule="auto" w:line="240" w:before="0" w:after="0"/>
              <w:jc w:val="center"/>
              <w:rPr>
                <w:color w:val="FF0000"/>
                <w:sz w:val="18"/>
                <w:szCs w:val="18"/>
                <w:lang w:val="en-US"/>
              </w:rPr>
            </w:pPr>
            <w:r>
              <w:rPr>
                <w:color w:val="FF0000"/>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500 µl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(Send back with clinician to order)</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No MF-MIC-55 request form (Clinician to fill out)</w:t>
            </w:r>
          </w:p>
          <w:p>
            <w:pPr>
              <w:pStyle w:val="Normal"/>
              <w:widowControl w:val="false"/>
              <w:tabs>
                <w:tab w:val="clear" w:pos="709"/>
              </w:tabs>
              <w:bidi w:val="0"/>
              <w:spacing w:lineRule="auto" w:line="240"/>
              <w:jc w:val="center"/>
              <w:rPr>
                <w:lang w:val="en-US"/>
              </w:rPr>
            </w:pPr>
            <w:r>
              <w:rPr>
                <w:sz w:val="18"/>
                <w:szCs w:val="18"/>
                <w:lang w:val="en-US"/>
              </w:rPr>
              <w:t>No Date &amp; Time filled out on MF-MIC-55 request form (Clinician to fill out)</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bottles other than 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are sent to MMUH and rejected by testing hospital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16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other than CSF</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(See LI-MIC-Laboratory Only Microbiology Orders)</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48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for 15 days,not separated at -20 ℃ for 27 days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faeces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Heading3"/>
        <w:numPr>
          <w:ilvl w:val="2"/>
          <w:numId w:val="16"/>
        </w:numPr>
        <w:tabs>
          <w:tab w:val="left" w:pos="1134" w:leader="none"/>
          <w:tab w:val="left" w:pos="1854" w:leader="none"/>
        </w:tabs>
        <w:bidi w:val="0"/>
        <w:spacing w:lineRule="auto" w:line="240"/>
        <w:ind w:start="720" w:end="0" w:hanging="720"/>
        <w:jc w:val="start"/>
        <w:rPr>
          <w:lang w:val="en-US"/>
        </w:rPr>
      </w:pPr>
      <w:bookmarkStart w:id="78" w:name="_Toc196476702"/>
      <w:bookmarkStart w:id="79" w:name="_Toc485280922"/>
      <w:bookmarkEnd w:id="78"/>
      <w:bookmarkEnd w:id="79"/>
      <w:r>
        <w:rPr>
          <w:lang w:val="en-US"/>
        </w:rPr>
        <w:t xml:space="preserve">Serological Investigations </w:t>
      </w:r>
      <w:bookmarkStart w:id="80" w:name="_Toc485281105"/>
      <w:bookmarkStart w:id="81" w:name="_Toc485280924"/>
      <w:bookmarkStart w:id="82" w:name="_Toc485281107"/>
      <w:bookmarkStart w:id="83" w:name="_Toc485280926"/>
      <w:bookmarkStart w:id="84" w:name="_Toc485281109"/>
      <w:bookmarkStart w:id="85" w:name="_Toc309717402"/>
    </w:p>
    <w:p>
      <w:pPr>
        <w:pStyle w:val="Normal"/>
        <w:shd w:fill="FFFFFF"/>
        <w:bidi w:val="0"/>
        <w:spacing w:lineRule="auto" w:line="240"/>
        <w:jc w:val="start"/>
        <w:rPr>
          <w:b/>
          <w:szCs w:val="26"/>
          <w:u w:val="single"/>
        </w:rPr>
      </w:pPr>
      <w:r>
        <w:rPr>
          <w:rStyle w:val="BookTitle"/>
          <w:rFonts w:eastAsia="Times New Roman" w:cs="Times New Roman"/>
        </w:rPr>
        <w:t xml:space="preserve">HIV- Viral loads and hepatitis C PCR </w:t>
      </w:r>
    </w:p>
    <w:p>
      <w:pPr>
        <w:pStyle w:val="Normal"/>
        <w:shd w:fill="FFFFFF"/>
        <w:bidi w:val="0"/>
        <w:spacing w:lineRule="auto" w:line="240"/>
        <w:jc w:val="start"/>
        <w:rPr>
          <w:b/>
          <w:szCs w:val="26"/>
          <w:u w:val="single"/>
        </w:rPr>
      </w:pPr>
      <w:r>
        <w:rPr>
          <w:b/>
          <w:szCs w:val="26"/>
          <w:u w:val="single"/>
        </w:rPr>
      </w:r>
    </w:p>
    <w:p>
      <w:pPr>
        <w:pStyle w:val="Normal"/>
        <w:numPr>
          <w:ilvl w:val="0"/>
          <w:numId w:val="2"/>
        </w:numPr>
        <w:shd w:fill="FFFFFF"/>
        <w:bidi w:val="0"/>
        <w:spacing w:lineRule="auto" w:line="240" w:before="0" w:after="0"/>
        <w:ind w:start="720" w:end="0" w:hanging="360"/>
        <w:jc w:val="start"/>
        <w:rPr>
          <w:b/>
          <w:szCs w:val="26"/>
          <w:u w:val="single"/>
        </w:rPr>
      </w:pPr>
      <w:r>
        <w:rPr/>
        <w:t>Samples for routine viral investigations are referred to the NVRL and transported to the NVRL three times daily by courier: 10.30am, 12.30pm and 2.30pm. For HIV viral load, blood should be collected in an EDTA blood collection tube.</w:t>
      </w:r>
    </w:p>
    <w:p>
      <w:pPr>
        <w:pStyle w:val="Normal"/>
        <w:numPr>
          <w:ilvl w:val="0"/>
          <w:numId w:val="2"/>
        </w:numPr>
        <w:shd w:fill="FFFFFF"/>
        <w:bidi w:val="0"/>
        <w:spacing w:lineRule="auto" w:line="240" w:before="0" w:after="0"/>
        <w:ind w:start="720" w:end="0" w:hanging="360"/>
        <w:jc w:val="start"/>
        <w:rPr>
          <w:b/>
          <w:szCs w:val="26"/>
          <w:u w:val="single"/>
        </w:rPr>
      </w:pPr>
      <w:r>
        <w:rPr/>
        <w:t xml:space="preserve">For hepatitis C PCR, a serum sample is required </w:t>
      </w:r>
    </w:p>
    <w:p>
      <w:pPr>
        <w:pStyle w:val="Normal"/>
        <w:numPr>
          <w:ilvl w:val="0"/>
          <w:numId w:val="2"/>
        </w:numPr>
        <w:shd w:fill="FFFFFF"/>
        <w:bidi w:val="0"/>
        <w:spacing w:lineRule="auto" w:line="240" w:before="0" w:after="0"/>
        <w:ind w:start="720" w:end="0" w:hanging="360"/>
        <w:jc w:val="start"/>
        <w:rPr>
          <w:b/>
          <w:szCs w:val="26"/>
          <w:u w:val="single"/>
        </w:rPr>
      </w:pPr>
      <w:r>
        <w:rPr/>
        <w:t xml:space="preserve">Hepatitis C PCR and HIV viral load investigations should be sent to the laboratory immediately for processing. </w:t>
      </w:r>
      <w:r>
        <w:rPr>
          <w:b/>
        </w:rPr>
        <w:t>The serum must be frozen within 6 hours of taking the patient’s blood.</w:t>
      </w:r>
    </w:p>
    <w:p>
      <w:pPr>
        <w:pStyle w:val="Normal"/>
        <w:numPr>
          <w:ilvl w:val="0"/>
          <w:numId w:val="2"/>
        </w:numPr>
        <w:shd w:fill="FFFFFF"/>
        <w:bidi w:val="0"/>
        <w:spacing w:lineRule="auto" w:line="240" w:before="0" w:after="0"/>
        <w:ind w:start="720" w:end="0" w:hanging="360"/>
        <w:jc w:val="start"/>
        <w:rPr>
          <w:b/>
          <w:szCs w:val="26"/>
          <w:u w:val="single"/>
        </w:rPr>
      </w:pPr>
      <w:r>
        <w:rPr/>
        <w:t>Specimens are transported at -20˚C by courier each Friday to the NVRL.</w:t>
      </w:r>
    </w:p>
    <w:p>
      <w:pPr>
        <w:pStyle w:val="Normal"/>
        <w:shd w:fill="FFFFFF"/>
        <w:bidi w:val="0"/>
        <w:spacing w:lineRule="auto" w:line="240"/>
        <w:jc w:val="start"/>
        <w:rPr>
          <w:b/>
          <w:szCs w:val="26"/>
          <w:u w:val="single"/>
        </w:rPr>
      </w:pPr>
      <w:r>
        <w:rPr>
          <w:rStyle w:val="BookTitle"/>
          <w:rFonts w:eastAsia="Times New Roman" w:cs="Times New Roman"/>
        </w:rPr>
        <w:t>Viral screening</w:t>
      </w:r>
    </w:p>
    <w:p>
      <w:pPr>
        <w:pStyle w:val="Normal"/>
        <w:numPr>
          <w:ilvl w:val="0"/>
          <w:numId w:val="4"/>
        </w:numPr>
        <w:shd w:fill="FFFFFF"/>
        <w:bidi w:val="0"/>
        <w:spacing w:lineRule="auto" w:line="240" w:before="0" w:after="0"/>
        <w:ind w:start="720" w:end="0" w:hanging="360"/>
        <w:jc w:val="start"/>
        <w:rPr>
          <w:b/>
          <w:szCs w:val="26"/>
          <w:u w:val="single"/>
        </w:rPr>
      </w:pPr>
      <w:r>
        <w:rPr/>
        <w:t xml:space="preserve">Samples for routine viral investigations are referred to the NVRL and transported to the NVRL three times daily by courier: 10.30am, 12.30pm and 2.30pm. </w:t>
      </w:r>
    </w:p>
    <w:p>
      <w:pPr>
        <w:pStyle w:val="Normal"/>
        <w:numPr>
          <w:ilvl w:val="0"/>
          <w:numId w:val="4"/>
        </w:numPr>
        <w:shd w:fill="FFFFFF"/>
        <w:bidi w:val="0"/>
        <w:spacing w:lineRule="auto" w:line="240" w:before="0" w:after="0"/>
        <w:ind w:start="720" w:end="0" w:hanging="360"/>
        <w:jc w:val="start"/>
        <w:rPr>
          <w:b/>
          <w:szCs w:val="26"/>
          <w:u w:val="single"/>
        </w:rPr>
      </w:pPr>
      <w:r>
        <w:rPr/>
        <w:t>Clotted blood is the specimen of choice for most other external investigations.</w:t>
      </w:r>
    </w:p>
    <w:p>
      <w:pPr>
        <w:pStyle w:val="Normal"/>
        <w:numPr>
          <w:ilvl w:val="0"/>
          <w:numId w:val="4"/>
        </w:numPr>
        <w:shd w:fill="FFFFFF"/>
        <w:bidi w:val="0"/>
        <w:spacing w:lineRule="auto" w:line="240" w:before="0" w:after="0"/>
        <w:ind w:start="720" w:end="0" w:hanging="360"/>
        <w:jc w:val="start"/>
        <w:rPr>
          <w:b/>
          <w:szCs w:val="26"/>
          <w:u w:val="single"/>
        </w:rPr>
      </w:pPr>
      <w:r>
        <w:rPr/>
        <w:t>Please include relevant clinical details, complete demographics and inform laboratory if urgent.</w:t>
      </w:r>
    </w:p>
    <w:p>
      <w:pPr>
        <w:pStyle w:val="Normal"/>
        <w:shd w:fill="FFFFFF"/>
        <w:bidi w:val="0"/>
        <w:spacing w:lineRule="auto" w:line="240" w:before="0" w:after="0"/>
        <w:ind w:start="360" w:end="0" w:hanging="0"/>
        <w:jc w:val="start"/>
        <w:rPr>
          <w:b/>
          <w:szCs w:val="26"/>
          <w:u w:val="single"/>
        </w:rPr>
      </w:pPr>
      <w:r>
        <w:rPr>
          <w:b/>
          <w:szCs w:val="26"/>
          <w:u w:val="single"/>
        </w:rPr>
      </w:r>
    </w:p>
    <w:p>
      <w:pPr>
        <w:pStyle w:val="Normal"/>
        <w:shd w:fill="FFFFFF"/>
        <w:bidi w:val="0"/>
        <w:spacing w:lineRule="auto" w:line="240" w:before="0" w:after="0"/>
        <w:jc w:val="start"/>
        <w:rPr>
          <w:b/>
          <w:szCs w:val="26"/>
          <w:u w:val="single"/>
        </w:rPr>
      </w:pPr>
      <w:r>
        <w:rPr>
          <w:rStyle w:val="BookTitle"/>
          <w:rFonts w:eastAsia="Times New Roman" w:cs="Times New Roman"/>
        </w:rPr>
        <w:t>Galactomannan</w:t>
      </w:r>
    </w:p>
    <w:p>
      <w:pPr>
        <w:pStyle w:val="Normal"/>
        <w:bidi w:val="0"/>
        <w:spacing w:lineRule="auto" w:line="240"/>
        <w:jc w:val="start"/>
        <w:rPr>
          <w:b/>
          <w:szCs w:val="26"/>
          <w:u w:val="single"/>
        </w:rPr>
      </w:pPr>
      <w:r>
        <w:rPr/>
        <w:t>Serum or BAL samples can be tested for Galactomannan in house as an aid in the diagnosis of Invasive Aspergillosis.</w:t>
      </w:r>
    </w:p>
    <w:p>
      <w:pPr>
        <w:pStyle w:val="Normal"/>
        <w:bidi w:val="0"/>
        <w:spacing w:lineRule="auto" w:line="240"/>
        <w:jc w:val="start"/>
        <w:rPr>
          <w:b/>
          <w:szCs w:val="26"/>
          <w:u w:val="single"/>
        </w:rPr>
      </w:pPr>
      <w:r>
        <w:rPr>
          <w:b/>
          <w:szCs w:val="26"/>
          <w:u w:val="single"/>
        </w:rPr>
      </w:r>
    </w:p>
    <w:p>
      <w:pPr>
        <w:pStyle w:val="Normal"/>
        <w:shd w:fill="FFFFFF"/>
        <w:bidi w:val="0"/>
        <w:spacing w:lineRule="auto" w:line="240"/>
        <w:jc w:val="start"/>
        <w:rPr>
          <w:b/>
          <w:szCs w:val="26"/>
          <w:u w:val="single"/>
        </w:rPr>
      </w:pPr>
      <w:r>
        <w:rPr>
          <w:rStyle w:val="BookTitle"/>
          <w:rFonts w:eastAsia="Times New Roman" w:cs="Times New Roman"/>
        </w:rPr>
        <w:t>Meningococcal/pneumococcal PCR</w:t>
      </w:r>
    </w:p>
    <w:p>
      <w:pPr>
        <w:pStyle w:val="Normal"/>
        <w:numPr>
          <w:ilvl w:val="0"/>
          <w:numId w:val="3"/>
        </w:numPr>
        <w:shd w:fill="FFFFFF"/>
        <w:bidi w:val="0"/>
        <w:spacing w:lineRule="auto" w:line="240" w:before="0" w:after="0"/>
        <w:ind w:start="720" w:end="0" w:hanging="360"/>
        <w:jc w:val="start"/>
        <w:rPr>
          <w:b/>
          <w:szCs w:val="26"/>
          <w:u w:val="single"/>
        </w:rPr>
      </w:pPr>
      <w:r>
        <w:rPr/>
        <w:t>Specimens for PCR are referred to the Children’s Hospital, Temple St.</w:t>
      </w:r>
    </w:p>
    <w:p>
      <w:pPr>
        <w:pStyle w:val="Normal"/>
        <w:numPr>
          <w:ilvl w:val="0"/>
          <w:numId w:val="3"/>
        </w:numPr>
        <w:shd w:fill="FFFFFF"/>
        <w:bidi w:val="0"/>
        <w:spacing w:lineRule="auto" w:line="240" w:before="0" w:after="0"/>
        <w:ind w:start="720" w:end="0" w:hanging="360"/>
        <w:jc w:val="start"/>
        <w:rPr>
          <w:b/>
          <w:szCs w:val="26"/>
          <w:u w:val="single"/>
        </w:rPr>
      </w:pPr>
      <w:r>
        <w:rPr/>
        <w:t>An EDTA blood specimen or CSF or both should be sent. All the relevant patient details must accompany the specimen.</w:t>
      </w:r>
    </w:p>
    <w:p>
      <w:pPr>
        <w:pStyle w:val="Normal"/>
        <w:numPr>
          <w:ilvl w:val="0"/>
          <w:numId w:val="3"/>
        </w:numPr>
        <w:shd w:fill="FFFFFF"/>
        <w:bidi w:val="0"/>
        <w:spacing w:lineRule="auto" w:line="240" w:before="0" w:after="0"/>
        <w:ind w:start="720" w:end="0" w:hanging="360"/>
        <w:jc w:val="start"/>
        <w:rPr>
          <w:b/>
          <w:szCs w:val="26"/>
          <w:u w:val="single"/>
        </w:rPr>
      </w:pPr>
      <w:r>
        <w:rPr/>
        <w:t xml:space="preserve">Please phone ext. 2647 to alert the laboratory to the imminent arrival of the specimens </w:t>
      </w:r>
    </w:p>
    <w:p>
      <w:pPr>
        <w:pStyle w:val="Normal"/>
        <w:shd w:fill="FFFFFF"/>
        <w:bidi w:val="0"/>
        <w:spacing w:lineRule="auto" w:line="240"/>
        <w:jc w:val="start"/>
        <w:rPr>
          <w:b/>
          <w:szCs w:val="26"/>
          <w:u w:val="single"/>
        </w:rPr>
      </w:pPr>
      <w:r>
        <w:rPr>
          <w:b/>
          <w:szCs w:val="26"/>
          <w:u w:val="single"/>
        </w:rPr>
      </w:r>
    </w:p>
    <w:p>
      <w:pPr>
        <w:pStyle w:val="Normal"/>
        <w:shd w:fill="FFFFFF"/>
        <w:bidi w:val="0"/>
        <w:spacing w:lineRule="auto" w:line="240"/>
        <w:jc w:val="start"/>
        <w:rPr>
          <w:b/>
          <w:szCs w:val="26"/>
          <w:u w:val="single"/>
        </w:rPr>
      </w:pPr>
      <w:r>
        <w:rPr>
          <w:rStyle w:val="BookTitle"/>
          <w:rFonts w:eastAsia="Times New Roman" w:cs="Times New Roman"/>
        </w:rPr>
        <w:t>Antibody Detection.</w:t>
      </w:r>
    </w:p>
    <w:p>
      <w:pPr>
        <w:pStyle w:val="Normal"/>
        <w:numPr>
          <w:ilvl w:val="0"/>
          <w:numId w:val="12"/>
        </w:numPr>
        <w:shd w:fill="FFFFFF"/>
        <w:bidi w:val="0"/>
        <w:spacing w:lineRule="auto" w:line="240" w:before="0" w:after="0"/>
        <w:ind w:start="720" w:end="0" w:hanging="360"/>
        <w:jc w:val="start"/>
        <w:rPr>
          <w:b/>
          <w:szCs w:val="26"/>
          <w:u w:val="single"/>
        </w:rPr>
      </w:pPr>
      <w:r>
        <w:rPr/>
        <w:t>Samples for antibody investigations are referred to the NVRL and transported to the NVRL three times daily by courier: 10.30am, 12.30pm and 2.30pm</w:t>
      </w:r>
    </w:p>
    <w:p>
      <w:pPr>
        <w:pStyle w:val="Normal"/>
        <w:numPr>
          <w:ilvl w:val="0"/>
          <w:numId w:val="12"/>
        </w:numPr>
        <w:shd w:fill="FFFFFF"/>
        <w:bidi w:val="0"/>
        <w:spacing w:lineRule="auto" w:line="240" w:before="0" w:after="0"/>
        <w:ind w:start="720" w:end="0" w:hanging="360"/>
        <w:jc w:val="start"/>
        <w:rPr>
          <w:b/>
          <w:szCs w:val="26"/>
          <w:u w:val="single"/>
        </w:rPr>
      </w:pPr>
      <w:r>
        <w:rPr/>
        <w:t xml:space="preserve">In order to establish a diagnosis of acute or recent viral infection by serology, viral specific IgM needs to be detected. </w:t>
      </w:r>
    </w:p>
    <w:p>
      <w:pPr>
        <w:pStyle w:val="Normal"/>
        <w:numPr>
          <w:ilvl w:val="0"/>
          <w:numId w:val="12"/>
        </w:numPr>
        <w:shd w:fill="FFFFFF"/>
        <w:bidi w:val="0"/>
        <w:spacing w:lineRule="auto" w:line="240" w:before="0" w:after="0"/>
        <w:ind w:start="720" w:end="0" w:hanging="360"/>
        <w:jc w:val="start"/>
        <w:rPr>
          <w:b/>
          <w:szCs w:val="26"/>
          <w:u w:val="single"/>
        </w:rPr>
      </w:pPr>
      <w:r>
        <w:rPr/>
        <w:t xml:space="preserve">Before laboratory investigations are performed, paired sera must be submitted.  The first should be taken as early as possible in the illness, and the second 14-21 days later and a four-fold rise in titre is required to confirm recent infection. </w:t>
      </w:r>
    </w:p>
    <w:p>
      <w:pPr>
        <w:pStyle w:val="Normal"/>
        <w:numPr>
          <w:ilvl w:val="0"/>
          <w:numId w:val="12"/>
        </w:numPr>
        <w:shd w:fill="FFFFFF"/>
        <w:bidi w:val="0"/>
        <w:spacing w:lineRule="auto" w:line="240" w:before="0" w:after="0"/>
        <w:ind w:start="720" w:end="0" w:hanging="360"/>
        <w:jc w:val="start"/>
        <w:rPr>
          <w:b/>
          <w:szCs w:val="26"/>
          <w:u w:val="single"/>
        </w:rPr>
      </w:pPr>
      <w:r>
        <w:rPr/>
        <w:t xml:space="preserve">A single specimen of serum is required to determine immune status or past infection.  </w:t>
      </w:r>
    </w:p>
    <w:p>
      <w:pPr>
        <w:pStyle w:val="Normal"/>
        <w:shd w:fill="FFFFFF"/>
        <w:bidi w:val="0"/>
        <w:spacing w:lineRule="auto" w:line="240"/>
        <w:jc w:val="start"/>
        <w:rPr>
          <w:b/>
          <w:szCs w:val="26"/>
          <w:u w:val="single"/>
        </w:rPr>
      </w:pPr>
      <w:r>
        <w:rPr>
          <w:b/>
        </w:rPr>
        <w:t>Important –</w:t>
      </w:r>
      <w:r>
        <w:rPr/>
        <w:t xml:space="preserve"> </w:t>
      </w:r>
      <w:r>
        <w:rPr>
          <w:b/>
        </w:rPr>
        <w:t>These investigations are requested on Powerchart by the dialysis and hepatology units, using agreed algorithms. All others must also order on Powerchart (</w:t>
      </w:r>
      <w:hyperlink r:id="rId23">
        <w:r>
          <w:rPr>
            <w:b/>
            <w:color w:val="0000FF"/>
            <w:u w:val="single"/>
          </w:rPr>
          <w:t>www.nrvl.ie</w:t>
        </w:r>
      </w:hyperlink>
      <w:r>
        <w:rPr>
          <w:b/>
        </w:rPr>
        <w:t>).</w:t>
      </w:r>
    </w:p>
    <w:p>
      <w:pPr>
        <w:pStyle w:val="Normal"/>
        <w:numPr>
          <w:ilvl w:val="0"/>
          <w:numId w:val="11"/>
        </w:numPr>
        <w:shd w:fill="FFFFFF"/>
        <w:bidi w:val="0"/>
        <w:spacing w:lineRule="auto" w:line="240" w:before="0" w:after="0"/>
        <w:ind w:start="720" w:end="0" w:hanging="360"/>
        <w:jc w:val="start"/>
        <w:rPr>
          <w:b/>
          <w:szCs w:val="26"/>
          <w:u w:val="single"/>
        </w:rPr>
      </w:pPr>
      <w:r>
        <w:rPr/>
        <w:t>Please ensure that the specimens and Powerchart requests are completed correctly</w:t>
      </w:r>
    </w:p>
    <w:p>
      <w:pPr>
        <w:pStyle w:val="Normal"/>
        <w:numPr>
          <w:ilvl w:val="0"/>
          <w:numId w:val="11"/>
        </w:numPr>
        <w:shd w:fill="FFFFFF"/>
        <w:bidi w:val="0"/>
        <w:spacing w:lineRule="auto" w:line="240" w:before="0" w:after="0"/>
        <w:ind w:start="720" w:end="0" w:hanging="360"/>
        <w:jc w:val="start"/>
        <w:rPr>
          <w:b/>
          <w:szCs w:val="26"/>
          <w:u w:val="single"/>
        </w:rPr>
      </w:pPr>
      <w:r>
        <w:rPr/>
        <w:t>For serological investigations, a serum specimen of more than 1ml is required. One container of clotted blood should be sent to the NVRL.</w:t>
      </w:r>
    </w:p>
    <w:p>
      <w:pPr>
        <w:pStyle w:val="Normal"/>
        <w:numPr>
          <w:ilvl w:val="0"/>
          <w:numId w:val="11"/>
        </w:numPr>
        <w:shd w:fill="FFFFFF"/>
        <w:bidi w:val="0"/>
        <w:spacing w:lineRule="auto" w:line="240" w:before="0" w:after="0"/>
        <w:ind w:start="720" w:end="0" w:hanging="360"/>
        <w:jc w:val="start"/>
        <w:rPr>
          <w:b/>
          <w:szCs w:val="26"/>
          <w:u w:val="single"/>
        </w:rPr>
      </w:pPr>
      <w:r>
        <w:rPr/>
        <w:t xml:space="preserve">For results enquiries, please phone the NVRL 01- 7161354. </w:t>
      </w:r>
    </w:p>
    <w:p>
      <w:pPr>
        <w:pStyle w:val="Normal"/>
        <w:numPr>
          <w:ilvl w:val="0"/>
          <w:numId w:val="11"/>
        </w:numPr>
        <w:shd w:fill="FFFFFF"/>
        <w:bidi w:val="0"/>
        <w:spacing w:lineRule="auto" w:line="240" w:before="0" w:after="0"/>
        <w:ind w:start="720" w:end="0" w:hanging="360"/>
        <w:jc w:val="start"/>
        <w:rPr>
          <w:b/>
          <w:szCs w:val="26"/>
          <w:u w:val="single"/>
        </w:rPr>
      </w:pPr>
      <w:r>
        <w:rPr/>
        <w:t xml:space="preserve">Printed reports are are available on Powerchart. </w:t>
      </w:r>
    </w:p>
    <w:p>
      <w:pPr>
        <w:pStyle w:val="Normal"/>
        <w:shd w:fill="FFFFFF"/>
        <w:bidi w:val="0"/>
        <w:spacing w:lineRule="auto" w:line="240"/>
        <w:jc w:val="start"/>
        <w:rPr>
          <w:b/>
          <w:szCs w:val="26"/>
          <w:u w:val="single"/>
        </w:rPr>
      </w:pPr>
      <w:r>
        <w:rPr>
          <w:rStyle w:val="BookTitle"/>
          <w:rFonts w:eastAsia="Times New Roman" w:cs="Times New Roman"/>
        </w:rPr>
        <w:t>Quantiferon for TB</w:t>
      </w:r>
    </w:p>
    <w:p>
      <w:pPr>
        <w:pStyle w:val="Normal"/>
        <w:numPr>
          <w:ilvl w:val="0"/>
          <w:numId w:val="14"/>
        </w:numPr>
        <w:shd w:fill="FFFFFF"/>
        <w:bidi w:val="0"/>
        <w:spacing w:lineRule="auto" w:line="240" w:before="0" w:after="0"/>
        <w:ind w:start="714" w:end="0" w:hanging="357"/>
        <w:jc w:val="start"/>
        <w:rPr>
          <w:b/>
          <w:szCs w:val="26"/>
          <w:u w:val="single"/>
        </w:rPr>
      </w:pPr>
      <w:r>
        <w:rPr/>
        <w:t>This test is referred to the Mater Misericordiae University Hospital</w:t>
      </w:r>
    </w:p>
    <w:p>
      <w:pPr>
        <w:pStyle w:val="Normal"/>
        <w:numPr>
          <w:ilvl w:val="0"/>
          <w:numId w:val="14"/>
        </w:numPr>
        <w:shd w:fill="FFFFFF"/>
        <w:bidi w:val="0"/>
        <w:spacing w:lineRule="auto" w:line="240" w:before="0" w:after="0"/>
        <w:ind w:start="714" w:end="0" w:hanging="357"/>
        <w:jc w:val="start"/>
        <w:rPr>
          <w:b/>
          <w:szCs w:val="26"/>
          <w:u w:val="single"/>
        </w:rPr>
      </w:pPr>
      <w:r>
        <w:rPr/>
        <w:t>TB Quantiferon is ordered on Powerchart</w:t>
      </w:r>
    </w:p>
    <w:p>
      <w:pPr>
        <w:pStyle w:val="Normal"/>
        <w:numPr>
          <w:ilvl w:val="0"/>
          <w:numId w:val="14"/>
        </w:numPr>
        <w:shd w:fill="FFFFFF"/>
        <w:bidi w:val="0"/>
        <w:spacing w:lineRule="auto" w:line="240" w:before="0" w:after="0"/>
        <w:ind w:start="714" w:end="0" w:hanging="357"/>
        <w:jc w:val="start"/>
        <w:rPr>
          <w:b/>
          <w:szCs w:val="26"/>
          <w:u w:val="single"/>
        </w:rPr>
      </w:pPr>
      <w:r>
        <w:rPr/>
        <w:t xml:space="preserve">Kits must be collected directly from the microbiology Laboratory. </w:t>
      </w:r>
    </w:p>
    <w:p>
      <w:pPr>
        <w:pStyle w:val="Normal"/>
        <w:numPr>
          <w:ilvl w:val="0"/>
          <w:numId w:val="14"/>
        </w:numPr>
        <w:shd w:fill="FFFFFF"/>
        <w:bidi w:val="0"/>
        <w:spacing w:lineRule="auto" w:line="240" w:before="0" w:after="0"/>
        <w:ind w:start="714" w:end="0" w:hanging="357"/>
        <w:jc w:val="start"/>
        <w:rPr>
          <w:b/>
          <w:szCs w:val="26"/>
          <w:u w:val="single"/>
        </w:rPr>
      </w:pPr>
      <w:r>
        <w:rPr/>
        <w:t>The person collecting the TB kit must sign the Quantiferon Issue Log when collecting and returning the kit- this will be facilitated by the microbiology laboratory staff.</w:t>
      </w:r>
    </w:p>
    <w:p>
      <w:pPr>
        <w:pStyle w:val="Normal"/>
        <w:numPr>
          <w:ilvl w:val="0"/>
          <w:numId w:val="14"/>
        </w:numPr>
        <w:shd w:fill="FFFFFF"/>
        <w:bidi w:val="0"/>
        <w:spacing w:lineRule="auto" w:line="240" w:before="0" w:after="0"/>
        <w:ind w:start="714" w:end="0" w:hanging="357"/>
        <w:jc w:val="start"/>
        <w:rPr>
          <w:b/>
          <w:szCs w:val="26"/>
          <w:u w:val="single"/>
        </w:rPr>
      </w:pPr>
      <w:r>
        <w:rPr/>
        <w:t xml:space="preserve">Due to the large volume of kits used by Phlebotomy, they are exempt from this rule and can use porters to collect and return kits to the lab without signing the issue log. </w:t>
      </w:r>
    </w:p>
    <w:p>
      <w:pPr>
        <w:pStyle w:val="Normal"/>
        <w:numPr>
          <w:ilvl w:val="0"/>
          <w:numId w:val="14"/>
        </w:numPr>
        <w:bidi w:val="0"/>
        <w:spacing w:lineRule="auto" w:line="240" w:before="0" w:after="0"/>
        <w:ind w:start="714" w:end="0" w:hanging="357"/>
        <w:jc w:val="start"/>
        <w:rPr>
          <w:b/>
          <w:szCs w:val="26"/>
          <w:u w:val="single"/>
        </w:rPr>
      </w:pPr>
      <w:r>
        <w:rPr/>
        <w:t>When the Quantiferon kits are being issued, a request form (Quantiferon TB request form) is provided. Multiple use drawing needle and a safety tube holder are also provided if required.</w:t>
      </w:r>
    </w:p>
    <w:p>
      <w:pPr>
        <w:pStyle w:val="Normal"/>
        <w:numPr>
          <w:ilvl w:val="0"/>
          <w:numId w:val="14"/>
        </w:numPr>
        <w:bidi w:val="0"/>
        <w:spacing w:lineRule="auto" w:line="240" w:before="0" w:after="0"/>
        <w:ind w:start="714" w:end="0" w:hanging="357"/>
        <w:jc w:val="start"/>
        <w:rPr>
          <w:b/>
          <w:szCs w:val="26"/>
          <w:u w:val="single"/>
        </w:rPr>
      </w:pPr>
      <w:r>
        <w:rPr/>
        <w:t xml:space="preserve">There are 4 blood tubes in the kit and it is imperative that they are taken in the colour order </w:t>
      </w:r>
      <w:r>
        <w:rPr>
          <w:u w:val="single"/>
        </w:rPr>
        <w:t>Grey, Green, Yellow, and Purple</w:t>
      </w:r>
      <w:r>
        <w:rPr/>
        <w:t>. (The Quantiferon TB request form also provides this information).</w:t>
      </w:r>
      <w:r>
        <w:rPr>
          <w:u w:val="single"/>
        </w:rPr>
        <w:t xml:space="preserve"> </w:t>
      </w:r>
      <w:r>
        <w:rPr/>
        <w:t>If they are not taken in this order an accurate result cannot be guaranteed.  There is a black ‘fill line’ (1ml) on each tube, and each tube must be filled to this line.</w:t>
      </w:r>
    </w:p>
    <w:p>
      <w:pPr>
        <w:pStyle w:val="Normal"/>
        <w:numPr>
          <w:ilvl w:val="0"/>
          <w:numId w:val="14"/>
        </w:numPr>
        <w:bidi w:val="0"/>
        <w:spacing w:lineRule="auto" w:line="240" w:before="0" w:after="0"/>
        <w:ind w:start="714" w:end="0" w:hanging="357"/>
        <w:jc w:val="start"/>
        <w:rPr>
          <w:b/>
          <w:szCs w:val="26"/>
          <w:u w:val="single"/>
        </w:rPr>
      </w:pPr>
      <w:r>
        <w:rPr/>
        <w:t xml:space="preserve">When the kits are returned ensure that the blood tubes are labelled and the patient detail section on the request form (part1) is completed fully, including the time and date the specimen was taken at.  </w:t>
      </w:r>
    </w:p>
    <w:p>
      <w:pPr>
        <w:pStyle w:val="Normal"/>
        <w:bidi w:val="0"/>
        <w:spacing w:lineRule="auto" w:line="240"/>
        <w:jc w:val="start"/>
        <w:rPr>
          <w:b/>
          <w:szCs w:val="26"/>
          <w:u w:val="single"/>
        </w:rPr>
      </w:pPr>
      <w:r>
        <w:rPr/>
        <w:t xml:space="preserve">Quantiferon kits and request forms must be returned to the Microbiology Laboratory within 16 hours of sampling. </w:t>
      </w:r>
      <w:r>
        <w:br w:type="page"/>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Heading3"/>
        <w:numPr>
          <w:ilvl w:val="2"/>
          <w:numId w:val="16"/>
        </w:numPr>
        <w:tabs>
          <w:tab w:val="left" w:pos="1134" w:leader="none"/>
          <w:tab w:val="left" w:pos="1854" w:leader="none"/>
        </w:tabs>
        <w:bidi w:val="0"/>
        <w:spacing w:lineRule="auto" w:line="240"/>
        <w:ind w:start="720" w:end="0" w:hanging="720"/>
        <w:jc w:val="start"/>
        <w:rPr>
          <w:lang w:val="en-IE"/>
        </w:rPr>
      </w:pPr>
      <w:bookmarkStart w:id="86" w:name="_Toc196476739"/>
      <w:bookmarkEnd w:id="86"/>
      <w:r>
        <w:rPr>
          <w:lang w:val="en-IE"/>
        </w:rPr>
        <w:t>Repertoire of Haematology Tests</w:t>
      </w:r>
    </w:p>
    <w:tbl>
      <w:tblPr>
        <w:tblW w:w="15024" w:type="dxa"/>
        <w:jc w:val="center"/>
        <w:tblInd w:w="0" w:type="dxa"/>
        <w:tblLayout w:type="fixed"/>
        <w:tblCellMar>
          <w:top w:w="0" w:type="dxa"/>
          <w:start w:w="5" w:type="dxa"/>
          <w:bottom w:w="0" w:type="dxa"/>
          <w:end w:w="5" w:type="dxa"/>
        </w:tblCellMar>
      </w:tblPr>
      <w:tblGrid>
        <w:gridCol w:w="1559"/>
        <w:gridCol w:w="1585"/>
        <w:gridCol w:w="1085"/>
        <w:gridCol w:w="4537"/>
        <w:gridCol w:w="1134"/>
        <w:gridCol w:w="2008"/>
        <w:gridCol w:w="1843"/>
        <w:gridCol w:w="1271"/>
      </w:tblGrid>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Adult Reference Range</w:t>
            </w:r>
          </w:p>
          <w:p>
            <w:pPr>
              <w:pStyle w:val="Normal"/>
              <w:widowControl w:val="false"/>
              <w:shd w:fill="FFFFFF"/>
              <w:tabs>
                <w:tab w:val="clear" w:pos="709"/>
              </w:tabs>
              <w:bidi w:val="0"/>
              <w:spacing w:lineRule="auto" w:line="240" w:before="0" w:after="0"/>
              <w:jc w:val="center"/>
              <w:rPr>
                <w:lang w:val="en-IE"/>
              </w:rPr>
            </w:pPr>
            <w:r>
              <w:rPr>
                <w:b/>
                <w:sz w:val="20"/>
                <w:lang w:val="en-IE"/>
              </w:rPr>
              <w:t>(Refer to Report for Paediatric Ranges)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Full</w:t>
            </w:r>
          </w:p>
          <w:p>
            <w:pPr>
              <w:pStyle w:val="Normal"/>
              <w:widowControl w:val="false"/>
              <w:shd w:fill="FFFFFF"/>
              <w:tabs>
                <w:tab w:val="clear" w:pos="709"/>
              </w:tabs>
              <w:bidi w:val="0"/>
              <w:spacing w:lineRule="auto" w:line="240" w:before="0" w:after="0"/>
              <w:jc w:val="start"/>
              <w:rPr>
                <w:b/>
                <w:szCs w:val="26"/>
                <w:u w:val="single"/>
              </w:rPr>
            </w:pPr>
            <w:r>
              <w:rPr>
                <w:sz w:val="24"/>
                <w:szCs w:val="24"/>
              </w:rPr>
              <w:t>Blood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tbl>
            <w:tblPr>
              <w:tblW w:w="4113" w:type="dxa"/>
              <w:jc w:val="center"/>
              <w:tblInd w:w="0" w:type="dxa"/>
              <w:tblLayout w:type="fixed"/>
              <w:tblCellMar>
                <w:top w:w="0" w:type="dxa"/>
                <w:start w:w="5" w:type="dxa"/>
                <w:bottom w:w="0" w:type="dxa"/>
                <w:end w:w="5" w:type="dxa"/>
              </w:tblCellMar>
            </w:tblPr>
            <w:tblGrid>
              <w:gridCol w:w="1193"/>
              <w:gridCol w:w="1406"/>
              <w:gridCol w:w="1514"/>
            </w:tblGrid>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Parameter</w:t>
                  </w:r>
                </w:p>
                <w:p>
                  <w:pPr>
                    <w:pStyle w:val="Normal"/>
                    <w:widowControl w:val="false"/>
                    <w:shd w:fill="FFFFFF"/>
                    <w:tabs>
                      <w:tab w:val="clear" w:pos="709"/>
                    </w:tabs>
                    <w:bidi w:val="0"/>
                    <w:spacing w:lineRule="auto" w:line="240" w:before="0" w:after="0"/>
                    <w:jc w:val="start"/>
                    <w:rPr>
                      <w:b/>
                      <w:szCs w:val="26"/>
                      <w:u w:val="single"/>
                    </w:rPr>
                  </w:pPr>
                  <w:r>
                    <w:rPr>
                      <w:i/>
                      <w:sz w:val="24"/>
                      <w:szCs w:val="24"/>
                    </w:rPr>
                    <w:t>Tested</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Hb</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13-17.5 g/dL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11.5-16.5 g/l</w:t>
                  </w:r>
                </w:p>
                <w:p>
                  <w:pPr>
                    <w:pStyle w:val="Normal"/>
                    <w:widowControl w:val="false"/>
                    <w:shd w:fill="FFFFFF"/>
                    <w:tabs>
                      <w:tab w:val="clear" w:pos="709"/>
                    </w:tabs>
                    <w:bidi w:val="0"/>
                    <w:spacing w:lineRule="auto" w:line="240" w:before="0" w:after="0"/>
                    <w:jc w:val="start"/>
                    <w:rPr>
                      <w:b/>
                      <w:szCs w:val="26"/>
                      <w:u w:val="single"/>
                    </w:rPr>
                  </w:pPr>
                  <w:r>
                    <w:rPr>
                      <w:sz w:val="24"/>
                      <w:szCs w:val="24"/>
                    </w:rPr>
                    <w:t>11.7-16.0*</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PCV</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0.37-0.54 L/L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0.335-0.54 L/L</w:t>
                  </w:r>
                </w:p>
                <w:p>
                  <w:pPr>
                    <w:pStyle w:val="Normal"/>
                    <w:widowControl w:val="false"/>
                    <w:shd w:fill="FFFFFF"/>
                    <w:tabs>
                      <w:tab w:val="clear" w:pos="709"/>
                    </w:tabs>
                    <w:bidi w:val="0"/>
                    <w:spacing w:lineRule="auto" w:line="240" w:before="0" w:after="0"/>
                    <w:jc w:val="start"/>
                    <w:rPr>
                      <w:b/>
                      <w:szCs w:val="26"/>
                      <w:u w:val="single"/>
                    </w:rPr>
                  </w:pPr>
                  <w:r>
                    <w:rPr>
                      <w:sz w:val="24"/>
                      <w:szCs w:val="24"/>
                    </w:rPr>
                    <w:t>0.355-0.52*</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RCC</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4-6.5 x10</w:t>
                  </w:r>
                  <w:r>
                    <w:rPr>
                      <w:sz w:val="24"/>
                      <w:szCs w:val="24"/>
                      <w:vertAlign w:val="superscript"/>
                    </w:rPr>
                    <w:t>12</w:t>
                  </w:r>
                  <w:r>
                    <w:rPr>
                      <w:sz w:val="24"/>
                      <w:szCs w:val="24"/>
                    </w:rPr>
                    <w:t>/L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3.8-5.8 x10</w:t>
                  </w:r>
                  <w:r>
                    <w:rPr>
                      <w:sz w:val="24"/>
                      <w:szCs w:val="24"/>
                      <w:vertAlign w:val="superscript"/>
                    </w:rPr>
                    <w:t>12</w:t>
                  </w:r>
                  <w:r>
                    <w:rPr>
                      <w:sz w:val="24"/>
                      <w:szCs w:val="24"/>
                    </w:rPr>
                    <w:t>/L</w:t>
                  </w:r>
                </w:p>
                <w:p>
                  <w:pPr>
                    <w:pStyle w:val="Normal"/>
                    <w:widowControl w:val="false"/>
                    <w:shd w:fill="FFFFFF"/>
                    <w:tabs>
                      <w:tab w:val="clear" w:pos="709"/>
                    </w:tabs>
                    <w:bidi w:val="0"/>
                    <w:spacing w:lineRule="auto" w:line="240" w:before="0" w:after="0"/>
                    <w:jc w:val="start"/>
                    <w:rPr>
                      <w:b/>
                      <w:szCs w:val="26"/>
                      <w:u w:val="single"/>
                    </w:rPr>
                  </w:pPr>
                  <w:r>
                    <w:rPr>
                      <w:sz w:val="24"/>
                      <w:szCs w:val="24"/>
                    </w:rPr>
                    <w:t>3.8-5.6*</w:t>
                  </w:r>
                </w:p>
              </w:tc>
            </w:tr>
            <w:tr>
              <w:trPr>
                <w:trHeight w:val="31"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RDW</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rPr>
                    <w:t>11-15 %</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MCV</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79 -96 fL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27 -32 pg</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PLTS</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WBC</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4.0 -11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Neut</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2.0 -7.5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Lymph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1.0 -4.0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Mono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0.2- 1.0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Eosin</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0.04- 0.4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Baso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0.01- 0.1 x10</w:t>
                  </w:r>
                  <w:r>
                    <w:rPr>
                      <w:sz w:val="24"/>
                      <w:szCs w:val="24"/>
                      <w:vertAlign w:val="superscript"/>
                    </w:rPr>
                    <w:t>9</w:t>
                  </w:r>
                  <w:r>
                    <w:rPr>
                      <w:sz w:val="24"/>
                      <w:szCs w:val="24"/>
                    </w:rPr>
                    <w:t>/L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are incompatable with the analysers and will be rejected.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*women &gt; 50 years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Sodium Lauryl Sulphate (SLS) Haemoglobin Method</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Calculated Parameters</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FBC</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Platelet Clumping Check*</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0.82mgMg</w:t>
            </w:r>
            <w:r>
              <w:rPr>
                <w:sz w:val="24"/>
                <w:szCs w:val="24"/>
                <w:vertAlign w:val="superscript"/>
              </w:rPr>
              <w:t>2+</w:t>
            </w:r>
            <w:r>
              <w:rPr>
                <w:sz w:val="24"/>
                <w:szCs w:val="24"/>
              </w:rPr>
              <w:t>/mL</w:t>
            </w:r>
          </w:p>
          <w:p>
            <w:pPr>
              <w:pStyle w:val="Normal"/>
              <w:widowControl w:val="false"/>
              <w:shd w:fill="FFFFFF"/>
              <w:tabs>
                <w:tab w:val="clear" w:pos="709"/>
              </w:tabs>
              <w:bidi w:val="0"/>
              <w:spacing w:lineRule="auto" w:line="240" w:before="0" w:after="0"/>
              <w:jc w:val="start"/>
              <w:rPr>
                <w:b/>
                <w:szCs w:val="26"/>
                <w:u w:val="single"/>
              </w:rPr>
            </w:pPr>
            <w:r>
              <w:rPr>
                <w:sz w:val="24"/>
                <w:szCs w:val="24"/>
              </w:rPr>
              <w:t>(Red)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to obtain sample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 </w:t>
            </w:r>
            <w:r>
              <w:rPr>
                <w:color w:val="000000"/>
                <w:szCs w:val="24"/>
              </w:rPr>
              <w:t xml:space="preserve"> </w:t>
            </w:r>
            <w:r>
              <w:rPr>
                <w:color w:val="000000"/>
                <w:szCs w:val="24"/>
              </w:rPr>
              <w:t>Plt Exact</w:t>
            </w:r>
          </w:p>
        </w:tc>
      </w:tr>
      <w:tr>
        <w:trPr>
          <w:trHeight w:val="599"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ESR</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w:t>
            </w:r>
          </w:p>
          <w:p>
            <w:pPr>
              <w:pStyle w:val="Normal"/>
              <w:widowControl w:val="false"/>
              <w:shd w:fill="FFFFFF"/>
              <w:tabs>
                <w:tab w:val="clear" w:pos="709"/>
              </w:tabs>
              <w:bidi w:val="0"/>
              <w:spacing w:lineRule="auto" w:line="240" w:before="0" w:after="0"/>
              <w:jc w:val="start"/>
              <w:rPr>
                <w:b/>
                <w:szCs w:val="26"/>
                <w:u w:val="single"/>
              </w:rPr>
            </w:pPr>
            <w:r>
              <w:rPr>
                <w:sz w:val="24"/>
                <w:szCs w:val="24"/>
              </w:rPr>
              <w:t>4NC /3.5 (purple)</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3.5 ml </w:t>
            </w:r>
            <w:r>
              <w:rPr>
                <w:b/>
                <w:sz w:val="24"/>
                <w:szCs w:val="24"/>
              </w:rPr>
              <w:t>must</w:t>
            </w:r>
            <w:r>
              <w:rPr>
                <w:sz w:val="24"/>
                <w:szCs w:val="24"/>
              </w:rPr>
              <w:t xml:space="preserve"> be filled  to the line</w:t>
            </w:r>
          </w:p>
        </w:tc>
        <w:tc>
          <w:tcPr>
            <w:tcW w:w="4537" w:type="dxa"/>
            <w:tcBorders>
              <w:top w:val="single" w:sz="4" w:space="0" w:color="000000"/>
              <w:start w:val="single" w:sz="4" w:space="0" w:color="000000"/>
              <w:bottom w:val="single" w:sz="4" w:space="0" w:color="000000"/>
              <w:end w:val="single" w:sz="4" w:space="0" w:color="000000"/>
            </w:tcBorders>
          </w:tcPr>
          <w:tbl>
            <w:tblPr>
              <w:tblW w:w="2947" w:type="dxa"/>
              <w:jc w:val="center"/>
              <w:tblInd w:w="0" w:type="dxa"/>
              <w:tblLayout w:type="fixed"/>
              <w:tblCellMar>
                <w:top w:w="0" w:type="dxa"/>
                <w:start w:w="5" w:type="dxa"/>
                <w:bottom w:w="0" w:type="dxa"/>
                <w:end w:w="5" w:type="dxa"/>
              </w:tblCellMar>
            </w:tblPr>
            <w:tblGrid>
              <w:gridCol w:w="1568"/>
              <w:gridCol w:w="1378"/>
            </w:tblGrid>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1- 12 mm/hr</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1-20 mm/hr</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Urgent for Temporal Arthritis: 90 minutes</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color w:val="7030A0"/>
                <w:sz w:val="24"/>
                <w:szCs w:val="28"/>
                <w:lang w:eastAsia="en-GB"/>
              </w:rPr>
              <w:t>Theclinical Haematology team have listed the following conditions as the only times an ESR is indicated</w:t>
            </w:r>
          </w:p>
          <w:p>
            <w:pPr>
              <w:pStyle w:val="Normal"/>
              <w:widowControl w:val="false"/>
              <w:tabs>
                <w:tab w:val="clear" w:pos="709"/>
              </w:tabs>
              <w:suppressAutoHyphens w:val="false"/>
              <w:bidi w:val="0"/>
              <w:spacing w:lineRule="auto" w:line="240" w:before="0" w:after="0"/>
              <w:jc w:val="start"/>
              <w:rPr>
                <w:b/>
                <w:szCs w:val="26"/>
                <w:u w:val="single"/>
              </w:rPr>
            </w:pPr>
            <w:r>
              <w:rPr>
                <w:i/>
                <w:iCs/>
                <w:color w:val="7030A0"/>
                <w:sz w:val="24"/>
                <w:szCs w:val="28"/>
              </w:rPr>
              <w:t>1.Giant cell arteritis, Temporal arteritis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2. Polymyalgia rheumatica.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3.‘Suspected myeloma’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4. Hodgkins Lymphoma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5.Prosthetic joint infection</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6. Osteomyelitis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7. Rheumatoid Arthritis</w:t>
            </w:r>
          </w:p>
          <w:p>
            <w:pPr>
              <w:pStyle w:val="Normal"/>
              <w:widowControl w:val="false"/>
              <w:shd w:fill="FFFFFF"/>
              <w:tabs>
                <w:tab w:val="clear" w:pos="709"/>
              </w:tabs>
              <w:suppressAutoHyphens w:val="false"/>
              <w:bidi w:val="0"/>
              <w:spacing w:lineRule="auto" w:line="240" w:before="0" w:after="0"/>
              <w:contextualSpacing/>
              <w:jc w:val="start"/>
              <w:textAlignment w:val="baseline"/>
              <w:rPr>
                <w:color w:val="7030A0"/>
                <w:sz w:val="24"/>
                <w:szCs w:val="28"/>
              </w:rPr>
            </w:pPr>
            <w:r>
              <w:rPr>
                <w:color w:val="7030A0"/>
                <w:sz w:val="24"/>
                <w:szCs w:val="28"/>
              </w:rPr>
            </w:r>
          </w:p>
          <w:p>
            <w:pPr>
              <w:pStyle w:val="Normal"/>
              <w:widowControl w:val="false"/>
              <w:shd w:fill="FFFFFF"/>
              <w:tabs>
                <w:tab w:val="clear" w:pos="709"/>
              </w:tabs>
              <w:bidi w:val="0"/>
              <w:spacing w:lineRule="auto" w:line="240" w:before="0" w:after="0"/>
              <w:jc w:val="start"/>
              <w:rPr>
                <w:b/>
                <w:szCs w:val="26"/>
                <w:u w:val="single"/>
              </w:rPr>
            </w:pPr>
            <w:r>
              <w:rPr>
                <w:sz w:val="24"/>
                <w:szCs w:val="24"/>
              </w:rPr>
              <w:t>Stat samples -</w:t>
            </w:r>
          </w:p>
          <w:p>
            <w:pPr>
              <w:pStyle w:val="Normal"/>
              <w:widowControl w:val="false"/>
              <w:shd w:fill="FFFFFF"/>
              <w:tabs>
                <w:tab w:val="clear" w:pos="709"/>
              </w:tabs>
              <w:bidi w:val="0"/>
              <w:spacing w:lineRule="auto" w:line="240" w:before="0" w:after="0"/>
              <w:jc w:val="start"/>
              <w:rPr>
                <w:b/>
                <w:szCs w:val="26"/>
                <w:u w:val="single"/>
              </w:rPr>
            </w:pPr>
            <w:r>
              <w:rPr>
                <w:sz w:val="24"/>
                <w:szCs w:val="24"/>
              </w:rPr>
              <w:t>Must contact the Laboratory to request sample to be prioritised.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Sarstedt Desaga S2000</w:t>
            </w:r>
          </w:p>
          <w:p>
            <w:pPr>
              <w:pStyle w:val="Normal"/>
              <w:widowControl w:val="false"/>
              <w:shd w:fill="FFFFFF"/>
              <w:tabs>
                <w:tab w:val="clear" w:pos="709"/>
              </w:tabs>
              <w:bidi w:val="0"/>
              <w:spacing w:lineRule="auto" w:line="240" w:before="0" w:after="0"/>
              <w:jc w:val="start"/>
              <w:rPr>
                <w:b/>
                <w:szCs w:val="26"/>
                <w:u w:val="single"/>
              </w:rPr>
            </w:pPr>
            <w:r>
              <w:rPr>
                <w:sz w:val="22"/>
                <w:szCs w:val="22"/>
              </w:rPr>
              <w:t>Sedimentation of RBC's</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ESR</w:t>
            </w:r>
          </w:p>
          <w:p>
            <w:pPr>
              <w:pStyle w:val="Normal"/>
              <w:widowControl w:val="false"/>
              <w:shd w:fill="FFFFFF"/>
              <w:tabs>
                <w:tab w:val="clear" w:pos="709"/>
              </w:tabs>
              <w:suppressAutoHyphens w:val="false"/>
              <w:bidi w:val="0"/>
              <w:spacing w:lineRule="auto" w:line="240" w:before="0" w:after="0"/>
              <w:contextualSpacing/>
              <w:jc w:val="start"/>
              <w:textAlignment w:val="baseline"/>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Reticulocyte</w:t>
            </w:r>
          </w:p>
          <w:p>
            <w:pPr>
              <w:pStyle w:val="Normal"/>
              <w:widowControl w:val="false"/>
              <w:shd w:fill="FFFFFF"/>
              <w:tabs>
                <w:tab w:val="clear" w:pos="709"/>
              </w:tabs>
              <w:bidi w:val="0"/>
              <w:spacing w:lineRule="auto" w:line="240" w:before="0" w:after="0"/>
              <w:jc w:val="start"/>
              <w:rPr>
                <w:b/>
                <w:szCs w:val="26"/>
                <w:u w:val="single"/>
              </w:rPr>
            </w:pPr>
            <w:r>
              <w:rPr>
                <w:sz w:val="24"/>
                <w:szCs w:val="24"/>
              </w:rPr>
              <w:t>Count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lang w:val="en-IE"/>
              </w:rPr>
              <w:t>Retic: 0.4-1.9 %Male</w:t>
            </w:r>
          </w:p>
          <w:p>
            <w:pPr>
              <w:pStyle w:val="Normal"/>
              <w:widowControl w:val="false"/>
              <w:shd w:fill="FFFFFF"/>
              <w:tabs>
                <w:tab w:val="clear" w:pos="709"/>
              </w:tabs>
              <w:bidi w:val="0"/>
              <w:spacing w:lineRule="auto" w:line="240" w:before="0" w:after="0"/>
              <w:jc w:val="start"/>
              <w:rPr>
                <w:lang w:val="en-IE"/>
              </w:rPr>
            </w:pPr>
            <w:r>
              <w:rPr>
                <w:sz w:val="24"/>
                <w:lang w:val="en-IE"/>
              </w:rPr>
              <w:t xml:space="preserve">           </w:t>
            </w:r>
            <w:r>
              <w:rPr>
                <w:sz w:val="24"/>
                <w:lang w:val="en-IE"/>
              </w:rPr>
              <w:t>0.4-1.8% Female</w:t>
            </w:r>
          </w:p>
          <w:p>
            <w:pPr>
              <w:pStyle w:val="Normal"/>
              <w:widowControl w:val="false"/>
              <w:shd w:fill="FFFFFF"/>
              <w:tabs>
                <w:tab w:val="clear" w:pos="709"/>
              </w:tabs>
              <w:bidi w:val="0"/>
              <w:spacing w:lineRule="auto" w:line="240" w:before="0" w:after="0"/>
              <w:jc w:val="start"/>
              <w:rPr>
                <w:b/>
                <w:szCs w:val="26"/>
                <w:u w:val="single"/>
              </w:rPr>
            </w:pPr>
            <w:r>
              <w:rPr>
                <w:sz w:val="24"/>
              </w:rPr>
              <w:t>Retic (Abs) 14-100 x10</w:t>
            </w:r>
            <w:r>
              <w:rPr>
                <w:sz w:val="24"/>
                <w:vertAlign w:val="superscript"/>
              </w:rPr>
              <w:t>9</w:t>
            </w:r>
            <w:r>
              <w:rPr>
                <w:sz w:val="24"/>
              </w:rPr>
              <w:t>/L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not acceptable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tabs>
                <w:tab w:val="clear" w:pos="709"/>
                <w:tab w:val="left" w:pos="3810" w:leader="none"/>
              </w:tabs>
              <w:bidi w:val="0"/>
              <w:spacing w:lineRule="auto" w:line="240" w:before="0" w:after="0"/>
              <w:jc w:val="start"/>
              <w:rPr>
                <w:b/>
                <w:szCs w:val="26"/>
                <w:u w:val="single"/>
              </w:rPr>
            </w:pPr>
            <w:r>
              <w:rPr>
                <w:sz w:val="20"/>
              </w:rPr>
              <w:t>FFluorescence Flow Cytometry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 xml:space="preserve"> </w:t>
            </w:r>
            <w:r>
              <w:rPr>
                <w:b/>
                <w:color w:val="000000"/>
                <w:szCs w:val="24"/>
              </w:rPr>
              <w:t>Retics</w:t>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Infectious mononucleosis</w:t>
            </w:r>
          </w:p>
          <w:p>
            <w:pPr>
              <w:pStyle w:val="Normal"/>
              <w:widowControl w:val="false"/>
              <w:shd w:fill="FFFFFF"/>
              <w:tabs>
                <w:tab w:val="clear" w:pos="709"/>
              </w:tabs>
              <w:bidi w:val="0"/>
              <w:spacing w:lineRule="auto" w:line="240" w:before="0" w:after="0"/>
              <w:jc w:val="start"/>
              <w:rPr>
                <w:b/>
                <w:szCs w:val="26"/>
                <w:u w:val="single"/>
              </w:rPr>
            </w:pPr>
            <w:r>
              <w:rPr>
                <w:sz w:val="24"/>
                <w:szCs w:val="24"/>
              </w:rPr>
              <w:t>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Immunoassay</w:t>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2148"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examination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5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hrs old.</w:t>
            </w:r>
          </w:p>
          <w:p>
            <w:pPr>
              <w:pStyle w:val="Normal"/>
              <w:widowControl w:val="false"/>
              <w:shd w:fill="FFFFFF"/>
              <w:tabs>
                <w:tab w:val="clear" w:pos="709"/>
              </w:tabs>
              <w:bidi w:val="0"/>
              <w:spacing w:lineRule="auto" w:line="240" w:before="0" w:after="0"/>
              <w:jc w:val="start"/>
              <w:rPr>
                <w:b/>
                <w:szCs w:val="26"/>
                <w:u w:val="single"/>
              </w:rPr>
            </w:pPr>
            <w:r>
              <w:rPr>
                <w:sz w:val="24"/>
                <w:szCs w:val="24"/>
              </w:rPr>
              <w:t>Clinical details and reason for blood film must be on the form.</w:t>
            </w:r>
          </w:p>
          <w:p>
            <w:pPr>
              <w:pStyle w:val="Normal"/>
              <w:widowControl w:val="false"/>
              <w:shd w:fill="FFFFFF"/>
              <w:tabs>
                <w:tab w:val="clear" w:pos="709"/>
              </w:tabs>
              <w:bidi w:val="0"/>
              <w:spacing w:lineRule="auto" w:line="240" w:before="0" w:after="0"/>
              <w:jc w:val="start"/>
              <w:rPr>
                <w:color w:val="4F81BD"/>
                <w:sz w:val="24"/>
                <w:szCs w:val="24"/>
              </w:rPr>
            </w:pPr>
            <w:r>
              <w:rPr>
                <w:color w:val="4F81BD"/>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sp50,Staining/Microscopy</w:t>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 be requested by phoning the Laboratory directly</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Referral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9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sent to Haematology Team for review. Report will follow within 7 days.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 Staining/Microscopy</w:t>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HBFC</w:t>
            </w:r>
            <w:r>
              <w:rPr>
                <w:sz w:val="24"/>
                <w:szCs w:val="24"/>
              </w:rPr>
              <w:t>Only ordered by Haematology staff</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Malaria: Rapid Diagnostic Tests (RDT’s) and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hrs for RDT. 4-72 hours depending on RDT results for Blood films. RDT neg – film processed next working day</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 2 hours old.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Manual/ Immuno-chromatographic test</w:t>
            </w:r>
          </w:p>
          <w:p>
            <w:pPr>
              <w:pStyle w:val="Normal"/>
              <w:widowControl w:val="false"/>
              <w:shd w:fill="FFFFFF"/>
              <w:tabs>
                <w:tab w:val="clear" w:pos="709"/>
              </w:tabs>
              <w:bidi w:val="0"/>
              <w:spacing w:lineRule="auto" w:line="240" w:before="0" w:after="0"/>
              <w:jc w:val="start"/>
              <w:rPr>
                <w:b/>
                <w:szCs w:val="26"/>
                <w:u w:val="single"/>
              </w:rPr>
            </w:pPr>
            <w:r>
              <w:rPr>
                <w:sz w:val="22"/>
                <w:szCs w:val="22"/>
              </w:rPr>
              <w:t>Manual Staining/microscopy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Mal Scr</w:t>
            </w:r>
          </w:p>
          <w:p>
            <w:pPr>
              <w:pStyle w:val="Normal"/>
              <w:widowControl w:val="false"/>
              <w:shd w:fill="FFFFFF"/>
              <w:tabs>
                <w:tab w:val="clear" w:pos="709"/>
              </w:tabs>
              <w:bidi w:val="0"/>
              <w:spacing w:lineRule="auto" w:line="240" w:before="0" w:after="0"/>
              <w:jc w:val="start"/>
              <w:rPr>
                <w:b/>
                <w:szCs w:val="26"/>
                <w:u w:val="single"/>
              </w:rPr>
            </w:pPr>
            <w:r>
              <w:rPr>
                <w:color w:val="000000"/>
                <w:szCs w:val="24"/>
              </w:rPr>
              <w:t>Mal film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Sickle solubility 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Urgent: 2 hours.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If non-urgent,  sample is Referred to SJH for full HB-EL screen:</w:t>
            </w:r>
          </w:p>
          <w:p>
            <w:pPr>
              <w:pStyle w:val="Normal"/>
              <w:widowControl w:val="false"/>
              <w:tabs>
                <w:tab w:val="clear" w:pos="709"/>
              </w:tabs>
              <w:bidi w:val="0"/>
              <w:spacing w:lineRule="auto" w:line="240"/>
              <w:jc w:val="start"/>
              <w:rPr>
                <w:b/>
                <w:szCs w:val="26"/>
                <w:u w:val="single"/>
              </w:rPr>
            </w:pPr>
            <w:r>
              <w:rPr>
                <w:sz w:val="22"/>
                <w:szCs w:val="22"/>
              </w:rPr>
              <w:t>A verbal report is available 7 days after dispatch.</w:t>
            </w:r>
          </w:p>
          <w:p>
            <w:pPr>
              <w:pStyle w:val="Normal"/>
              <w:widowControl w:val="false"/>
              <w:tabs>
                <w:tab w:val="clear" w:pos="709"/>
              </w:tabs>
              <w:bidi w:val="0"/>
              <w:spacing w:lineRule="auto" w:line="240"/>
              <w:jc w:val="start"/>
              <w:rPr>
                <w:lang w:val="de-DE"/>
              </w:rPr>
            </w:pPr>
            <w:r>
              <w:rPr>
                <w:sz w:val="22"/>
                <w:szCs w:val="22"/>
                <w:lang w:val="de-DE"/>
              </w:rPr>
              <w:t>Phone No.’s:01-4162394 (SJH)</w:t>
            </w:r>
          </w:p>
          <w:p>
            <w:pPr>
              <w:pStyle w:val="Normal"/>
              <w:widowControl w:val="false"/>
              <w:shd w:fill="FFFFFF"/>
              <w:tabs>
                <w:tab w:val="clear" w:pos="709"/>
              </w:tabs>
              <w:bidi w:val="0"/>
              <w:spacing w:lineRule="auto" w:line="240" w:before="0" w:after="0"/>
              <w:jc w:val="start"/>
              <w:rPr>
                <w:sz w:val="22"/>
                <w:szCs w:val="22"/>
              </w:rPr>
            </w:pPr>
            <w:r>
              <w:rPr>
                <w:sz w:val="22"/>
                <w:szCs w:val="22"/>
              </w:rPr>
            </w:r>
          </w:p>
          <w:p>
            <w:pPr>
              <w:pStyle w:val="Normal"/>
              <w:widowControl w:val="false"/>
              <w:shd w:fill="FFFFFF"/>
              <w:tabs>
                <w:tab w:val="clear" w:pos="709"/>
              </w:tabs>
              <w:bidi w:val="0"/>
              <w:spacing w:lineRule="auto" w:line="240" w:before="0" w:after="0"/>
              <w:jc w:val="start"/>
              <w:rPr>
                <w:b/>
                <w:szCs w:val="26"/>
                <w:u w:val="single"/>
              </w:rPr>
            </w:pPr>
            <w:r>
              <w:rPr>
                <w:sz w:val="22"/>
                <w:szCs w:val="22"/>
              </w:rPr>
              <w:t>A printed report is available 5 weeks after dispatch.</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Cs/>
                <w:sz w:val="24"/>
                <w:szCs w:val="24"/>
              </w:rPr>
              <w:t xml:space="preserve">This test is performed for urgent pre-op anaesthetic screening only. If urgent, please contact the laboratory.   </w:t>
            </w:r>
            <w:r>
              <w:rPr>
                <w:sz w:val="24"/>
                <w:szCs w:val="24"/>
              </w:rPr>
              <w:t>In all other instances, order Haemoglobin Electrophoresis C</w:t>
            </w:r>
            <w:r>
              <w:rPr>
                <w:kern w:val="2"/>
                <w:sz w:val="24"/>
                <w:szCs w:val="24"/>
              </w:rPr>
              <w:t>omplete the SJH request form available as a link on Powerchart</w:t>
            </w:r>
          </w:p>
          <w:p>
            <w:pPr>
              <w:pStyle w:val="Normal"/>
              <w:widowControl w:val="false"/>
              <w:shd w:fill="FFFFFF"/>
              <w:tabs>
                <w:tab w:val="clear" w:pos="709"/>
              </w:tabs>
              <w:bidi w:val="0"/>
              <w:spacing w:lineRule="auto" w:line="240" w:before="0" w:after="0"/>
              <w:jc w:val="start"/>
              <w:rPr>
                <w:b/>
                <w:szCs w:val="26"/>
                <w:u w:val="single"/>
              </w:rPr>
            </w:pPr>
            <w:r>
              <w:rPr>
                <w:bCs/>
                <w:sz w:val="24"/>
                <w:szCs w:val="24"/>
              </w:rPr>
              <w:t>The Sickle solubility test is a screening method and as such is subject to false positives and negatives. All sickle solubility tests must be confirmed by HPLC/Electrophoresis. This test is performed in St James Hospital.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Solubility Test for HbS</w:t>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Sickle</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Hb'opathy Scr (SO)</w:t>
            </w:r>
          </w:p>
        </w:tc>
      </w:tr>
      <w:tr>
        <w:trPr>
          <w:trHeight w:val="1434"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 aspirate</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w:t>
            </w:r>
          </w:p>
          <w:p>
            <w:pPr>
              <w:pStyle w:val="Normal"/>
              <w:widowControl w:val="false"/>
              <w:shd w:fill="FFFFFF"/>
              <w:tabs>
                <w:tab w:val="clear" w:pos="709"/>
              </w:tabs>
              <w:bidi w:val="0"/>
              <w:spacing w:lineRule="auto" w:line="240" w:before="0" w:after="0"/>
              <w:jc w:val="start"/>
              <w:rPr>
                <w:b/>
                <w:szCs w:val="26"/>
                <w:u w:val="single"/>
              </w:rPr>
            </w:pPr>
            <w:r>
              <w:rPr>
                <w:sz w:val="24"/>
                <w:szCs w:val="24"/>
              </w:rPr>
              <w:t>aspirate on glass slides. Needles and slides available in CKB (2150)</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 minimum of 5 slides.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Processed during Routine working hours</w:t>
            </w:r>
          </w:p>
          <w:p>
            <w:pPr>
              <w:pStyle w:val="Normal"/>
              <w:widowControl w:val="false"/>
              <w:shd w:fill="FFFFFF"/>
              <w:tabs>
                <w:tab w:val="clear" w:pos="709"/>
              </w:tabs>
              <w:bidi w:val="0"/>
              <w:spacing w:lineRule="auto" w:line="240" w:before="0" w:after="0"/>
              <w:jc w:val="start"/>
              <w:rPr>
                <w:b/>
                <w:szCs w:val="26"/>
                <w:u w:val="single"/>
              </w:rPr>
            </w:pPr>
            <w:r>
              <w:rPr>
                <w:sz w:val="24"/>
                <w:szCs w:val="24"/>
              </w:rPr>
              <w:t>Stained for next Working Day. Await Consultant reporting:</w:t>
            </w:r>
          </w:p>
          <w:p>
            <w:pPr>
              <w:pStyle w:val="Normal"/>
              <w:widowControl w:val="false"/>
              <w:shd w:fill="FFFFFF"/>
              <w:tabs>
                <w:tab w:val="clear" w:pos="709"/>
              </w:tabs>
              <w:bidi w:val="0"/>
              <w:spacing w:lineRule="auto" w:line="240" w:before="0" w:after="0"/>
              <w:jc w:val="start"/>
              <w:rPr>
                <w:b/>
                <w:szCs w:val="26"/>
                <w:u w:val="single"/>
              </w:rPr>
            </w:pPr>
            <w:r>
              <w:rPr>
                <w:sz w:val="24"/>
                <w:szCs w:val="24"/>
                <w:u w:val="single"/>
              </w:rPr>
              <w:t>Reporting TAT:</w:t>
            </w:r>
          </w:p>
          <w:p>
            <w:pPr>
              <w:pStyle w:val="Normal"/>
              <w:widowControl w:val="false"/>
              <w:shd w:fill="FFFFFF"/>
              <w:tabs>
                <w:tab w:val="clear" w:pos="709"/>
              </w:tabs>
              <w:bidi w:val="0"/>
              <w:spacing w:lineRule="auto" w:line="240" w:before="0" w:after="0"/>
              <w:jc w:val="start"/>
              <w:rPr>
                <w:b/>
                <w:szCs w:val="26"/>
                <w:u w:val="single"/>
              </w:rPr>
            </w:pPr>
            <w:r>
              <w:rPr>
                <w:sz w:val="24"/>
                <w:szCs w:val="24"/>
              </w:rPr>
              <w:t>Written report is available on Powerchart  within  3 weeks</w:t>
            </w:r>
          </w:p>
        </w:tc>
        <w:tc>
          <w:tcPr>
            <w:tcW w:w="20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Slides must be labelled in pencil with the patients’ Surname and second unique identifier either D.O.B or unique hospital number.</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Order the </w:t>
            </w:r>
            <w:r>
              <w:rPr>
                <w:color w:val="000000"/>
                <w:sz w:val="24"/>
                <w:szCs w:val="24"/>
              </w:rPr>
              <w:t>Bone Marrow Aspirate (Haem)</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Staining/</w:t>
            </w:r>
          </w:p>
          <w:p>
            <w:pPr>
              <w:pStyle w:val="Normal"/>
              <w:widowControl w:val="false"/>
              <w:shd w:fill="FFFFFF"/>
              <w:tabs>
                <w:tab w:val="clear" w:pos="709"/>
              </w:tabs>
              <w:bidi w:val="0"/>
              <w:spacing w:lineRule="auto" w:line="240" w:before="0" w:after="0"/>
              <w:jc w:val="start"/>
              <w:rPr>
                <w:b/>
                <w:szCs w:val="26"/>
                <w:u w:val="single"/>
              </w:rPr>
            </w:pPr>
            <w:r>
              <w:rPr>
                <w:sz w:val="24"/>
                <w:szCs w:val="24"/>
              </w:rPr>
              <w:t>Microscopy</w:t>
            </w:r>
          </w:p>
        </w:tc>
        <w:tc>
          <w:tcPr>
            <w:tcW w:w="127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BMA</w:t>
            </w:r>
          </w:p>
        </w:tc>
      </w:tr>
    </w:tbl>
    <w:p>
      <w:pPr>
        <w:pStyle w:val="Normal"/>
        <w:widowControl w:val="false"/>
        <w:bidi w:val="0"/>
        <w:spacing w:lineRule="auto" w:line="240"/>
        <w:jc w:val="start"/>
        <w:rPr>
          <w:lang w:val="en-IE"/>
        </w:rPr>
      </w:pPr>
      <w:r>
        <w:rPr>
          <w:lang w:val="en-IE"/>
        </w:rPr>
      </w:r>
      <w:r>
        <w:br w:type="page"/>
      </w:r>
    </w:p>
    <w:p>
      <w:pPr>
        <w:pStyle w:val="Heading3"/>
        <w:numPr>
          <w:ilvl w:val="2"/>
          <w:numId w:val="16"/>
        </w:numPr>
        <w:shd w:fill="FFFFFF"/>
        <w:tabs>
          <w:tab w:val="left" w:pos="1134" w:leader="none"/>
          <w:tab w:val="left" w:pos="1854" w:leader="none"/>
        </w:tabs>
        <w:bidi w:val="0"/>
        <w:spacing w:lineRule="auto" w:line="240"/>
        <w:ind w:start="720" w:end="0" w:hanging="720"/>
        <w:jc w:val="start"/>
        <w:rPr>
          <w:lang w:val="en-IE"/>
        </w:rPr>
      </w:pPr>
      <w:bookmarkStart w:id="87" w:name="_Toc196476740"/>
      <w:bookmarkEnd w:id="87"/>
      <w:r>
        <w:rPr>
          <w:lang w:val="en-IE"/>
        </w:rPr>
        <w:t>Repertoire of Flow Cytometry Tests</w:t>
      </w:r>
    </w:p>
    <w:tbl>
      <w:tblPr>
        <w:tblW w:w="14634" w:type="dxa"/>
        <w:jc w:val="center"/>
        <w:tblInd w:w="0" w:type="dxa"/>
        <w:tblLayout w:type="fixed"/>
        <w:tblCellMar>
          <w:top w:w="0" w:type="dxa"/>
          <w:start w:w="5" w:type="dxa"/>
          <w:bottom w:w="0" w:type="dxa"/>
          <w:end w:w="5" w:type="dxa"/>
        </w:tblCellMar>
      </w:tblPr>
      <w:tblGrid>
        <w:gridCol w:w="2126"/>
        <w:gridCol w:w="1946"/>
        <w:gridCol w:w="1418"/>
        <w:gridCol w:w="2795"/>
        <w:gridCol w:w="1655"/>
        <w:gridCol w:w="2269"/>
        <w:gridCol w:w="1213"/>
        <w:gridCol w:w="1210"/>
      </w:tblGrid>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1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CD4</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502-1749 Cells/ul</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CD4</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TBNK</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CD3#797-2996Cells/ul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CD3/4#502-1749Cells/ul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CD3/8#263-1137Cells/ul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CD19#99-618Cells/ul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CD56#72-577Cells/ul</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TBNK</w:t>
            </w:r>
          </w:p>
        </w:tc>
      </w:tr>
      <w:tr>
        <w:trPr>
          <w:trHeight w:val="797"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Lymphoid Screening Tube</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u w:val="single"/>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BMA)(white c apped, RPMI, –cytogenetics bottle Lymph Node Aspirate)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LST</w:t>
            </w:r>
          </w:p>
        </w:tc>
      </w:tr>
      <w:tr>
        <w:trPr>
          <w:trHeight w:val="1595"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Lymphoproliferative Panel</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B NHL Panel</w:t>
            </w:r>
          </w:p>
        </w:tc>
      </w:tr>
      <w:tr>
        <w:trPr>
          <w:trHeight w:val="623"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Acute Leukaemia Screen</w:t>
            </w:r>
          </w:p>
          <w:p>
            <w:pPr>
              <w:pStyle w:val="Normal"/>
              <w:widowControl w:val="false"/>
              <w:shd w:fill="FFFFFF"/>
              <w:tabs>
                <w:tab w:val="clear" w:pos="709"/>
              </w:tabs>
              <w:bidi w:val="0"/>
              <w:spacing w:lineRule="auto" w:line="240" w:before="0" w:after="0"/>
              <w:jc w:val="start"/>
              <w:rPr>
                <w:b/>
                <w:szCs w:val="26"/>
                <w:u w:val="single"/>
              </w:rPr>
            </w:pPr>
            <w:r>
              <w:rPr>
                <w:sz w:val="24"/>
                <w:szCs w:val="24"/>
              </w:rPr>
              <w:t>Acute Leukaemia Panel</w:t>
            </w:r>
          </w:p>
          <w:p>
            <w:pPr>
              <w:pStyle w:val="Normal"/>
              <w:widowControl w:val="false"/>
              <w:shd w:fill="FFFFFF"/>
              <w:tabs>
                <w:tab w:val="clear" w:pos="709"/>
              </w:tabs>
              <w:bidi w:val="0"/>
              <w:spacing w:lineRule="auto" w:line="240" w:before="0" w:after="0"/>
              <w:jc w:val="start"/>
              <w:rPr>
                <w:b/>
                <w:szCs w:val="26"/>
                <w:u w:val="single"/>
              </w:rPr>
            </w:pPr>
            <w:r>
              <w:rPr>
                <w:sz w:val="24"/>
                <w:szCs w:val="24"/>
              </w:rPr>
              <w:t>Blast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s>
              <w:bidi w:val="0"/>
              <w:spacing w:lineRule="auto" w:line="240" w:before="0" w:after="0"/>
              <w:jc w:val="start"/>
              <w:rPr>
                <w:b/>
                <w:szCs w:val="26"/>
                <w:u w:val="single"/>
              </w:rPr>
            </w:pPr>
            <w:r>
              <w:rPr>
                <w:sz w:val="24"/>
                <w:szCs w:val="24"/>
              </w:rPr>
              <w:t>(orange capped-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Must be arranged in advance with prior consultation with the lab. Containers are only obtained from the lab.</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BLAST</w:t>
            </w:r>
          </w:p>
          <w:tbl>
            <w:tblPr>
              <w:tblW w:w="10343" w:type="dxa"/>
              <w:jc w:val="start"/>
              <w:tblInd w:w="0" w:type="dxa"/>
              <w:tblLayout w:type="fixed"/>
              <w:tblCellMar>
                <w:top w:w="0" w:type="dxa"/>
                <w:start w:w="108" w:type="dxa"/>
                <w:bottom w:w="0" w:type="dxa"/>
                <w:end w:w="108" w:type="dxa"/>
              </w:tblCellMar>
            </w:tblPr>
            <w:tblGrid>
              <w:gridCol w:w="10343"/>
            </w:tblGrid>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Acute</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Panel</w:t>
                  </w:r>
                </w:p>
              </w:tc>
            </w:tr>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Acute</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Scr</w:t>
                  </w:r>
                </w:p>
              </w:tc>
            </w:tr>
          </w:tbl>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79"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1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623"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1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Paroxysmal Nocturnal Haemoglobinuria</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Fresh EDTA</w:t>
            </w:r>
          </w:p>
          <w:p>
            <w:pPr>
              <w:pStyle w:val="Normal"/>
              <w:widowControl w:val="false"/>
              <w:shd w:fill="FFFFFF"/>
              <w:tabs>
                <w:tab w:val="clear" w:pos="709"/>
              </w:tabs>
              <w:bidi w:val="0"/>
              <w:spacing w:lineRule="auto" w:line="240" w:before="0" w:after="0"/>
              <w:jc w:val="start"/>
              <w:rPr>
                <w:b/>
                <w:szCs w:val="26"/>
                <w:u w:val="single"/>
              </w:rPr>
            </w:pPr>
            <w:r>
              <w:rPr>
                <w:sz w:val="24"/>
                <w:szCs w:val="24"/>
              </w:rPr>
              <w:t>(pink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personnel. Sample may be stored in fridge for &lt;72 hours if not for immediate testing</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PNH</w:t>
            </w:r>
          </w:p>
        </w:tc>
      </w:tr>
      <w:tr>
        <w:trPr>
          <w:trHeight w:val="152"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T-Cell Panel</w:t>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(pink capped) 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10"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T NHL Panel</w:t>
            </w:r>
          </w:p>
        </w:tc>
      </w:tr>
      <w:tr>
        <w:trPr>
          <w:trHeight w:val="531"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6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10"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bl>
    <w:p>
      <w:pPr>
        <w:pStyle w:val="Normal"/>
        <w:widowControl w:val="false"/>
        <w:bidi w:val="0"/>
        <w:spacing w:lineRule="auto" w:line="240"/>
        <w:jc w:val="start"/>
        <w:rPr>
          <w:lang w:val="en-IE"/>
        </w:rPr>
      </w:pPr>
      <w:r>
        <w:rPr>
          <w:lang w:val="en-IE"/>
        </w:rPr>
      </w:r>
      <w:r>
        <w:br w:type="page"/>
      </w:r>
    </w:p>
    <w:p>
      <w:pPr>
        <w:pStyle w:val="Heading3"/>
        <w:numPr>
          <w:ilvl w:val="2"/>
          <w:numId w:val="16"/>
        </w:numPr>
        <w:shd w:fill="FFFFFF"/>
        <w:tabs>
          <w:tab w:val="left" w:pos="1134" w:leader="none"/>
          <w:tab w:val="left" w:pos="1854" w:leader="none"/>
        </w:tabs>
        <w:bidi w:val="0"/>
        <w:spacing w:lineRule="auto" w:line="240"/>
        <w:ind w:start="720" w:end="0" w:hanging="720"/>
        <w:jc w:val="start"/>
        <w:rPr>
          <w:lang w:val="en-IE"/>
        </w:rPr>
      </w:pPr>
      <w:bookmarkStart w:id="88" w:name="_Toc196476741"/>
      <w:bookmarkEnd w:id="88"/>
      <w:r>
        <w:rPr>
          <w:lang w:val="en-IE"/>
        </w:rPr>
        <w:t>Repertoire of Coagulation Tests</w:t>
      </w:r>
    </w:p>
    <w:tbl>
      <w:tblPr>
        <w:tblW w:w="15166" w:type="dxa"/>
        <w:jc w:val="center"/>
        <w:tblInd w:w="0" w:type="dxa"/>
        <w:tblLayout w:type="fixed"/>
        <w:tblCellMar>
          <w:top w:w="0" w:type="dxa"/>
          <w:start w:w="5" w:type="dxa"/>
          <w:bottom w:w="0" w:type="dxa"/>
          <w:end w:w="5" w:type="dxa"/>
        </w:tblCellMar>
      </w:tblPr>
      <w:tblGrid>
        <w:gridCol w:w="1418"/>
        <w:gridCol w:w="1701"/>
        <w:gridCol w:w="1415"/>
        <w:gridCol w:w="1418"/>
        <w:gridCol w:w="2630"/>
        <w:gridCol w:w="1134"/>
        <w:gridCol w:w="2331"/>
        <w:gridCol w:w="1582"/>
        <w:gridCol w:w="1535"/>
      </w:tblGrid>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w:t>
            </w:r>
          </w:p>
          <w:p>
            <w:pPr>
              <w:pStyle w:val="Normal"/>
              <w:widowControl w:val="false"/>
              <w:shd w:fill="FFFFFF"/>
              <w:tabs>
                <w:tab w:val="clear" w:pos="709"/>
              </w:tabs>
              <w:bidi w:val="0"/>
              <w:spacing w:lineRule="auto" w:line="240" w:before="0" w:after="0"/>
              <w:jc w:val="start"/>
              <w:rPr>
                <w:lang w:val="en-IE"/>
              </w:rPr>
            </w:pPr>
            <w:r>
              <w:rPr>
                <w:b/>
                <w:sz w:val="24"/>
                <w:szCs w:val="24"/>
                <w:lang w:val="en-IE"/>
              </w:rPr>
              <w:t>Samples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 Screen  includes PT, INR, APTT and APTT</w:t>
            </w:r>
          </w:p>
          <w:p>
            <w:pPr>
              <w:pStyle w:val="Normal"/>
              <w:widowControl w:val="false"/>
              <w:shd w:fill="FFFFFF"/>
              <w:tabs>
                <w:tab w:val="clear" w:pos="709"/>
              </w:tabs>
              <w:bidi w:val="0"/>
              <w:spacing w:lineRule="auto" w:line="240" w:before="0" w:after="0"/>
              <w:jc w:val="start"/>
              <w:rPr>
                <w:b/>
                <w:szCs w:val="26"/>
                <w:u w:val="single"/>
              </w:rPr>
            </w:pPr>
            <w:r>
              <w:rPr>
                <w:sz w:val="24"/>
                <w:szCs w:val="24"/>
              </w:rPr>
              <w:t>Ratio (APTTR)</w:t>
            </w:r>
          </w:p>
          <w:p>
            <w:pPr>
              <w:pStyle w:val="Normal"/>
              <w:widowControl w:val="false"/>
              <w:shd w:fill="FFFFFF"/>
              <w:tabs>
                <w:tab w:val="clear" w:pos="709"/>
              </w:tabs>
              <w:bidi w:val="0"/>
              <w:spacing w:lineRule="auto" w:line="240" w:before="0" w:after="0"/>
              <w:jc w:val="start"/>
              <w:rPr>
                <w:b/>
                <w:szCs w:val="26"/>
                <w:u w:val="single"/>
              </w:rPr>
            </w:pPr>
            <w:r>
              <w:rPr>
                <w:sz w:val="24"/>
                <w:szCs w:val="24"/>
              </w:rPr>
              <w:t>Coag GP – is the same as above without the APTTR</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PT: 10-13.2 seconds</w:t>
            </w:r>
          </w:p>
          <w:p>
            <w:pPr>
              <w:pStyle w:val="Normal"/>
              <w:widowControl w:val="false"/>
              <w:shd w:fill="FFFFFF"/>
              <w:tabs>
                <w:tab w:val="clear" w:pos="709"/>
              </w:tabs>
              <w:bidi w:val="0"/>
              <w:spacing w:lineRule="auto" w:line="240" w:before="0" w:after="0"/>
              <w:jc w:val="start"/>
              <w:rPr>
                <w:b/>
                <w:szCs w:val="26"/>
                <w:u w:val="single"/>
              </w:rPr>
            </w:pPr>
            <w:r>
              <w:rPr>
                <w:sz w:val="24"/>
                <w:szCs w:val="24"/>
              </w:rPr>
              <w:t>INR- The INR should only be used for monitoring Warfarin therapy. Refer to local treatment algorithmAPTT: 24 – 36 seconds</w:t>
            </w:r>
          </w:p>
          <w:p>
            <w:pPr>
              <w:pStyle w:val="Normal"/>
              <w:widowControl w:val="false"/>
              <w:shd w:fill="FFFFFF"/>
              <w:tabs>
                <w:tab w:val="clear" w:pos="709"/>
              </w:tabs>
              <w:bidi w:val="0"/>
              <w:spacing w:lineRule="auto" w:line="240" w:before="0" w:after="0"/>
              <w:jc w:val="start"/>
              <w:rPr>
                <w:b/>
                <w:szCs w:val="26"/>
                <w:u w:val="single"/>
              </w:rPr>
            </w:pPr>
            <w:r>
              <w:rPr>
                <w:sz w:val="24"/>
                <w:szCs w:val="24"/>
              </w:rPr>
              <w:t>APTTR 1.5 -2.5 ratio</w:t>
            </w:r>
          </w:p>
          <w:p>
            <w:pPr>
              <w:pStyle w:val="Normal"/>
              <w:widowControl w:val="false"/>
              <w:shd w:fill="FFFFFF"/>
              <w:tabs>
                <w:tab w:val="clear" w:pos="709"/>
              </w:tabs>
              <w:bidi w:val="0"/>
              <w:spacing w:lineRule="auto" w:line="240" w:before="0" w:after="0"/>
              <w:jc w:val="start"/>
              <w:rPr>
                <w:b/>
                <w:szCs w:val="26"/>
                <w:u w:val="single"/>
              </w:rPr>
            </w:pPr>
            <w:r>
              <w:rPr>
                <w:sz w:val="24"/>
                <w:szCs w:val="24"/>
              </w:rPr>
              <w:t>APTTR: The APTT ratio should only be used for monitoring the anticoagulant effect of an Unfractionated Heparin Infusion.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Parameters</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Scr</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GP</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The INR should only be used for monitoring Warfarin therapy. Refer to local treatment algorithm.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INRs only are stable for 24 hrs Warfarin Office contact no.</w:t>
            </w:r>
          </w:p>
          <w:p>
            <w:pPr>
              <w:pStyle w:val="Normal"/>
              <w:widowControl w:val="false"/>
              <w:shd w:fill="FFFFFF"/>
              <w:tabs>
                <w:tab w:val="clear" w:pos="709"/>
              </w:tabs>
              <w:bidi w:val="0"/>
              <w:spacing w:lineRule="auto" w:line="240" w:before="0" w:after="0"/>
              <w:jc w:val="start"/>
              <w:rPr>
                <w:b/>
                <w:szCs w:val="26"/>
                <w:u w:val="single"/>
              </w:rPr>
            </w:pPr>
            <w:r>
              <w:rPr>
                <w:sz w:val="24"/>
                <w:szCs w:val="24"/>
              </w:rPr>
              <w:t>01-8092083</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INR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D-Dimer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Under 50 yrs&lt;0.5 µg/ml</w:t>
            </w:r>
          </w:p>
          <w:p>
            <w:pPr>
              <w:pStyle w:val="Normal"/>
              <w:widowControl w:val="false"/>
              <w:shd w:fill="FFFFFF"/>
              <w:tabs>
                <w:tab w:val="clear" w:pos="709"/>
              </w:tabs>
              <w:bidi w:val="0"/>
              <w:spacing w:lineRule="auto" w:line="240" w:before="0" w:after="0"/>
              <w:jc w:val="start"/>
              <w:rPr>
                <w:b/>
                <w:szCs w:val="26"/>
                <w:u w:val="single"/>
              </w:rPr>
            </w:pPr>
            <w:r>
              <w:rPr>
                <w:sz w:val="24"/>
                <w:szCs w:val="24"/>
              </w:rPr>
              <w:t>Then increases in 5 year increments by 0.5. i.e 55-60 (&lt;0.6) and 85-90</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&lt;0.9)</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hours old</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Dimer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Fibrinogen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1.9 – 3.5 g/L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For patients on Argatroban a Clauss Fibrinogen test is not appropriate &amp; will be reported as follows:  "Fibrinogen result is unavailable as the patient is on Argatroban which may cause a false low fibrinogen result in the Clauss fibrinogen assay. Please discuss with the Haematology team".</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Clotting (Clauss)</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Fib-c</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Mixing study</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Corrected to within the PT and APTT normal ranges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Lab criteria for mixing study are prolonged PT or APTT when patient is not on anticoagulant and the liver function is normal.  Mixing study requests must be approved by the Haematology team. For urgent requests, contact the laboratory in the morning, may be able to facilitate testing that day.</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Mix Stdy</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Intrinsic Factor assay Screen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4"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w:t>
            </w:r>
          </w:p>
          <w:p>
            <w:pPr>
              <w:pStyle w:val="Normal"/>
              <w:widowControl w:val="false"/>
              <w:shd w:fill="FFFFFF"/>
              <w:tabs>
                <w:tab w:val="clear" w:pos="709"/>
              </w:tabs>
              <w:bidi w:val="0"/>
              <w:spacing w:lineRule="auto" w:line="240"/>
              <w:jc w:val="start"/>
              <w:rPr>
                <w:b/>
                <w:szCs w:val="26"/>
                <w:u w:val="single"/>
              </w:rPr>
            </w:pPr>
            <w:r>
              <w:rPr>
                <w:sz w:val="24"/>
                <w:szCs w:val="24"/>
              </w:rPr>
              <w:t>14 days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Requests must be approved by the Haematology team c/o Coagulation consultant.Tests done in batches.</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IFS</w:t>
            </w:r>
          </w:p>
        </w:tc>
      </w:tr>
      <w:tr>
        <w:trPr>
          <w:trHeight w:val="1581" w:hRule="atLeast"/>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Extrinsic Factor assay Screen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4"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Requests must be approved by the Haematology team c/o Coagulation consultant.Tests done in batches.</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EFS</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Assays</w:t>
            </w:r>
          </w:p>
          <w:p>
            <w:pPr>
              <w:pStyle w:val="Normal"/>
              <w:widowControl w:val="false"/>
              <w:shd w:fill="FFFFFF"/>
              <w:tabs>
                <w:tab w:val="clear" w:pos="709"/>
              </w:tabs>
              <w:bidi w:val="0"/>
              <w:spacing w:lineRule="auto" w:line="240" w:before="0" w:after="0"/>
              <w:jc w:val="start"/>
              <w:rPr>
                <w:b/>
                <w:szCs w:val="26"/>
                <w:u w:val="single"/>
              </w:rPr>
            </w:pPr>
            <w:r>
              <w:rPr>
                <w:sz w:val="24"/>
                <w:szCs w:val="24"/>
              </w:rPr>
              <w:t>Individual requests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tbl>
            <w:tblPr>
              <w:tblW w:w="2370" w:type="dxa"/>
              <w:jc w:val="start"/>
              <w:tblInd w:w="5" w:type="dxa"/>
              <w:tblLayout w:type="fixed"/>
              <w:tblCellMar>
                <w:top w:w="0" w:type="dxa"/>
                <w:start w:w="5" w:type="dxa"/>
                <w:bottom w:w="0" w:type="dxa"/>
                <w:end w:w="5" w:type="dxa"/>
              </w:tblCellMar>
            </w:tblPr>
            <w:tblGrid>
              <w:gridCol w:w="648"/>
              <w:gridCol w:w="1721"/>
            </w:tblGrid>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0.72-1.31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0.63-1.33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0.51-1.54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0.60-1.36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0.80-1.47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0.64-1.50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0.72-1.52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0.52-1.64  IU/mL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w:t>
            </w:r>
          </w:p>
          <w:p>
            <w:pPr>
              <w:pStyle w:val="Normal"/>
              <w:widowControl w:val="false"/>
              <w:shd w:fill="FFFFFF"/>
              <w:tabs>
                <w:tab w:val="clear" w:pos="709"/>
              </w:tabs>
              <w:bidi w:val="0"/>
              <w:spacing w:lineRule="auto" w:line="240" w:before="0" w:after="0"/>
              <w:jc w:val="start"/>
              <w:rPr>
                <w:b/>
                <w:szCs w:val="26"/>
                <w:u w:val="single"/>
              </w:rPr>
            </w:pPr>
            <w:r>
              <w:rPr>
                <w:sz w:val="24"/>
                <w:szCs w:val="24"/>
              </w:rPr>
              <w:t>14 days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Tests done in batches. For urgent requests, contact the laboratory in the morning, may be able to facilitate testing that day. Requests must be approved by the Haematology team c/o Coagulation consultant.</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FII, FV, FVII, </w:t>
            </w:r>
            <w:r>
              <w:rPr>
                <w:color w:val="000000"/>
                <w:sz w:val="22"/>
                <w:szCs w:val="22"/>
              </w:rPr>
              <w:t xml:space="preserve"> </w:t>
            </w:r>
            <w:r>
              <w:rPr>
                <w:b/>
                <w:color w:val="000000"/>
                <w:sz w:val="22"/>
                <w:szCs w:val="22"/>
              </w:rPr>
              <w:t>FVIII:C,</w:t>
            </w:r>
            <w:r>
              <w:rPr>
                <w:b/>
                <w:sz w:val="24"/>
                <w:szCs w:val="24"/>
              </w:rPr>
              <w:t>FIX, FX, FXI, FXII</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Thrombophilia screen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4</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See individual requests APCR, Prot C, </w:t>
            </w:r>
            <w:r>
              <w:rPr>
                <w:color w:val="000000"/>
                <w:sz w:val="22"/>
                <w:szCs w:val="22"/>
              </w:rPr>
              <w:t>Prot S Act</w:t>
            </w:r>
            <w:r>
              <w:rPr>
                <w:sz w:val="24"/>
                <w:szCs w:val="24"/>
                <w:lang w:val="nb-NO"/>
              </w:rPr>
              <w:t>,</w:t>
            </w:r>
            <w:r>
              <w:rPr>
                <w:sz w:val="24"/>
                <w:szCs w:val="24"/>
              </w:rPr>
              <w:t>, Antithrombin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 Inherited Thrombophilia screen includes the following tests: PT,</w:t>
            </w:r>
            <w:r>
              <w:rPr>
                <w:sz w:val="24"/>
                <w:szCs w:val="24"/>
                <w:lang w:val="nb-NO"/>
              </w:rPr>
              <w:t xml:space="preserve">APTT,  Fib-c, AT,Prot C, </w:t>
            </w:r>
            <w:r>
              <w:rPr>
                <w:color w:val="000000"/>
                <w:sz w:val="22"/>
                <w:szCs w:val="22"/>
              </w:rPr>
              <w:t>Prot S Act</w:t>
            </w:r>
            <w:r>
              <w:rPr>
                <w:sz w:val="24"/>
                <w:szCs w:val="24"/>
                <w:lang w:val="nb-NO"/>
              </w:rPr>
              <w:t>, APCR</w:t>
            </w:r>
          </w:p>
          <w:p>
            <w:pPr>
              <w:pStyle w:val="Normal"/>
              <w:widowControl w:val="false"/>
              <w:tabs>
                <w:tab w:val="clear" w:pos="709"/>
                <w:tab w:val="left" w:pos="567" w:leader="none"/>
                <w:tab w:val="left" w:pos="3810" w:leader="none"/>
              </w:tabs>
              <w:bidi w:val="0"/>
              <w:spacing w:lineRule="auto" w:line="240" w:before="0" w:after="0"/>
              <w:jc w:val="start"/>
              <w:rPr>
                <w:lang w:val="nb-NO"/>
              </w:rPr>
            </w:pPr>
            <w:r>
              <w:rPr>
                <w:sz w:val="24"/>
                <w:szCs w:val="24"/>
                <w:lang w:val="nb-NO"/>
              </w:rPr>
              <w:t>5LEIDEN*. A Lupus screen is not on this profile.</w:t>
            </w:r>
          </w:p>
          <w:p>
            <w:pPr>
              <w:pStyle w:val="Normal"/>
              <w:widowControl w:val="false"/>
              <w:shd w:fill="FFFFFF"/>
              <w:tabs>
                <w:tab w:val="clear" w:pos="709"/>
              </w:tabs>
              <w:bidi w:val="0"/>
              <w:spacing w:lineRule="auto" w:line="240" w:before="0" w:after="0"/>
              <w:jc w:val="start"/>
              <w:rPr>
                <w:sz w:val="24"/>
                <w:szCs w:val="24"/>
                <w:lang w:val="nb-NO"/>
              </w:rPr>
            </w:pPr>
            <w:r>
              <w:rPr>
                <w:sz w:val="24"/>
                <w:szCs w:val="24"/>
                <w:lang w:val="nb-NO"/>
              </w:rPr>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Hence, these tests do </w:t>
            </w:r>
            <w:r>
              <w:rPr>
                <w:b/>
                <w:sz w:val="24"/>
                <w:szCs w:val="24"/>
              </w:rPr>
              <w:t xml:space="preserve">not </w:t>
            </w:r>
            <w:r>
              <w:rPr>
                <w:sz w:val="24"/>
                <w:szCs w:val="24"/>
              </w:rPr>
              <w:t>need to be ordered on an individual basis</w:t>
            </w:r>
            <w:r>
              <w:rPr>
                <w:b/>
                <w:sz w:val="24"/>
                <w:szCs w:val="24"/>
              </w:rPr>
              <w:t>, Order the thrombophilia careset The coagulation consultant will review and saction all Thrombohpilia orders</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Spacing"/>
              <w:widowControl w:val="false"/>
              <w:tabs>
                <w:tab w:val="clear" w:pos="709"/>
              </w:tabs>
              <w:spacing w:lineRule="auto" w:line="240"/>
              <w:rPr>
                <w:b/>
                <w:szCs w:val="26"/>
                <w:u w:val="single"/>
              </w:rPr>
            </w:pPr>
            <w:r>
              <w:rPr/>
              <w:t>APCR</w:t>
            </w:r>
          </w:p>
          <w:p>
            <w:pPr>
              <w:pStyle w:val="NoSpacing"/>
              <w:widowControl w:val="false"/>
              <w:tabs>
                <w:tab w:val="clear" w:pos="709"/>
              </w:tabs>
              <w:spacing w:lineRule="auto" w:line="240"/>
              <w:rPr>
                <w:b/>
                <w:szCs w:val="26"/>
                <w:u w:val="single"/>
              </w:rPr>
            </w:pPr>
            <w:r>
              <w:rPr/>
              <w:t>Coagulometric(turbidimetric)</w:t>
            </w:r>
          </w:p>
          <w:p>
            <w:pPr>
              <w:pStyle w:val="NoSpacing"/>
              <w:widowControl w:val="false"/>
              <w:tabs>
                <w:tab w:val="clear" w:pos="709"/>
              </w:tabs>
              <w:spacing w:lineRule="auto" w:line="240"/>
              <w:rPr>
                <w:b/>
                <w:szCs w:val="26"/>
                <w:u w:val="single"/>
              </w:rPr>
            </w:pPr>
            <w:r>
              <w:rPr>
                <w:b/>
                <w:szCs w:val="26"/>
                <w:u w:val="single"/>
              </w:rPr>
            </w:r>
          </w:p>
          <w:p>
            <w:pPr>
              <w:pStyle w:val="NoSpacing"/>
              <w:widowControl w:val="false"/>
              <w:tabs>
                <w:tab w:val="clear" w:pos="709"/>
              </w:tabs>
              <w:spacing w:lineRule="auto" w:line="240"/>
              <w:rPr>
                <w:b/>
                <w:szCs w:val="26"/>
                <w:u w:val="single"/>
              </w:rPr>
            </w:pPr>
            <w:r>
              <w:rPr/>
              <w:t>PC</w:t>
            </w:r>
          </w:p>
          <w:p>
            <w:pPr>
              <w:pStyle w:val="NoSpacing"/>
              <w:widowControl w:val="false"/>
              <w:tabs>
                <w:tab w:val="clear" w:pos="709"/>
              </w:tabs>
              <w:spacing w:lineRule="auto" w:line="240"/>
              <w:rPr>
                <w:b/>
                <w:szCs w:val="26"/>
                <w:u w:val="single"/>
              </w:rPr>
            </w:pPr>
            <w:r>
              <w:rPr/>
              <w:t>Antithrombin</w:t>
            </w:r>
          </w:p>
          <w:p>
            <w:pPr>
              <w:pStyle w:val="NoSpacing"/>
              <w:widowControl w:val="false"/>
              <w:tabs>
                <w:tab w:val="clear" w:pos="709"/>
              </w:tabs>
              <w:spacing w:lineRule="auto" w:line="240"/>
              <w:rPr>
                <w:b/>
                <w:szCs w:val="26"/>
                <w:u w:val="single"/>
              </w:rPr>
            </w:pPr>
            <w:r>
              <w:rPr/>
              <w:t>Chromogenic</w:t>
            </w:r>
          </w:p>
          <w:p>
            <w:pPr>
              <w:pStyle w:val="NoSpacing"/>
              <w:widowControl w:val="false"/>
              <w:tabs>
                <w:tab w:val="clear" w:pos="709"/>
              </w:tabs>
              <w:spacing w:lineRule="auto" w:line="240"/>
              <w:rPr>
                <w:b/>
                <w:szCs w:val="26"/>
                <w:u w:val="single"/>
              </w:rPr>
            </w:pPr>
            <w:r>
              <w:rPr>
                <w:b/>
                <w:szCs w:val="26"/>
                <w:u w:val="single"/>
              </w:rPr>
            </w:r>
          </w:p>
          <w:p>
            <w:pPr>
              <w:pStyle w:val="NoSpacing"/>
              <w:widowControl w:val="false"/>
              <w:tabs>
                <w:tab w:val="clear" w:pos="709"/>
              </w:tabs>
              <w:spacing w:lineRule="auto" w:line="240"/>
              <w:rPr>
                <w:b/>
                <w:szCs w:val="26"/>
                <w:u w:val="single"/>
              </w:rPr>
            </w:pPr>
            <w:r>
              <w:rPr/>
              <w:t>Prot s</w:t>
            </w:r>
          </w:p>
          <w:p>
            <w:pPr>
              <w:pStyle w:val="NoSpacing"/>
              <w:widowControl w:val="false"/>
              <w:tabs>
                <w:tab w:val="clear" w:pos="709"/>
              </w:tabs>
              <w:spacing w:lineRule="auto" w:line="240"/>
              <w:rPr>
                <w:b/>
                <w:szCs w:val="26"/>
                <w:u w:val="single"/>
              </w:rPr>
            </w:pPr>
            <w:r>
              <w:rPr/>
              <w:t>Immuno-turbidimetric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Thrombophilia care set conatins the Thrombophilia questionnaire and the screen request (Thr philia)</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Protein C</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0.74 - 1.32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C</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Free Protein 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fr-FR"/>
              </w:rPr>
            </w:pPr>
            <w:r>
              <w:rPr>
                <w:sz w:val="24"/>
                <w:szCs w:val="24"/>
                <w:lang w:val="fr-FR"/>
              </w:rPr>
              <w:t>Males: 0.76-1.46 IU/mL</w:t>
            </w:r>
          </w:p>
          <w:p>
            <w:pPr>
              <w:pStyle w:val="Normal"/>
              <w:widowControl w:val="false"/>
              <w:shd w:fill="FFFFFF"/>
              <w:tabs>
                <w:tab w:val="clear" w:pos="709"/>
              </w:tabs>
              <w:bidi w:val="0"/>
              <w:spacing w:lineRule="auto" w:line="240" w:before="0" w:after="0"/>
              <w:jc w:val="start"/>
              <w:rPr>
                <w:lang w:val="fr-FR"/>
              </w:rPr>
            </w:pPr>
            <w:r>
              <w:rPr>
                <w:sz w:val="24"/>
                <w:szCs w:val="24"/>
                <w:lang w:val="fr-FR"/>
              </w:rPr>
              <w:t>Females:0.65-1.33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4"/>
                <w:szCs w:val="24"/>
              </w:rPr>
              <w:t>Immuno-turbidimetric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S Act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 Xa (LMWH and UFH)</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For clinical interpretation please contact the haematology team.</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 Sample must be &lt;2 hours old.</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XA</w:t>
            </w:r>
          </w:p>
          <w:p>
            <w:pPr>
              <w:pStyle w:val="Normal"/>
              <w:widowControl w:val="false"/>
              <w:shd w:fill="FFFFFF"/>
              <w:tabs>
                <w:tab w:val="clear" w:pos="709"/>
              </w:tabs>
              <w:bidi w:val="0"/>
              <w:spacing w:lineRule="auto" w:line="240" w:before="0" w:after="0"/>
              <w:jc w:val="start"/>
              <w:rPr>
                <w:lang w:val="en-IE"/>
              </w:rPr>
            </w:pPr>
            <w:r>
              <w:rPr>
                <w:szCs w:val="28"/>
                <w:lang w:val="en-IE"/>
              </w:rPr>
              <w: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Antithrhrombin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0.82 - 1.18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not be on Direct Thrombin inhibitor anticoagulant.</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Antithrombin</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Activated protein C resistance (APCR)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Patient must not be on A Direct oral anticoagulant.</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APCR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Von Willebrand factor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0.49 - 1.73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 14 days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t>
            </w:r>
            <w:r>
              <w:rPr>
                <w:sz w:val="24"/>
                <w:szCs w:val="24"/>
              </w:rPr>
              <w:t>The presence of Rheumatoid Factor may produce an overestimation of the result”</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VWF Ag</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Lupus anticoagulant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(green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sv-SE"/>
              </w:rPr>
            </w:pPr>
            <w:r>
              <w:rPr>
                <w:sz w:val="24"/>
                <w:szCs w:val="24"/>
                <w:lang w:val="sv-SE"/>
              </w:rPr>
              <w:t>DRVVS ratio: &lt;1.17</w:t>
            </w:r>
          </w:p>
          <w:p>
            <w:pPr>
              <w:pStyle w:val="Normal"/>
              <w:widowControl w:val="false"/>
              <w:shd w:fill="FFFFFF"/>
              <w:tabs>
                <w:tab w:val="clear" w:pos="709"/>
              </w:tabs>
              <w:bidi w:val="0"/>
              <w:spacing w:lineRule="auto" w:line="240" w:before="0" w:after="0"/>
              <w:jc w:val="start"/>
              <w:rPr>
                <w:lang w:val="sv-SE"/>
              </w:rPr>
            </w:pPr>
            <w:r>
              <w:rPr>
                <w:sz w:val="24"/>
                <w:szCs w:val="24"/>
                <w:lang w:val="sv-SE"/>
              </w:rPr>
              <w:t>DRVVT-TR ratio: &lt; 1.23</w:t>
            </w:r>
          </w:p>
          <w:p>
            <w:pPr>
              <w:pStyle w:val="Normal"/>
              <w:widowControl w:val="false"/>
              <w:shd w:fill="FFFFFF"/>
              <w:tabs>
                <w:tab w:val="clear" w:pos="709"/>
              </w:tabs>
              <w:bidi w:val="0"/>
              <w:spacing w:lineRule="auto" w:line="240" w:before="0" w:after="0"/>
              <w:jc w:val="start"/>
              <w:rPr>
                <w:lang w:val="sv-SE"/>
              </w:rPr>
            </w:pPr>
            <w:r>
              <w:rPr>
                <w:sz w:val="24"/>
                <w:szCs w:val="24"/>
                <w:lang w:val="sv-SE"/>
              </w:rPr>
              <w:t>SCT-TR ratio &lt;1.14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Patients must not be on any anticoagulation as they interfere with the interpretation of the assayThe coagulation consultant will review and sanction all Lupus orders.</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Order the </w:t>
            </w:r>
            <w:r>
              <w:rPr>
                <w:color w:val="000000"/>
                <w:sz w:val="22"/>
                <w:szCs w:val="22"/>
              </w:rPr>
              <w:t>Lupus Anticoagulant care set. This contains the Lupus questionnaire and the Lupus screen request (LA Scr).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Rivaroxaban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2"/>
                <w:szCs w:val="22"/>
              </w:rPr>
              <w:t>No therapeutic reference range as monitoring not needed</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w:t>
            </w:r>
          </w:p>
        </w:tc>
        <w:tc>
          <w:tcPr>
            <w:tcW w:w="15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Rivaroxaban</w:t>
            </w:r>
          </w:p>
        </w:tc>
      </w:tr>
    </w:tbl>
    <w:p>
      <w:pPr>
        <w:pStyle w:val="Normal"/>
        <w:widowControl w:val="false"/>
        <w:bidi w:val="0"/>
        <w:spacing w:lineRule="auto" w:line="240" w:before="0" w:after="0"/>
        <w:ind w:start="0" w:end="0" w:firstLine="720"/>
        <w:jc w:val="start"/>
        <w:rPr>
          <w:sz w:val="2"/>
          <w:szCs w:val="2"/>
          <w:lang w:val="en-IE"/>
        </w:rPr>
      </w:pPr>
      <w:r>
        <w:rPr>
          <w:sz w:val="2"/>
          <w:szCs w:val="2"/>
          <w:lang w:val="en-IE"/>
        </w:rPr>
      </w:r>
    </w:p>
    <w:p>
      <w:pPr>
        <w:pStyle w:val="Heading3"/>
        <w:numPr>
          <w:ilvl w:val="2"/>
          <w:numId w:val="16"/>
        </w:numPr>
        <w:tabs>
          <w:tab w:val="left" w:pos="1134" w:leader="none"/>
          <w:tab w:val="left" w:pos="1854" w:leader="none"/>
        </w:tabs>
        <w:bidi w:val="0"/>
        <w:spacing w:lineRule="auto" w:line="240"/>
        <w:ind w:start="720" w:end="0" w:hanging="720"/>
        <w:jc w:val="start"/>
        <w:rPr>
          <w:lang w:val="en-IE"/>
        </w:rPr>
      </w:pPr>
      <w:bookmarkStart w:id="89" w:name="_Toc196476742"/>
      <w:bookmarkEnd w:id="89"/>
      <w:r>
        <w:rPr>
          <w:lang w:val="en-IE"/>
        </w:rPr>
        <w:t>Repertoire of Haematology Molecular Tests</w:t>
      </w:r>
    </w:p>
    <w:tbl>
      <w:tblPr>
        <w:tblW w:w="14766" w:type="dxa"/>
        <w:jc w:val="center"/>
        <w:tblInd w:w="0" w:type="dxa"/>
        <w:tblLayout w:type="fixed"/>
        <w:tblCellMar>
          <w:top w:w="0" w:type="dxa"/>
          <w:start w:w="5" w:type="dxa"/>
          <w:bottom w:w="0" w:type="dxa"/>
          <w:end w:w="5" w:type="dxa"/>
        </w:tblCellMar>
      </w:tblPr>
      <w:tblGrid>
        <w:gridCol w:w="2272"/>
        <w:gridCol w:w="2082"/>
        <w:gridCol w:w="1460"/>
        <w:gridCol w:w="1149"/>
        <w:gridCol w:w="1419"/>
        <w:gridCol w:w="992"/>
        <w:gridCol w:w="2965"/>
        <w:gridCol w:w="1216"/>
        <w:gridCol w:w="1209"/>
      </w:tblGrid>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 Samples</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V Leiden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 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Only tested if APCR (Activated Protein C) is positive or family history is indicated on the request form. See previous page for APCR requirements)</w:t>
            </w:r>
          </w:p>
          <w:p>
            <w:pPr>
              <w:pStyle w:val="Normal"/>
              <w:widowControl w:val="false"/>
              <w:tabs>
                <w:tab w:val="clear" w:pos="709"/>
                <w:tab w:val="left" w:pos="3810" w:leader="none"/>
              </w:tabs>
              <w:bidi w:val="0"/>
              <w:spacing w:lineRule="auto" w:line="240" w:before="0" w:after="0"/>
              <w:jc w:val="start"/>
              <w:rPr>
                <w:sz w:val="22"/>
                <w:szCs w:val="22"/>
              </w:rPr>
            </w:pPr>
            <w:r>
              <w:rPr>
                <w:sz w:val="22"/>
                <w:szCs w:val="22"/>
              </w:rPr>
            </w:r>
          </w:p>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Lab order only</w:t>
            </w:r>
          </w:p>
          <w:p>
            <w:pPr>
              <w:pStyle w:val="Normal"/>
              <w:widowControl w:val="false"/>
              <w:shd w:fill="FFFFFF"/>
              <w:tabs>
                <w:tab w:val="clear" w:pos="709"/>
              </w:tabs>
              <w:bidi w:val="0"/>
              <w:spacing w:lineRule="auto" w:line="240" w:before="0" w:after="0"/>
              <w:jc w:val="start"/>
              <w:rPr>
                <w:b/>
                <w:szCs w:val="26"/>
                <w:u w:val="single"/>
              </w:rPr>
            </w:pPr>
            <w:r>
              <w:rPr>
                <w:b/>
                <w:sz w:val="24"/>
                <w:szCs w:val="24"/>
              </w:rPr>
              <w:t>FVL</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Prothrombin G20210A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Not Detected</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w:t>
            </w:r>
          </w:p>
          <w:p>
            <w:pPr>
              <w:pStyle w:val="Normal"/>
              <w:widowControl w:val="false"/>
              <w:shd w:fill="FFFFFF"/>
              <w:tabs>
                <w:tab w:val="clear" w:pos="709"/>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tc>
        <w:tc>
          <w:tcPr>
            <w:tcW w:w="12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PTGA</w:t>
            </w:r>
          </w:p>
        </w:tc>
      </w:tr>
      <w:tr>
        <w:trPr>
          <w:trHeight w:val="1909" w:hRule="atLeast"/>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HFE</w:t>
            </w:r>
          </w:p>
          <w:p>
            <w:pPr>
              <w:pStyle w:val="Normal"/>
              <w:widowControl w:val="false"/>
              <w:shd w:fill="FFFFFF"/>
              <w:tabs>
                <w:tab w:val="clear" w:pos="709"/>
              </w:tabs>
              <w:bidi w:val="0"/>
              <w:spacing w:lineRule="auto" w:line="240" w:before="0" w:after="0"/>
              <w:jc w:val="start"/>
              <w:rPr>
                <w:b/>
                <w:szCs w:val="26"/>
                <w:u w:val="single"/>
              </w:rPr>
            </w:pPr>
            <w:r>
              <w:rPr>
                <w:sz w:val="24"/>
                <w:szCs w:val="24"/>
              </w:rPr>
              <w:t>Haemochromatosis</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4weeks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Must be accompanied by completed Haemochromatosis Genetic Screening Request</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(HAEMC-LF-077)</w:t>
            </w:r>
            <w:r>
              <w:rPr>
                <w:sz w:val="22"/>
                <w:szCs w:val="22"/>
              </w:rPr>
              <w:t xml:space="preserve"> This form can be obtained from the Beaumont Hospital website, under Haematology Dept. If genetic consent is not obtained the molecular test will be rejected. The laboratory will no longer take receipt or store the form containing patient genetic consent. It is the responsibility of the ordering clinician to obtain and file a copy of genetic consent in the patient’s record.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HFE</w:t>
            </w:r>
          </w:p>
        </w:tc>
      </w:tr>
    </w:tbl>
    <w:p>
      <w:pPr>
        <w:pStyle w:val="Heading3"/>
        <w:widowControl w:val="false"/>
        <w:numPr>
          <w:ilvl w:val="2"/>
          <w:numId w:val="16"/>
        </w:numPr>
        <w:shd w:fill="FFFFFF"/>
        <w:tabs>
          <w:tab w:val="left" w:pos="1134" w:leader="none"/>
          <w:tab w:val="left" w:pos="1854" w:leader="none"/>
        </w:tabs>
        <w:bidi w:val="0"/>
        <w:spacing w:lineRule="auto" w:line="240"/>
        <w:ind w:start="720" w:end="0" w:hanging="720"/>
        <w:jc w:val="start"/>
        <w:rPr>
          <w:lang w:val="en-IE"/>
        </w:rPr>
      </w:pPr>
      <w:bookmarkStart w:id="90" w:name="_Toc196476743"/>
      <w:bookmarkEnd w:id="90"/>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t>1.1.2</w:t>
      </w:r>
      <w:r>
        <w:rPr/>
        <w:fldChar w:fldCharType="end"/>
      </w:r>
      <w:r>
        <w:rPr/>
        <w:t xml:space="preserve"> and asking for the Chief Medical Scientist or by requesting a senior member of staff 09:00- 17:00 Mon-Fri excluding Bank Holidays</w:t>
      </w:r>
      <w:r>
        <w:br w:type="page"/>
      </w:r>
    </w:p>
    <w:p>
      <w:pPr>
        <w:pStyle w:val="Heading3"/>
        <w:numPr>
          <w:ilvl w:val="2"/>
          <w:numId w:val="16"/>
        </w:numPr>
        <w:shd w:fill="FFFFFF"/>
        <w:tabs>
          <w:tab w:val="left" w:pos="1134" w:leader="none"/>
          <w:tab w:val="left" w:pos="1854" w:leader="none"/>
        </w:tabs>
        <w:bidi w:val="0"/>
        <w:spacing w:lineRule="auto" w:line="240"/>
        <w:ind w:start="720" w:end="0" w:hanging="720"/>
        <w:jc w:val="start"/>
        <w:rPr>
          <w:lang w:val="en-IE"/>
        </w:rPr>
      </w:pPr>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t>1.1.2</w:t>
      </w:r>
      <w:r>
        <w:rPr/>
        <w:fldChar w:fldCharType="end"/>
      </w:r>
      <w:r>
        <w:rPr/>
        <w:t xml:space="preserve"> and asking for the Chief Medical Scientist or by requesting a senior member of staff 09:00- 17:00 Mon-Fri excluding Bank Holidays</w:t>
      </w:r>
      <w:r>
        <w:br w:type="page"/>
      </w:r>
    </w:p>
    <w:p>
      <w:pPr>
        <w:pStyle w:val="Heading3"/>
        <w:numPr>
          <w:ilvl w:val="2"/>
          <w:numId w:val="16"/>
        </w:numPr>
        <w:tabs>
          <w:tab w:val="left" w:pos="1134" w:leader="none"/>
          <w:tab w:val="left" w:pos="1854" w:leader="none"/>
        </w:tabs>
        <w:bidi w:val="0"/>
        <w:spacing w:lineRule="auto" w:line="240"/>
        <w:ind w:start="720" w:end="0" w:hanging="720"/>
        <w:jc w:val="start"/>
        <w:rPr>
          <w:b/>
          <w:szCs w:val="26"/>
          <w:u w:val="single"/>
        </w:rPr>
      </w:pPr>
      <w:bookmarkStart w:id="91" w:name="_Toc196476744"/>
      <w:bookmarkEnd w:id="91"/>
      <w:r>
        <w:rPr/>
        <w:t>Specimens Referred to External Hospitals</w:t>
      </w:r>
    </w:p>
    <w:p>
      <w:pPr>
        <w:pStyle w:val="Normal"/>
        <w:bidi w:val="0"/>
        <w:spacing w:lineRule="auto" w:line="240"/>
        <w:jc w:val="start"/>
        <w:rPr>
          <w:b/>
          <w:szCs w:val="26"/>
          <w:u w:val="single"/>
        </w:rPr>
      </w:pPr>
      <w:r>
        <w:rPr/>
        <w:t>If there is an issue with the sample or the required/ correct referral form does not accompany the sample, the sample will be sent back to the requesting area to be ordered correctly. HAEMG-LF-124 Form with reasons for return of BMA/Fluid/CSF to ward, for correction –</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tbl>
      <w:tblPr>
        <w:tblW w:w="14906" w:type="dxa"/>
        <w:jc w:val="start"/>
        <w:tblInd w:w="118" w:type="dxa"/>
        <w:tblLayout w:type="fixed"/>
        <w:tblCellMar>
          <w:top w:w="0" w:type="dxa"/>
          <w:start w:w="108" w:type="dxa"/>
          <w:bottom w:w="0" w:type="dxa"/>
          <w:end w:w="108" w:type="dxa"/>
        </w:tblCellMar>
      </w:tblPr>
      <w:tblGrid>
        <w:gridCol w:w="2802"/>
        <w:gridCol w:w="4676"/>
        <w:gridCol w:w="2977"/>
        <w:gridCol w:w="4450"/>
      </w:tblGrid>
      <w:tr>
        <w:trPr>
          <w:trHeight w:val="1304"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 13 Assay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&lt;4hrs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ADAMTS13 request form must have requesting clinician’s name, mobile number and email address. For urgent requests telephone Haemostasis laboratory in Belfast City Hospital. Urgent samples must be in Belfast lab by noon for testing that day.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028 950 40910</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Q pulse form EX-HAEM-1062-</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Avavailable in lab and CKB</w:t>
            </w:r>
          </w:p>
        </w:tc>
      </w:tr>
      <w:tr>
        <w:trPr>
          <w:trHeight w:val="57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Amyloid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GLASS tube (available in CKB)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Amyloidosis Centre,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Amyloid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Apixaban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01 4162956</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Apix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 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FCM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CSF for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Get a Transfix tube. CSF sample is stable in Transfix for 3 days at 2-8°C.</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 </w:t>
            </w:r>
            <w:r>
              <w:rPr>
                <w:rFonts w:eastAsia="Times New Roman" w:cs="Times New Roman" w:ascii="Times New Roman" w:hAnsi="Times New Roman"/>
                <w:kern w:val="0"/>
                <w:sz w:val="20"/>
                <w:szCs w:val="20"/>
                <w:lang w:eastAsia="en-IE"/>
              </w:rPr>
              <w:t>MLL Münchner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CSF FCM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 (CMD)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Diagnosis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CMD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w:t>
            </w:r>
          </w:p>
          <w:p>
            <w:pPr>
              <w:pStyle w:val="NoSpacing"/>
              <w:widowControl w:val="false"/>
              <w:tabs>
                <w:tab w:val="clear" w:pos="709"/>
              </w:tabs>
              <w:spacing w:lineRule="auto" w:line="240"/>
              <w:rPr>
                <w:rFonts w:ascii="Times New Roman" w:hAnsi="Times New Roman" w:eastAsia="Times New Roman" w:cs="Times New Roman"/>
                <w:color w:val="000000"/>
                <w:kern w:val="0"/>
                <w:sz w:val="20"/>
                <w:szCs w:val="20"/>
                <w:lang w:eastAsia="en-IE"/>
              </w:rPr>
            </w:pPr>
            <w:r>
              <w:rPr>
                <w:rFonts w:eastAsia="Times New Roman" w:cs="Times New Roman" w:ascii="Times New Roman" w:hAnsi="Times New Roman"/>
                <w:color w:val="000000"/>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Place sample in RPMI medium with sodium heparin. (Universal Container obtained from fridge in Haem Lab).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Department of Clinical Genetics, Our Lady’s Hospital, Crumlin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CHI</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404040"/>
                <w:kern w:val="0"/>
                <w:sz w:val="20"/>
                <w:szCs w:val="20"/>
                <w:lang w:eastAsia="en-IE"/>
              </w:rPr>
              <w:t>Cytogenetics (FISH)</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Lithium Heparin sample</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 Münchner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MLL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 ERIC Panel, (TP53-IGHV Mutation), T-cell gene rearrangement studies (TCR)</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 or BM in RPMI sample if Haematology team requests it. Transported at RT°C</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Molecular Haematology</w:t>
              <w:tab/>
              <w: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IgHV Rearrangement, P53 Deletion, TCR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Dabigatran Level</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Dabigatran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EMA binding assay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Test for Hereditary Spherocytosis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1 x </w:t>
            </w:r>
            <w:r>
              <w:rPr>
                <w:rFonts w:eastAsia="Times New Roman" w:cs="Times New Roman" w:ascii="Times New Roman" w:hAnsi="Times New Roman"/>
                <w:kern w:val="0"/>
                <w:sz w:val="20"/>
                <w:szCs w:val="20"/>
                <w:shd w:fill="BFBFBF" w:val="clear"/>
                <w:lang w:eastAsia="en-IE"/>
              </w:rPr>
              <w:t>2.6mL</w:t>
            </w:r>
            <w:r>
              <w:rPr>
                <w:rFonts w:eastAsia="Times New Roman" w:cs="Times New Roman" w:ascii="Times New Roman" w:hAnsi="Times New Roman"/>
                <w:kern w:val="0"/>
                <w:sz w:val="20"/>
                <w:szCs w:val="20"/>
                <w:lang w:eastAsia="en-IE"/>
              </w:rPr>
              <w:t xml:space="preserve"> EDTA sample &amp; Blood film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sample must be &lt; 24hrs old on testing.</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Complete clinical details and any family history of HS. </w:t>
            </w:r>
            <w:r>
              <w:rPr>
                <w:rFonts w:eastAsia="Times New Roman" w:cs="Times New Roman" w:ascii="Times New Roman" w:hAnsi="Times New Roman"/>
                <w:bCs/>
                <w:kern w:val="0"/>
                <w:sz w:val="20"/>
                <w:szCs w:val="20"/>
                <w:lang w:eastAsia="en-IE"/>
              </w:rPr>
              <w:t xml:space="preserve">(also known as Eosin-5-Maleimide, </w:t>
            </w:r>
            <w:r>
              <w:rPr>
                <w:rFonts w:eastAsia="Times New Roman" w:cs="Times New Roman" w:ascii="Times New Roman" w:hAnsi="Times New Roman"/>
                <w:kern w:val="0"/>
                <w:sz w:val="20"/>
                <w:szCs w:val="20"/>
                <w:lang w:eastAsia="en-IE"/>
              </w:rPr>
              <w:t>replaces Osmotic Fragility)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HS Scr (SO)</w:t>
            </w:r>
          </w:p>
        </w:tc>
      </w:tr>
      <w:tr>
        <w:trPr>
          <w:trHeight w:val="114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Factor VIII and FIXinhibitors</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rFonts w:ascii="Times New Roman" w:hAnsi="Times New Roman" w:cs="Times New Roman"/>
                <w:kern w:val="0"/>
                <w:sz w:val="20"/>
                <w:szCs w:val="20"/>
                <w:u w:val="single"/>
                <w:lang w:eastAsia="en-IE"/>
              </w:rPr>
            </w:pPr>
            <w:r>
              <w:rPr>
                <w:rFonts w:cs="Times New Roman" w:ascii="Times New Roman" w:hAnsi="Times New Roman"/>
                <w:kern w:val="0"/>
                <w:sz w:val="20"/>
                <w:szCs w:val="20"/>
                <w:u w:val="single"/>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 </w:t>
            </w:r>
            <w:r>
              <w:rPr>
                <w:rFonts w:eastAsia="Times New Roman" w:cs="Times New Roman" w:ascii="Times New Roman" w:hAnsi="Times New Roman"/>
                <w:color w:val="000000"/>
                <w:kern w:val="0"/>
                <w:sz w:val="20"/>
                <w:szCs w:val="20"/>
                <w:lang w:eastAsia="en-IE"/>
              </w:rPr>
              <w:t>FVIII INH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FIX INH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FXIII antigen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FXIII Ag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Fanconi Anaemia Screen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x </w:t>
            </w:r>
            <w:r>
              <w:rPr>
                <w:rFonts w:eastAsia="Times New Roman" w:cs="Times New Roman" w:ascii="Times New Roman" w:hAnsi="Times New Roman"/>
                <w:kern w:val="0"/>
                <w:sz w:val="20"/>
                <w:szCs w:val="20"/>
                <w:shd w:fill="D9D9D9" w:val="clear"/>
                <w:lang w:eastAsia="en-IE"/>
              </w:rPr>
              <w:t>4 ml</w:t>
            </w:r>
            <w:r>
              <w:rPr>
                <w:rFonts w:eastAsia="Times New Roman" w:cs="Times New Roman" w:ascii="Times New Roman" w:hAnsi="Times New Roman"/>
                <w:kern w:val="0"/>
                <w:sz w:val="20"/>
                <w:szCs w:val="20"/>
                <w:lang w:eastAsia="en-IE"/>
              </w:rPr>
              <w:t xml:space="preserve"> Lithium Heparin (peripheral blood)</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Flow Cytometry</w:t>
            </w:r>
          </w:p>
          <w:p>
            <w:pPr>
              <w:pStyle w:val="Normal"/>
              <w:widowControl w:val="false"/>
              <w:numPr>
                <w:ilvl w:val="0"/>
                <w:numId w:val="20"/>
              </w:numPr>
              <w:tabs>
                <w:tab w:val="clear" w:pos="709"/>
              </w:tabs>
              <w:bidi w:val="0"/>
              <w:spacing w:lineRule="auto" w:line="240" w:before="0" w:after="0"/>
              <w:ind w:start="720" w:end="0" w:hanging="360"/>
              <w:jc w:val="start"/>
              <w:rPr>
                <w:lang w:val="fr-FR"/>
              </w:rPr>
            </w:pPr>
            <w:r>
              <w:rPr>
                <w:b/>
                <w:kern w:val="0"/>
                <w:sz w:val="20"/>
                <w:lang w:val="fr-FR"/>
              </w:rPr>
              <w:t>Ascitic fluid</w:t>
            </w:r>
          </w:p>
          <w:p>
            <w:pPr>
              <w:pStyle w:val="Normal"/>
              <w:widowControl w:val="false"/>
              <w:numPr>
                <w:ilvl w:val="0"/>
                <w:numId w:val="20"/>
              </w:numPr>
              <w:tabs>
                <w:tab w:val="clear" w:pos="709"/>
              </w:tabs>
              <w:bidi w:val="0"/>
              <w:spacing w:lineRule="auto" w:line="240" w:before="0" w:after="0"/>
              <w:ind w:start="720" w:end="0" w:hanging="360"/>
              <w:jc w:val="start"/>
              <w:rPr>
                <w:lang w:val="fr-FR"/>
              </w:rPr>
            </w:pPr>
            <w:r>
              <w:rPr>
                <w:b/>
                <w:kern w:val="0"/>
                <w:sz w:val="20"/>
                <w:lang w:val="fr-FR"/>
              </w:rPr>
              <w:t>Pleural fluid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 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FCM (SO)</w:t>
            </w: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G6PD_Q</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(The latter Will be referred by SJH to Guys if deficient)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EDTA sample and marked as urgent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Note: SJH require that all sections of the form are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G6PD Scr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G6PD Assay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Haemoglobin</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Electrophoresis &amp; Sickle Cell confirmation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b/>
                <w:szCs w:val="26"/>
                <w:u w:val="single"/>
              </w:rPr>
            </w:pPr>
            <w:hyperlink r:id="rId24">
              <w:r>
                <w:rPr>
                  <w:rFonts w:eastAsia="Times New Roman" w:cs="Times New Roman" w:ascii="Times New Roman" w:hAnsi="Times New Roman"/>
                  <w:kern w:val="0"/>
                  <w:sz w:val="20"/>
                  <w:szCs w:val="20"/>
                  <w:lang w:eastAsia="en-IE"/>
                </w:rPr>
                <w:t>1 EDTA sample &lt; 7 days old. 1 serum sample for Ferritin measurement to be done in-house if not already done. All sections of the form must be completed, in particular the clinical details and Haematology indices sections</w:t>
              </w:r>
            </w:hyperlink>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Hb'opathy Scr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Haptoglobin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serum sample-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MMUH , Eccles St,</w:t>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Hapto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High Molecular weight Kininogen/ Prekallikrein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HMWK careset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HIT Screen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serum samples. Samples received in lab after 14.00 will be sent to SJH the following day.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HIT (SO)</w:t>
            </w:r>
          </w:p>
          <w:p>
            <w:pPr>
              <w:pStyle w:val="NoSpacing"/>
              <w:widowControl w:val="false"/>
              <w:tabs>
                <w:tab w:val="clear" w:pos="709"/>
              </w:tabs>
              <w:spacing w:lineRule="auto" w:line="240"/>
              <w:rPr>
                <w:b/>
                <w:szCs w:val="26"/>
                <w:u w:val="single"/>
              </w:rPr>
            </w:pPr>
            <w:r>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Minimal Residual Disease (MRD)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Performed by PCR</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4 EDTA samples</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Complete a CMD request form</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 ALL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 ALL MRD (SO)</w:t>
            </w:r>
          </w:p>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Myeloid Gene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King’s College Hospital, London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Myeloid Gene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MPN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Assay includes JAK2 V617F, JAK2 exon 12, CALR &amp; MPL mutations.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Peripheral blood or Bone marrow, 9ml in RPMI</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Diagnostics,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MPN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MRD NPM1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PB or BMA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Samples should reach the laboratory within 24 hours of collection. Storage and transport: Room temperature.</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Guys</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NPM1 Quant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Plasma cell screen (SO)</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MM Panel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Viscosity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or 2 EDTA samples less than 48 hours old.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All sections of the form must be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PV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Plasminogen Activator Inhibitor</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Coag sample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This test is extremely sensitive to pre analytical conditions. </w:t>
            </w:r>
            <w:r>
              <w:rPr>
                <w:rFonts w:eastAsia="Times New Roman" w:cs="Times New Roman" w:ascii="Times New Roman" w:hAnsi="Times New Roman"/>
                <w:kern w:val="0"/>
                <w:sz w:val="20"/>
                <w:szCs w:val="20"/>
                <w:u w:val="single"/>
                <w:lang w:eastAsia="en-IE"/>
              </w:rPr>
              <w:t>A freshly drawn coag sample must be mixed immediately by gentle inversion at least six times following collection</w:t>
            </w:r>
            <w:r>
              <w:rPr>
                <w:rFonts w:eastAsia="Times New Roman" w:cs="Times New Roman" w:ascii="Times New Roman" w:hAnsi="Times New Roman"/>
                <w:kern w:val="0"/>
                <w:sz w:val="20"/>
                <w:szCs w:val="20"/>
                <w:lang w:eastAsia="en-IE"/>
              </w:rPr>
              <w:t>.</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Eurofins/Biomnis,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PAI-1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Pyruvate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Kinase</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EDTA sample x 2.</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NB: keep sample at RT do not put in the fridge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Order a RETFBC &amp; a  PK,</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Avoid sending on Thursdays and Fridays.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Chris Lambert, Red Cell Protein Laboratory, King’s College Hospital,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PK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Red Cell Gene Panel/ Neutropenia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5 mls EDTA blood adults </w:t>
            </w:r>
            <w:r>
              <w:rPr>
                <w:rFonts w:eastAsia="Times New Roman" w:cs="Times New Roman" w:ascii="Times New Roman" w:hAnsi="Times New Roman"/>
                <w:kern w:val="0"/>
                <w:sz w:val="20"/>
                <w:szCs w:val="20"/>
                <w:shd w:fill="BFBFBF" w:val="clear"/>
                <w:lang w:eastAsia="en-IE"/>
              </w:rPr>
              <w:t>(2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For red cell panel - please provide FBC, HPLC screening results, iron levels and markers of haemolysis plus a blood film, if available.</w:t>
            </w:r>
            <w:r>
              <w:rPr>
                <w:rFonts w:eastAsia="Times New Roman" w:cs="Times New Roman" w:ascii="Times New Roman" w:hAnsi="Times New Roman"/>
                <w:kern w:val="0"/>
                <w:sz w:val="20"/>
                <w:szCs w:val="20"/>
                <w:lang w:eastAsia="en-IE"/>
              </w:rPr>
              <w:t>Stored in the fridge where possible.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Viapath Analytics Molecular Pathology Laboratory, King’s College Hospital,</w:t>
            </w:r>
          </w:p>
          <w:p>
            <w:pPr>
              <w:pStyle w:val="NoSpacing"/>
              <w:widowControl w:val="false"/>
              <w:tabs>
                <w:tab w:val="clear" w:pos="709"/>
              </w:tabs>
              <w:spacing w:lineRule="auto" w:line="240"/>
              <w:rPr>
                <w:b/>
                <w:szCs w:val="26"/>
                <w:u w:val="single"/>
              </w:rPr>
            </w:pPr>
            <w:r>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RC/Neutropenia Panel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Ristocetin Co-Factor (RICOF)</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VWF RCo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Vaccine Induced Thrombotic Thrombocytopenia (VITT)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2 x serum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Confirm that the case has been discussed with Haematology. If not, contact Dr Karl Ewins Coagulation consultant or bleep registrar (#870) or the Haematology registrar / consultant on call if out of hours.</w:t>
            </w:r>
            <w:r>
              <w:rPr>
                <w:rFonts w:eastAsia="Times New Roman" w:cs="Times New Roman" w:ascii="Times New Roman" w:hAnsi="Times New Roman"/>
                <w:kern w:val="0"/>
                <w:sz w:val="20"/>
                <w:szCs w:val="20"/>
                <w:lang w:val="en-GB" w:eastAsia="en-IE"/>
              </w:rPr>
              <w:t xml:space="preserve"> </w:t>
            </w:r>
            <w:r>
              <w:rPr>
                <w:rFonts w:eastAsia="Times New Roman" w:cs="Times New Roman" w:ascii="Times New Roman" w:hAnsi="Times New Roman"/>
                <w:kern w:val="0"/>
                <w:sz w:val="20"/>
                <w:szCs w:val="20"/>
                <w:lang w:eastAsia="en-IE"/>
              </w:rPr>
              <w:t>Positive tests will have PF4 induced Plt activation assay (PIPA) referred to external laboratory.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VITT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Von Willebrand Study send out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VWFS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Warfarin (drug) Level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Separated serum is optimal sample type.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Complete a Coagulation request form. Store and transport at room temp.</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Viapath, St Thomas Hospital, Lambeth Palace Road,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Warfarin Level</w:t>
            </w:r>
          </w:p>
        </w:tc>
      </w:tr>
    </w:tbl>
    <w:p>
      <w:pPr>
        <w:pStyle w:val="Normal"/>
        <w:widowControl w:val="false"/>
        <w:bidi w:val="0"/>
        <w:spacing w:lineRule="auto" w:line="240"/>
        <w:jc w:val="start"/>
        <w:rPr>
          <w:b/>
          <w:szCs w:val="26"/>
          <w:u w:val="single"/>
        </w:rPr>
      </w:pPr>
      <w:r>
        <w:rPr>
          <w:b/>
          <w:sz w:val="20"/>
          <w:u w:val="single"/>
        </w:rPr>
        <w:t>Note:</w:t>
      </w:r>
      <w:r>
        <w:rPr>
          <w:sz w:val="20"/>
        </w:rPr>
        <w:t xml:space="preserve"> if a CKB patient is being referred to SJH for a stem-cell transplant and if Bone marrow aspirate slides are referred, the following form must be completed and sent with the BMA slides. Clink on the link: </w:t>
      </w:r>
      <w:hyperlink r:id="rId25">
        <w:r>
          <w:rPr>
            <w:color w:val="0000FF"/>
            <w:u w:val="single"/>
          </w:rPr>
          <w:t>GP &amp; External Request Forms | St James's Hospital</w:t>
        </w:r>
      </w:hyperlink>
      <w:r>
        <w:rPr/>
        <w:t xml:space="preserve"> </w:t>
      </w:r>
      <w:r>
        <w:rPr>
          <w:sz w:val="20"/>
        </w:rPr>
        <w:t>and then download the ‘Bone Marrow Aspirate Request Form’</w:t>
      </w:r>
    </w:p>
    <w:p>
      <w:pPr>
        <w:pStyle w:val="Normal"/>
        <w:bidi w:val="0"/>
        <w:spacing w:lineRule="auto" w:line="240"/>
        <w:jc w:val="start"/>
        <w:rPr>
          <w:b/>
          <w:szCs w:val="26"/>
          <w:u w:val="single"/>
        </w:rPr>
      </w:pPr>
      <w:r>
        <w:rPr>
          <w:b/>
          <w:szCs w:val="26"/>
          <w:u w:val="single"/>
        </w:rPr>
      </w:r>
    </w:p>
    <w:p>
      <w:pPr>
        <w:pStyle w:val="Heading3"/>
        <w:numPr>
          <w:ilvl w:val="2"/>
          <w:numId w:val="16"/>
        </w:numPr>
        <w:tabs>
          <w:tab w:val="left" w:pos="1134" w:leader="none"/>
          <w:tab w:val="left" w:pos="1854" w:leader="none"/>
        </w:tabs>
        <w:bidi w:val="0"/>
        <w:spacing w:lineRule="auto" w:line="240"/>
        <w:ind w:start="720" w:end="0" w:hanging="720"/>
        <w:jc w:val="start"/>
        <w:rPr>
          <w:lang w:val="en-IE"/>
        </w:rPr>
      </w:pPr>
      <w:bookmarkStart w:id="92" w:name="_Toc145424852"/>
      <w:bookmarkEnd w:id="92"/>
      <w:r>
        <w:rPr>
          <w:lang w:val="en-IE"/>
        </w:rPr>
        <w:t>Requests for Additional Analysis</w:t>
      </w:r>
      <w:bookmarkStart w:id="93" w:name="_Toc145424857"/>
      <w:bookmarkStart w:id="94" w:name="_Toc145424860"/>
      <w:bookmarkStart w:id="95" w:name="_Toc145424861"/>
      <w:bookmarkStart w:id="96" w:name="_Toc196476745"/>
    </w:p>
    <w:p>
      <w:pPr>
        <w:pStyle w:val="Normal"/>
        <w:shd w:fill="FFFFFF"/>
        <w:tabs>
          <w:tab w:val="clear" w:pos="709"/>
          <w:tab w:val="left" w:pos="3810" w:leader="none"/>
        </w:tabs>
        <w:bidi w:val="0"/>
        <w:spacing w:lineRule="auto" w:line="240"/>
        <w:jc w:val="start"/>
        <w:rPr>
          <w:lang w:val="en-IE"/>
        </w:rPr>
      </w:pPr>
      <w:r>
        <w:rPr>
          <w:b/>
          <w:bCs/>
          <w:lang w:val="en-IE"/>
        </w:rPr>
        <w:t>Provided a suitable sample is available verbal requests will be accepted for tests. Refe</w:t>
      </w:r>
      <w:r>
        <w:rPr>
          <w:bCs/>
        </w:rPr>
        <w:t>r</w:t>
      </w:r>
      <w:r>
        <w:rPr/>
        <w:t xml:space="preserve"> to table below for test cut-off times when requested to add a test to a sample already received in the Laboratory. Ensure that the correct sample requirements are met when taking an add-on request i.e. the sample has been received/ correct anti-coagulant/ the sample is not too old for analysis.</w:t>
      </w:r>
    </w:p>
    <w:p>
      <w:pPr>
        <w:pStyle w:val="Heading4"/>
        <w:numPr>
          <w:ilvl w:val="3"/>
          <w:numId w:val="16"/>
        </w:numPr>
        <w:shd w:fill="FFFFFF"/>
        <w:bidi w:val="0"/>
        <w:spacing w:lineRule="auto" w:line="240"/>
        <w:ind w:start="1021" w:end="0" w:hanging="1021"/>
        <w:jc w:val="start"/>
        <w:rPr>
          <w:b/>
          <w:szCs w:val="26"/>
          <w:u w:val="single"/>
        </w:rPr>
      </w:pPr>
      <w:bookmarkStart w:id="97" w:name="_Toc349657842"/>
      <w:bookmarkEnd w:id="97"/>
      <w:r>
        <w:rPr/>
        <w:t>Test Cut-Off Times</w:t>
      </w:r>
    </w:p>
    <w:tbl>
      <w:tblPr>
        <w:tblW w:w="9381" w:type="dxa"/>
        <w:jc w:val="start"/>
        <w:tblInd w:w="15" w:type="dxa"/>
        <w:tblLayout w:type="fixed"/>
        <w:tblCellMar>
          <w:top w:w="0" w:type="dxa"/>
          <w:start w:w="5" w:type="dxa"/>
          <w:bottom w:w="0" w:type="dxa"/>
          <w:end w:w="5" w:type="dxa"/>
        </w:tblCellMar>
      </w:tblPr>
      <w:tblGrid>
        <w:gridCol w:w="4419"/>
        <w:gridCol w:w="4961"/>
      </w:tblGrid>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 Cut-off Times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FBC</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Blood Film preparation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Platelet Exact for platelet clumping</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 </w:t>
            </w: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Reticulocyte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ESR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6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Haptoglobin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days once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Malaria</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IM</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Sickle Screen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45 days if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PNH</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72 hours if stored at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LST, TBNK &amp; CD4</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&lt;48 hours</w:t>
            </w:r>
          </w:p>
        </w:tc>
      </w:tr>
      <w:tr>
        <w:trPr>
          <w:trHeight w:val="271"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Lymphoproliferative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&lt;48 hours (All samples)</w:t>
            </w:r>
          </w:p>
        </w:tc>
      </w:tr>
      <w:tr>
        <w:trPr>
          <w:trHeight w:val="277" w:hRule="atLeast"/>
        </w:trPr>
        <w:tc>
          <w:tcPr>
            <w:tcW w:w="441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Acute Leukaemia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xml:space="preserve">&lt;48 hours </w:t>
            </w:r>
            <w:r>
              <w:rPr>
                <w:sz w:val="24"/>
                <w:szCs w:val="24"/>
                <w:vertAlign w:val="superscript"/>
              </w:rPr>
              <w:t xml:space="preserve"> </w:t>
            </w:r>
            <w:r>
              <w:rPr>
                <w:sz w:val="24"/>
                <w:szCs w:val="24"/>
              </w:rPr>
              <w:t>(Bone marrow)</w:t>
            </w:r>
          </w:p>
        </w:tc>
      </w:tr>
      <w:tr>
        <w:trPr>
          <w:trHeight w:val="269" w:hRule="atLeast"/>
        </w:trPr>
        <w:tc>
          <w:tcPr>
            <w:tcW w:w="441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 24 hours (EDTA samples)</w:t>
            </w:r>
          </w:p>
        </w:tc>
      </w:tr>
      <w:tr>
        <w:trPr>
          <w:trHeight w:val="269"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T Cell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&lt;24 hours (All samples)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Coagulation Samples(PT, APTT, Fibn)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D-dimer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INR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Factor V Leiden, , </w:t>
            </w:r>
            <w:r>
              <w:rPr>
                <w:sz w:val="22"/>
                <w:szCs w:val="22"/>
              </w:rPr>
              <w:t xml:space="preserve">Prothrombin G20210A mutation and </w:t>
            </w:r>
            <w:r>
              <w:rPr>
                <w:sz w:val="24"/>
                <w:szCs w:val="24"/>
              </w:rPr>
              <w:t xml:space="preserve"> HFE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&lt;28 days once stored at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r>
    </w:tbl>
    <w:p>
      <w:pPr>
        <w:pStyle w:val="Heading4"/>
        <w:widowControl w:val="false"/>
        <w:numPr>
          <w:ilvl w:val="3"/>
          <w:numId w:val="16"/>
        </w:numPr>
        <w:shd w:fill="FFFFFF"/>
        <w:bidi w:val="0"/>
        <w:spacing w:lineRule="auto" w:line="240"/>
        <w:ind w:start="1021" w:end="0" w:hanging="1021"/>
        <w:jc w:val="start"/>
        <w:rPr>
          <w:b/>
          <w:szCs w:val="26"/>
          <w:u w:val="single"/>
        </w:rPr>
      </w:pPr>
      <w:r>
        <w:rPr/>
        <w:t>Process for additional analysis is by placing the order through powerchart and selecting the priority as add on. Then the requestor must call the lab to inform them of this add on request and to see whether there is a suitable sample or not.</w:t>
      </w:r>
    </w:p>
    <w:p>
      <w:pPr>
        <w:pStyle w:val="TextBody"/>
        <w:bidi w:val="0"/>
        <w:spacing w:lineRule="auto" w:line="240"/>
        <w:jc w:val="start"/>
        <w:rPr>
          <w:b/>
          <w:szCs w:val="26"/>
          <w:u w:val="single"/>
        </w:rPr>
      </w:pPr>
      <w:r>
        <w:rPr>
          <w:rFonts w:eastAsia="Andale Sans UI" w:cs="Tahoma" w:ascii="Times New Roman Bold" w:hAnsi="Times New Roman Bold"/>
          <w:bCs/>
          <w:iCs/>
          <w:szCs w:val="24"/>
        </w:rPr>
        <w:t xml:space="preserve">As a blood film request is not available on powerchart ( only for the Haematology consultants ) this must be ordered directly by calling the lab , given the clinicians name , bleep number , whether it is a bld film or for consultant review and the reason for the request. </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u w:val="single"/>
        </w:rPr>
        <w:t>CHEMICAL PATHOLOGY</w:t>
      </w:r>
    </w:p>
    <w:p>
      <w:pPr>
        <w:pStyle w:val="Heading3"/>
        <w:numPr>
          <w:ilvl w:val="2"/>
          <w:numId w:val="16"/>
        </w:numPr>
        <w:shd w:fill="FFFFFF"/>
        <w:tabs>
          <w:tab w:val="left" w:pos="1134" w:leader="none"/>
          <w:tab w:val="left" w:pos="1854" w:leader="none"/>
        </w:tabs>
        <w:bidi w:val="0"/>
        <w:spacing w:lineRule="auto" w:line="240"/>
        <w:ind w:start="720" w:end="0" w:hanging="720"/>
        <w:jc w:val="start"/>
        <w:rPr>
          <w:b/>
          <w:szCs w:val="26"/>
          <w:u w:val="single"/>
        </w:rPr>
      </w:pPr>
      <w:bookmarkStart w:id="98" w:name="_Toc196476752"/>
      <w:bookmarkEnd w:id="98"/>
      <w:r>
        <w:rPr/>
        <w:t>Routine Test Profiles and their Components</w:t>
      </w:r>
    </w:p>
    <w:tbl>
      <w:tblPr>
        <w:tblW w:w="9037" w:type="dxa"/>
        <w:jc w:val="start"/>
        <w:tblInd w:w="15" w:type="dxa"/>
        <w:tblLayout w:type="fixed"/>
        <w:tblCellMar>
          <w:top w:w="0" w:type="dxa"/>
          <w:start w:w="5" w:type="dxa"/>
          <w:bottom w:w="0" w:type="dxa"/>
          <w:end w:w="5" w:type="dxa"/>
        </w:tblCellMar>
      </w:tblPr>
      <w:tblGrid>
        <w:gridCol w:w="3556"/>
        <w:gridCol w:w="1502"/>
        <w:gridCol w:w="3979"/>
      </w:tblGrid>
      <w:tr>
        <w:trPr/>
        <w:tc>
          <w:tcPr>
            <w:tcW w:w="3556"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Description</w:t>
            </w:r>
          </w:p>
        </w:tc>
        <w:tc>
          <w:tcPr>
            <w:tcW w:w="1502"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Mnemonic</w:t>
            </w:r>
          </w:p>
        </w:tc>
        <w:tc>
          <w:tcPr>
            <w:tcW w:w="3979"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 w:val="left" w:pos="1217" w:leader="none"/>
              </w:tabs>
              <w:bidi w:val="0"/>
              <w:spacing w:lineRule="auto" w:line="240" w:before="0" w:after="0"/>
              <w:jc w:val="start"/>
              <w:rPr>
                <w:b/>
                <w:szCs w:val="26"/>
                <w:u w:val="single"/>
              </w:rPr>
            </w:pPr>
            <w:r>
              <w:rPr>
                <w:b/>
              </w:rPr>
              <w:t>Tests</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pt-BR"/>
              </w:rPr>
            </w:pPr>
            <w:r>
              <w:rPr>
                <w:lang w:val="pt-BR"/>
              </w:rPr>
              <w:t>Urea, Na, K, Cl, Creatinine, eGFR</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de-DE"/>
              </w:rPr>
            </w:pPr>
            <w:r>
              <w:rPr>
                <w:lang w:val="de-DE"/>
              </w:rPr>
              <w:t xml:space="preserve">Bilirubin, ALT, ALK, </w:t>
            </w:r>
            <w:r>
              <w:rPr/>
              <w:t>γ</w:t>
            </w:r>
            <w:r>
              <w:rPr>
                <w:lang w:val="de-DE"/>
              </w:rPr>
              <w:t>GT, AST, ALB, TP, Globulin</w:t>
            </w:r>
          </w:p>
        </w:tc>
      </w:tr>
      <w:tr>
        <w:trPr>
          <w:trHeight w:val="330" w:hRule="atLeast"/>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Lipid Profile - Fasting</w:t>
            </w:r>
          </w:p>
          <w:p>
            <w:pPr>
              <w:pStyle w:val="Normal"/>
              <w:widowControl w:val="false"/>
              <w:tabs>
                <w:tab w:val="clear" w:pos="709"/>
              </w:tabs>
              <w:bidi w:val="0"/>
              <w:spacing w:lineRule="auto" w:line="240" w:before="0" w:after="0"/>
              <w:jc w:val="start"/>
              <w:rPr>
                <w:b/>
                <w:szCs w:val="26"/>
                <w:u w:val="single"/>
              </w:rPr>
            </w:pPr>
            <w:r>
              <w:rPr/>
              <w:t>Lipid Profile - Non-fasting</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FHDL</w:t>
            </w:r>
          </w:p>
          <w:p>
            <w:pPr>
              <w:pStyle w:val="Normal"/>
              <w:widowControl w:val="false"/>
              <w:tabs>
                <w:tab w:val="clear" w:pos="709"/>
              </w:tabs>
              <w:bidi w:val="0"/>
              <w:spacing w:lineRule="auto" w:line="240" w:before="0" w:after="0"/>
              <w:jc w:val="start"/>
              <w:rPr>
                <w:b/>
                <w:szCs w:val="26"/>
                <w:u w:val="single"/>
              </w:rPr>
            </w:pPr>
            <w:r>
              <w:rPr/>
              <w:t>HDL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Cholesterol, Triglyceride, HDL, Calculated LDL, non-HDL Cholesterol</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Ca, ALB, Phosphate, Ca Adjusted, ALK</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Thyroid Function Test</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TFT</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FreeT4 and TSH</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bookmarkStart w:id="99" w:name="_Toc196476761"/>
      <w:bookmarkStart w:id="100" w:name="_Toc368240637"/>
      <w:bookmarkEnd w:id="99"/>
      <w:bookmarkEnd w:id="100"/>
      <w:r>
        <w:rPr/>
        <w:t>Blood, CSF &amp; Fluid Tests</w:t>
      </w:r>
    </w:p>
    <w:tbl>
      <w:tblPr>
        <w:tblW w:w="13732" w:type="dxa"/>
        <w:jc w:val="center"/>
        <w:tblInd w:w="0" w:type="dxa"/>
        <w:tblLayout w:type="fixed"/>
        <w:tblCellMar>
          <w:top w:w="0" w:type="dxa"/>
          <w:start w:w="15" w:type="dxa"/>
          <w:bottom w:w="0" w:type="dxa"/>
          <w:end w:w="15" w:type="dxa"/>
        </w:tblCellMar>
      </w:tblPr>
      <w:tblGrid>
        <w:gridCol w:w="3924"/>
        <w:gridCol w:w="1843"/>
        <w:gridCol w:w="1560"/>
        <w:gridCol w:w="1226"/>
        <w:gridCol w:w="3686"/>
        <w:gridCol w:w="1492"/>
      </w:tblGrid>
      <w:tr>
        <w:trPr>
          <w:trHeight w:val="20" w:hRule="atLeast"/>
          <w:cantSplit w:val="true"/>
        </w:trPr>
        <w:tc>
          <w:tcPr>
            <w:tcW w:w="3924"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w:t>
            </w:r>
          </w:p>
        </w:tc>
        <w:tc>
          <w:tcPr>
            <w:tcW w:w="1843"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560"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22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68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9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TAT</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7.2 – 63.3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Alanine Transaminase  ALT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41 I.U/L</w:t>
            </w:r>
          </w:p>
          <w:p>
            <w:pPr>
              <w:pStyle w:val="Normal"/>
              <w:widowControl w:val="false"/>
              <w:tabs>
                <w:tab w:val="clear" w:pos="709"/>
              </w:tabs>
              <w:bidi w:val="0"/>
              <w:spacing w:lineRule="auto" w:line="240"/>
              <w:jc w:val="start"/>
              <w:rPr>
                <w:b/>
                <w:szCs w:val="26"/>
                <w:u w:val="single"/>
              </w:rPr>
            </w:pPr>
            <w:r>
              <w:rPr/>
              <w:t>F &lt; 33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35 - 52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Alcohol (ETOH)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Aldosterone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p>
            <w:pPr>
              <w:pStyle w:val="Normal"/>
              <w:widowControl w:val="false"/>
              <w:tabs>
                <w:tab w:val="clear" w:pos="709"/>
              </w:tabs>
              <w:bidi w:val="0"/>
              <w:spacing w:lineRule="auto" w:line="240"/>
              <w:jc w:val="start"/>
              <w:rPr>
                <w:b/>
                <w:szCs w:val="26"/>
                <w:u w:val="single"/>
              </w:rPr>
            </w:pPr>
            <w:r>
              <w:rPr/>
              <w:t>(patient must be seated for 10mins prior to sample draw)</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0 – 1179pmol/L</w:t>
            </w:r>
          </w:p>
          <w:p>
            <w:pPr>
              <w:pStyle w:val="Normal"/>
              <w:widowControl w:val="false"/>
              <w:tabs>
                <w:tab w:val="clear" w:pos="709"/>
              </w:tabs>
              <w:bidi w:val="0"/>
              <w:spacing w:lineRule="auto" w:line="240"/>
              <w:jc w:val="start"/>
              <w:rPr>
                <w:b/>
                <w:szCs w:val="26"/>
                <w:u w:val="single"/>
              </w:rPr>
            </w:pPr>
            <w:r>
              <w:rPr/>
              <w:t>Male: 0 - 670pmol/L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Alkaline Phosphatase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40 - 129I.U/L</w:t>
            </w:r>
          </w:p>
          <w:p>
            <w:pPr>
              <w:pStyle w:val="Normal"/>
              <w:widowControl w:val="false"/>
              <w:tabs>
                <w:tab w:val="clear" w:pos="709"/>
              </w:tabs>
              <w:bidi w:val="0"/>
              <w:spacing w:lineRule="auto" w:line="240"/>
              <w:jc w:val="start"/>
              <w:rPr>
                <w:b/>
                <w:szCs w:val="26"/>
                <w:u w:val="single"/>
              </w:rPr>
            </w:pPr>
            <w:r>
              <w:rPr/>
              <w:t>F 35 – 104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Alpha Fetoprotein (blood)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5.8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Alpha-1-Antitrypsin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0.9-2.0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Adrenal Vein Sampling</w:t>
            </w:r>
          </w:p>
          <w:p>
            <w:pPr>
              <w:pStyle w:val="Normal"/>
              <w:widowControl w:val="false"/>
              <w:tabs>
                <w:tab w:val="clear" w:pos="709"/>
              </w:tabs>
              <w:bidi w:val="0"/>
              <w:spacing w:lineRule="auto" w:line="240"/>
              <w:jc w:val="start"/>
              <w:rPr>
                <w:b/>
                <w:szCs w:val="26"/>
                <w:u w:val="single"/>
              </w:rPr>
            </w:pPr>
            <w:r>
              <w:rPr/>
              <w:t>(Aldosterone and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Amylase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28 - 100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Amylase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Aspartate Transaminase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40 I.U/L</w:t>
            </w:r>
          </w:p>
          <w:p>
            <w:pPr>
              <w:pStyle w:val="Normal"/>
              <w:widowControl w:val="false"/>
              <w:tabs>
                <w:tab w:val="clear" w:pos="709"/>
              </w:tabs>
              <w:bidi w:val="0"/>
              <w:spacing w:lineRule="auto" w:line="240"/>
              <w:jc w:val="start"/>
              <w:rPr>
                <w:b/>
                <w:szCs w:val="26"/>
                <w:u w:val="single"/>
              </w:rPr>
            </w:pPr>
            <w:r>
              <w:rPr/>
              <w:t>F &lt; 32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B2 Microglobulin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&lt;60yrs: 0.8 – 2.4mg/L</w:t>
            </w:r>
          </w:p>
          <w:p>
            <w:pPr>
              <w:pStyle w:val="Normal"/>
              <w:widowControl w:val="false"/>
              <w:tabs>
                <w:tab w:val="clear" w:pos="709"/>
              </w:tabs>
              <w:bidi w:val="0"/>
              <w:spacing w:lineRule="auto" w:line="240"/>
              <w:jc w:val="start"/>
              <w:rPr>
                <w:b/>
                <w:szCs w:val="26"/>
                <w:u w:val="single"/>
              </w:rPr>
            </w:pPr>
            <w:r>
              <w:rPr/>
              <w:t>&gt;60yrs: ≤ 3.0mg/L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Human Chorionic Gonadotrophin</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p>
            <w:pPr>
              <w:pStyle w:val="Normal"/>
              <w:widowControl w:val="false"/>
              <w:tabs>
                <w:tab w:val="clear" w:pos="709"/>
              </w:tabs>
              <w:bidi w:val="0"/>
              <w:spacing w:lineRule="auto" w:line="240"/>
              <w:jc w:val="start"/>
              <w:rPr>
                <w:b/>
                <w:szCs w:val="26"/>
                <w:u w:val="single"/>
              </w:rPr>
            </w:pPr>
            <w:r>
              <w:rPr/>
              <w:t>(Brown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IU/L</w:t>
            </w:r>
          </w:p>
          <w:p>
            <w:pPr>
              <w:pStyle w:val="Normal"/>
              <w:widowControl w:val="false"/>
              <w:tabs>
                <w:tab w:val="clear" w:pos="709"/>
              </w:tabs>
              <w:bidi w:val="0"/>
              <w:spacing w:lineRule="auto" w:line="240"/>
              <w:jc w:val="start"/>
              <w:rPr>
                <w:b/>
                <w:szCs w:val="26"/>
                <w:u w:val="single"/>
              </w:rPr>
            </w:pPr>
            <w:r>
              <w:rPr/>
              <w:t>Non-pregnant, pre-menopausal women: &lt;1</w:t>
            </w:r>
          </w:p>
          <w:p>
            <w:pPr>
              <w:pStyle w:val="Normal"/>
              <w:widowControl w:val="false"/>
              <w:tabs>
                <w:tab w:val="clear" w:pos="709"/>
              </w:tabs>
              <w:bidi w:val="0"/>
              <w:spacing w:lineRule="auto" w:line="240"/>
              <w:jc w:val="start"/>
              <w:rPr>
                <w:b/>
                <w:szCs w:val="26"/>
                <w:u w:val="single"/>
              </w:rPr>
            </w:pPr>
            <w:r>
              <w:rPr/>
              <w:t>Postmenopausal women: &lt;7</w:t>
            </w:r>
          </w:p>
          <w:p>
            <w:pPr>
              <w:pStyle w:val="Normal"/>
              <w:widowControl w:val="false"/>
              <w:tabs>
                <w:tab w:val="clear" w:pos="709"/>
              </w:tabs>
              <w:bidi w:val="0"/>
              <w:spacing w:lineRule="auto" w:line="240"/>
              <w:jc w:val="start"/>
              <w:rPr>
                <w:b/>
                <w:szCs w:val="26"/>
                <w:u w:val="single"/>
              </w:rPr>
            </w:pPr>
            <w:r>
              <w:rPr/>
              <w:t>Men: &lt;2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Natriuretic Peptide</w:t>
            </w:r>
          </w:p>
          <w:p>
            <w:pPr>
              <w:pStyle w:val="Normal"/>
              <w:widowControl w:val="false"/>
              <w:tabs>
                <w:tab w:val="clear" w:pos="709"/>
              </w:tabs>
              <w:bidi w:val="0"/>
              <w:spacing w:lineRule="auto" w:line="240"/>
              <w:jc w:val="start"/>
              <w:rPr>
                <w:b/>
                <w:szCs w:val="26"/>
                <w:u w:val="single"/>
              </w:rPr>
            </w:pPr>
            <w:r>
              <w:rPr/>
              <w:t xml:space="preserve"> </w:t>
            </w:r>
            <w:r>
              <w:rPr/>
              <w:t>(NT proBNP II)</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 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 or 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35y-45y M 0-115pg/mL</w:t>
            </w:r>
          </w:p>
          <w:p>
            <w:pPr>
              <w:pStyle w:val="Normal"/>
              <w:widowControl w:val="false"/>
              <w:tabs>
                <w:tab w:val="clear" w:pos="709"/>
              </w:tabs>
              <w:bidi w:val="0"/>
              <w:spacing w:lineRule="auto" w:line="240"/>
              <w:jc w:val="start"/>
              <w:rPr>
                <w:b/>
                <w:szCs w:val="26"/>
                <w:u w:val="single"/>
              </w:rPr>
            </w:pPr>
            <w:r>
              <w:rPr>
                <w:rFonts w:eastAsia="Calibri"/>
              </w:rPr>
              <w:t>35y-45y F 0-237 pg/mL</w:t>
            </w:r>
          </w:p>
          <w:p>
            <w:pPr>
              <w:pStyle w:val="Normal"/>
              <w:widowControl w:val="false"/>
              <w:tabs>
                <w:tab w:val="clear" w:pos="709"/>
              </w:tabs>
              <w:bidi w:val="0"/>
              <w:spacing w:lineRule="auto" w:line="240"/>
              <w:jc w:val="start"/>
              <w:rPr>
                <w:b/>
                <w:szCs w:val="26"/>
                <w:u w:val="single"/>
              </w:rPr>
            </w:pPr>
            <w:r>
              <w:rPr>
                <w:rFonts w:eastAsia="Calibri"/>
              </w:rPr>
              <w:t>45y-55y M 0-173 pg/mL</w:t>
            </w:r>
          </w:p>
          <w:p>
            <w:pPr>
              <w:pStyle w:val="Normal"/>
              <w:widowControl w:val="false"/>
              <w:tabs>
                <w:tab w:val="clear" w:pos="709"/>
              </w:tabs>
              <w:bidi w:val="0"/>
              <w:spacing w:lineRule="auto" w:line="240"/>
              <w:jc w:val="start"/>
              <w:rPr>
                <w:b/>
                <w:szCs w:val="26"/>
                <w:u w:val="single"/>
              </w:rPr>
            </w:pPr>
            <w:r>
              <w:rPr>
                <w:rFonts w:eastAsia="Calibri"/>
              </w:rPr>
              <w:t>45y-55y F 0-284 pg/mL</w:t>
            </w:r>
          </w:p>
          <w:p>
            <w:pPr>
              <w:pStyle w:val="Normal"/>
              <w:widowControl w:val="false"/>
              <w:tabs>
                <w:tab w:val="clear" w:pos="709"/>
              </w:tabs>
              <w:bidi w:val="0"/>
              <w:spacing w:lineRule="auto" w:line="240"/>
              <w:jc w:val="start"/>
              <w:rPr>
                <w:b/>
                <w:szCs w:val="26"/>
                <w:u w:val="single"/>
              </w:rPr>
            </w:pPr>
            <w:r>
              <w:rPr>
                <w:rFonts w:eastAsia="Calibri"/>
              </w:rPr>
              <w:t>55y-65y M 0-386 pg/mL</w:t>
            </w:r>
          </w:p>
          <w:p>
            <w:pPr>
              <w:pStyle w:val="Normal"/>
              <w:widowControl w:val="false"/>
              <w:tabs>
                <w:tab w:val="clear" w:pos="709"/>
              </w:tabs>
              <w:bidi w:val="0"/>
              <w:spacing w:lineRule="auto" w:line="240"/>
              <w:jc w:val="start"/>
              <w:rPr>
                <w:b/>
                <w:szCs w:val="26"/>
                <w:u w:val="single"/>
              </w:rPr>
            </w:pPr>
            <w:r>
              <w:rPr>
                <w:rFonts w:eastAsia="Calibri"/>
              </w:rPr>
              <w:t>55y-65y F 0-352 pg/mL</w:t>
            </w:r>
          </w:p>
          <w:p>
            <w:pPr>
              <w:pStyle w:val="Normal"/>
              <w:widowControl w:val="false"/>
              <w:tabs>
                <w:tab w:val="clear" w:pos="709"/>
              </w:tabs>
              <w:bidi w:val="0"/>
              <w:spacing w:lineRule="auto" w:line="240"/>
              <w:jc w:val="start"/>
              <w:rPr>
                <w:b/>
                <w:szCs w:val="26"/>
                <w:u w:val="single"/>
              </w:rPr>
            </w:pPr>
            <w:r>
              <w:rPr>
                <w:rFonts w:eastAsia="Calibri"/>
              </w:rPr>
              <w:t>65y-75y M 0-879 pg/mL</w:t>
            </w:r>
          </w:p>
          <w:p>
            <w:pPr>
              <w:pStyle w:val="Normal"/>
              <w:widowControl w:val="false"/>
              <w:tabs>
                <w:tab w:val="clear" w:pos="709"/>
              </w:tabs>
              <w:bidi w:val="0"/>
              <w:spacing w:lineRule="auto" w:line="240"/>
              <w:jc w:val="start"/>
              <w:rPr>
                <w:b/>
                <w:szCs w:val="26"/>
                <w:u w:val="single"/>
              </w:rPr>
            </w:pPr>
            <w:r>
              <w:rPr>
                <w:rFonts w:eastAsia="Calibri"/>
              </w:rPr>
              <w:t>65y-75y F 0-623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2 Transferrin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collection (otorrhoea / rhinorrhea) plus</w:t>
            </w:r>
          </w:p>
          <w:p>
            <w:pPr>
              <w:pStyle w:val="Normal"/>
              <w:widowControl w:val="false"/>
              <w:tabs>
                <w:tab w:val="clear" w:pos="709"/>
              </w:tabs>
              <w:bidi w:val="0"/>
              <w:spacing w:lineRule="auto" w:line="240"/>
              <w:jc w:val="start"/>
              <w:rPr>
                <w:b/>
                <w:szCs w:val="26"/>
                <w:u w:val="single"/>
              </w:rPr>
            </w:pPr>
            <w:r>
              <w:rPr/>
              <w:t>Paired serum sample</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 Plain</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Serum (white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 much as possible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196 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21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Direct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p>
            <w:pPr>
              <w:pStyle w:val="Normal"/>
              <w:widowControl w:val="false"/>
              <w:tabs>
                <w:tab w:val="clear" w:pos="709"/>
              </w:tabs>
              <w:bidi w:val="0"/>
              <w:spacing w:lineRule="auto" w:line="240"/>
              <w:jc w:val="start"/>
              <w:rPr>
                <w:b/>
                <w:szCs w:val="26"/>
                <w:u w:val="single"/>
              </w:rPr>
            </w:pPr>
            <w:r>
              <w:rPr/>
              <w:t>Protected from light.</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C-Peptide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 – 4.4µmol/L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12-5</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&lt;35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15-3</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&lt;25–kU/L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19-9</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&lt;27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Caeruloplasmin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0.15 – 0.30 g/L</w:t>
            </w:r>
          </w:p>
          <w:p>
            <w:pPr>
              <w:pStyle w:val="Normal"/>
              <w:widowControl w:val="false"/>
              <w:tabs>
                <w:tab w:val="clear" w:pos="709"/>
              </w:tabs>
              <w:bidi w:val="0"/>
              <w:spacing w:lineRule="auto" w:line="240"/>
              <w:jc w:val="start"/>
              <w:rPr>
                <w:b/>
                <w:szCs w:val="26"/>
                <w:u w:val="single"/>
              </w:rPr>
            </w:pPr>
            <w:r>
              <w:rPr/>
              <w:t>F 0.16 – 0.45g/L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18-60yrs: 2.15 – 2.50mmol/L</w:t>
            </w:r>
          </w:p>
          <w:p>
            <w:pPr>
              <w:pStyle w:val="Normal"/>
              <w:widowControl w:val="false"/>
              <w:tabs>
                <w:tab w:val="clear" w:pos="709"/>
              </w:tabs>
              <w:bidi w:val="0"/>
              <w:spacing w:lineRule="auto" w:line="240"/>
              <w:jc w:val="start"/>
              <w:rPr>
                <w:b/>
                <w:szCs w:val="26"/>
                <w:u w:val="single"/>
              </w:rPr>
            </w:pPr>
            <w:r>
              <w:rPr/>
              <w:t>60-90yrs: 2.20 – 2.55mmol/L</w:t>
            </w:r>
          </w:p>
          <w:p>
            <w:pPr>
              <w:pStyle w:val="Normal"/>
              <w:widowControl w:val="false"/>
              <w:tabs>
                <w:tab w:val="clear" w:pos="709"/>
              </w:tabs>
              <w:bidi w:val="0"/>
              <w:spacing w:lineRule="auto" w:line="240"/>
              <w:jc w:val="start"/>
              <w:rPr>
                <w:b/>
                <w:szCs w:val="26"/>
                <w:u w:val="single"/>
              </w:rPr>
            </w:pPr>
            <w:r>
              <w:rPr/>
              <w:t>&gt;90yrs:    2.05 – 2.40mmol/L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 Adjusted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2.21 – 2.52 mmol/L</w:t>
            </w:r>
          </w:p>
          <w:p>
            <w:pPr>
              <w:pStyle w:val="Normal"/>
              <w:widowControl w:val="false"/>
              <w:tabs>
                <w:tab w:val="clear" w:pos="709"/>
              </w:tabs>
              <w:bidi w:val="0"/>
              <w:spacing w:lineRule="auto" w:line="240"/>
              <w:jc w:val="start"/>
              <w:rPr>
                <w:b/>
                <w:szCs w:val="26"/>
                <w:u w:val="single"/>
              </w:rPr>
            </w:pPr>
            <w:r>
              <w:rPr/>
              <w:t>(Locally derived equation)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Carbamazepine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4.0 - 12.0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Carcinoembryonic Antigen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&lt;5.2 ng/ml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Chloride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95 - 108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A.M.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166 - 507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(Hydrocortisone)10 timed samples for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(Cushings)</w:t>
            </w:r>
          </w:p>
          <w:p>
            <w:pPr>
              <w:pStyle w:val="Normal"/>
              <w:widowControl w:val="false"/>
              <w:tabs>
                <w:tab w:val="clear" w:pos="709"/>
              </w:tabs>
              <w:bidi w:val="0"/>
              <w:spacing w:lineRule="auto" w:line="240"/>
              <w:jc w:val="start"/>
              <w:rPr>
                <w:b/>
                <w:szCs w:val="26"/>
                <w:u w:val="single"/>
              </w:rPr>
            </w:pPr>
            <w:r>
              <w:rPr/>
              <w:t>6 timed samples for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M/N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Random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Creatine Kinase Total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39 – 308 I.U/L</w:t>
            </w:r>
          </w:p>
          <w:p>
            <w:pPr>
              <w:pStyle w:val="Normal"/>
              <w:widowControl w:val="false"/>
              <w:tabs>
                <w:tab w:val="clear" w:pos="709"/>
              </w:tabs>
              <w:bidi w:val="0"/>
              <w:spacing w:lineRule="auto" w:line="240"/>
              <w:jc w:val="start"/>
              <w:rPr>
                <w:b/>
                <w:szCs w:val="26"/>
                <w:u w:val="single"/>
              </w:rPr>
            </w:pPr>
            <w:r>
              <w:rPr/>
              <w:t>F 26 - 192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59 – 104 μmol/L</w:t>
            </w:r>
          </w:p>
          <w:p>
            <w:pPr>
              <w:pStyle w:val="Normal"/>
              <w:widowControl w:val="false"/>
              <w:tabs>
                <w:tab w:val="clear" w:pos="709"/>
              </w:tabs>
              <w:bidi w:val="0"/>
              <w:spacing w:lineRule="auto" w:line="240"/>
              <w:jc w:val="start"/>
              <w:rPr>
                <w:b/>
                <w:szCs w:val="26"/>
                <w:u w:val="single"/>
              </w:rPr>
            </w:pPr>
            <w:r>
              <w:rPr/>
              <w:t>F  45 - 84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Clearance</w:t>
            </w:r>
          </w:p>
          <w:p>
            <w:pPr>
              <w:pStyle w:val="Normal"/>
              <w:widowControl w:val="false"/>
              <w:tabs>
                <w:tab w:val="clear" w:pos="709"/>
              </w:tabs>
              <w:bidi w:val="0"/>
              <w:spacing w:lineRule="auto" w:line="240"/>
              <w:jc w:val="start"/>
              <w:rPr>
                <w:b/>
                <w:szCs w:val="26"/>
                <w:u w:val="single"/>
              </w:rPr>
            </w:pPr>
            <w:r>
              <w:rPr/>
              <w:t>2 labels print – 24 hr Urine and Blood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Heparin/24HU</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Top)/24HU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&amp; 24HU</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80 - 125 ml/min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CRF</w:t>
            </w:r>
          </w:p>
          <w:p>
            <w:pPr>
              <w:pStyle w:val="Normal"/>
              <w:widowControl w:val="false"/>
              <w:tabs>
                <w:tab w:val="clear" w:pos="709"/>
              </w:tabs>
              <w:bidi w:val="0"/>
              <w:spacing w:lineRule="auto" w:line="240"/>
              <w:jc w:val="start"/>
              <w:rPr>
                <w:b/>
                <w:szCs w:val="26"/>
                <w:u w:val="single"/>
              </w:rPr>
            </w:pPr>
            <w:r>
              <w:rPr/>
              <w:t>Timed samples for Cortisol and 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Cryoglobulins (CRYOS, SPE, IGG)</w:t>
            </w:r>
          </w:p>
          <w:p>
            <w:pPr>
              <w:pStyle w:val="Normal"/>
              <w:widowControl w:val="false"/>
              <w:tabs>
                <w:tab w:val="clear" w:pos="709"/>
              </w:tabs>
              <w:bidi w:val="0"/>
              <w:spacing w:lineRule="auto" w:line="240"/>
              <w:jc w:val="start"/>
              <w:rPr>
                <w:b/>
                <w:szCs w:val="26"/>
                <w:u w:val="single"/>
              </w:rPr>
            </w:pPr>
            <w:r>
              <w:rPr/>
              <w:t>Sample must be clotted @ 37°C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&amp; EDTA plasma</w:t>
            </w:r>
          </w:p>
          <w:p>
            <w:pPr>
              <w:pStyle w:val="Normal"/>
              <w:widowControl w:val="false"/>
              <w:tabs>
                <w:tab w:val="clear" w:pos="709"/>
              </w:tabs>
              <w:bidi w:val="0"/>
              <w:spacing w:lineRule="auto" w:line="240"/>
              <w:jc w:val="start"/>
              <w:rPr>
                <w:b/>
                <w:szCs w:val="26"/>
                <w:u w:val="single"/>
              </w:rPr>
            </w:pPr>
            <w:r>
              <w:rPr/>
              <w:t>8 hour Fasting Samples Required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Plain</w:t>
            </w:r>
          </w:p>
          <w:p>
            <w:pPr>
              <w:pStyle w:val="Normal"/>
              <w:widowControl w:val="false"/>
              <w:tabs>
                <w:tab w:val="clear" w:pos="709"/>
              </w:tabs>
              <w:bidi w:val="0"/>
              <w:spacing w:lineRule="auto" w:line="240"/>
              <w:jc w:val="start"/>
              <w:rPr>
                <w:b/>
                <w:szCs w:val="26"/>
                <w:u w:val="single"/>
              </w:rPr>
            </w:pPr>
            <w:r>
              <w:rPr/>
              <w:t>(White Top)</w:t>
            </w:r>
          </w:p>
          <w:p>
            <w:pPr>
              <w:pStyle w:val="Normal"/>
              <w:widowControl w:val="false"/>
              <w:tabs>
                <w:tab w:val="clear" w:pos="709"/>
              </w:tabs>
              <w:bidi w:val="0"/>
              <w:spacing w:lineRule="auto" w:line="240"/>
              <w:jc w:val="start"/>
              <w:rPr>
                <w:b/>
                <w:szCs w:val="26"/>
                <w:u w:val="single"/>
              </w:rPr>
            </w:pPr>
            <w:r>
              <w:rPr/>
              <w:t>Plasma Pink EDTA</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 filled</w:t>
            </w:r>
          </w:p>
          <w:p>
            <w:pPr>
              <w:pStyle w:val="Normal"/>
              <w:widowControl w:val="false"/>
              <w:tabs>
                <w:tab w:val="clear" w:pos="709"/>
              </w:tabs>
              <w:bidi w:val="0"/>
              <w:spacing w:lineRule="auto" w:line="240"/>
              <w:jc w:val="start"/>
              <w:rPr>
                <w:b/>
                <w:szCs w:val="26"/>
                <w:u w:val="single"/>
              </w:rPr>
            </w:pPr>
            <w:r>
              <w:rPr/>
              <w:t>2.6ml filled</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Qualitative</w:t>
            </w:r>
          </w:p>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Protein / Glucose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Xanthochromia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Brown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plastic</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Cyclosporin 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Cystatin 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0.61mg/L – 0.95mg/L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Dehydroepiandrostenesulphate (DHEAS)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(µmol/L)</w:t>
            </w:r>
          </w:p>
          <w:tbl>
            <w:tblPr>
              <w:tblW w:w="3661" w:type="dxa"/>
              <w:jc w:val="center"/>
              <w:tblInd w:w="0" w:type="dxa"/>
              <w:tblLayout w:type="fixed"/>
              <w:tblCellMar>
                <w:top w:w="0" w:type="dxa"/>
                <w:start w:w="108" w:type="dxa"/>
                <w:bottom w:w="0" w:type="dxa"/>
                <w:end w:w="108" w:type="dxa"/>
              </w:tblCellMar>
            </w:tblPr>
            <w:tblGrid>
              <w:gridCol w:w="1223"/>
              <w:gridCol w:w="1218"/>
              <w:gridCol w:w="1220"/>
            </w:tblGrid>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Females</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Males</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15-20y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1.8-10.0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1.9-13.4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20-25y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4.0-11.0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5.7-13.4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25-35y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4.3-12.2</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35-45y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2.4-11.6</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45-55y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1.0-7.0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1.2-9.0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55-65y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0.5-5.6</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1.4-8.0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65-75y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0.3-6.7</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0.9-6.8</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 xml:space="preserve">≥ </w:t>
                  </w:r>
                  <w:r>
                    <w:rPr>
                      <w:rFonts w:eastAsia="NimbusSanL-RegCon"/>
                    </w:rPr>
                    <w:t>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0.3-4.2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0.4-3.3</w:t>
                  </w:r>
                </w:p>
              </w:tc>
            </w:tr>
          </w:tbl>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Dexamethasone Supression.</w:t>
            </w:r>
          </w:p>
          <w:p>
            <w:pPr>
              <w:pStyle w:val="Normal"/>
              <w:widowControl w:val="false"/>
              <w:tabs>
                <w:tab w:val="clear" w:pos="709"/>
              </w:tabs>
              <w:bidi w:val="0"/>
              <w:spacing w:lineRule="auto" w:line="240"/>
              <w:jc w:val="start"/>
              <w:rPr>
                <w:b/>
                <w:szCs w:val="26"/>
                <w:u w:val="single"/>
              </w:rPr>
            </w:pPr>
            <w:r>
              <w:rPr/>
              <w:t>High Dose Long</w:t>
            </w:r>
          </w:p>
          <w:p>
            <w:pPr>
              <w:pStyle w:val="Normal"/>
              <w:widowControl w:val="false"/>
              <w:tabs>
                <w:tab w:val="clear" w:pos="709"/>
              </w:tabs>
              <w:bidi w:val="0"/>
              <w:spacing w:lineRule="auto" w:line="240"/>
              <w:jc w:val="start"/>
              <w:rPr>
                <w:b/>
                <w:szCs w:val="26"/>
                <w:u w:val="single"/>
              </w:rPr>
            </w:pPr>
            <w:r>
              <w:rPr/>
              <w:t>3 Timed Cortisol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Dexamethasone Supression.</w:t>
            </w:r>
          </w:p>
          <w:p>
            <w:pPr>
              <w:pStyle w:val="Normal"/>
              <w:widowControl w:val="false"/>
              <w:tabs>
                <w:tab w:val="clear" w:pos="709"/>
              </w:tabs>
              <w:bidi w:val="0"/>
              <w:spacing w:lineRule="auto" w:line="240"/>
              <w:jc w:val="start"/>
              <w:rPr>
                <w:b/>
                <w:szCs w:val="26"/>
                <w:u w:val="single"/>
              </w:rPr>
            </w:pPr>
            <w:r>
              <w:rPr/>
              <w:t>Low Dose Long</w:t>
            </w:r>
          </w:p>
          <w:p>
            <w:pPr>
              <w:pStyle w:val="Normal"/>
              <w:widowControl w:val="false"/>
              <w:tabs>
                <w:tab w:val="clear" w:pos="709"/>
              </w:tabs>
              <w:bidi w:val="0"/>
              <w:spacing w:lineRule="auto" w:line="240"/>
              <w:jc w:val="start"/>
              <w:rPr>
                <w:b/>
                <w:szCs w:val="26"/>
                <w:u w:val="single"/>
              </w:rPr>
            </w:pPr>
            <w:r>
              <w:rPr/>
              <w:t>3 Timed Cortisol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Overnight Supression.</w:t>
            </w:r>
          </w:p>
          <w:p>
            <w:pPr>
              <w:pStyle w:val="Normal"/>
              <w:widowControl w:val="false"/>
              <w:tabs>
                <w:tab w:val="clear" w:pos="709"/>
              </w:tabs>
              <w:bidi w:val="0"/>
              <w:spacing w:lineRule="auto" w:line="240"/>
              <w:jc w:val="start"/>
              <w:rPr>
                <w:b/>
                <w:szCs w:val="26"/>
                <w:u w:val="single"/>
              </w:rPr>
            </w:pPr>
            <w:r>
              <w:rPr/>
              <w:t>Single Timed Cortisol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Suppression Test 8mg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Digoxin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μg/L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Estimated Glomerular Filtration Rate (eGFR)</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&gt;90ml/min/1.72m2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Ethanol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w:t>
            </w:r>
          </w:p>
          <w:p>
            <w:pPr>
              <w:pStyle w:val="Normal"/>
              <w:widowControl w:val="false"/>
              <w:tabs>
                <w:tab w:val="clear" w:pos="709"/>
              </w:tabs>
              <w:bidi w:val="0"/>
              <w:spacing w:lineRule="auto" w:line="240"/>
              <w:jc w:val="start"/>
              <w:rPr>
                <w:b/>
                <w:szCs w:val="26"/>
                <w:u w:val="single"/>
              </w:rPr>
            </w:pPr>
            <w:r>
              <w:rPr/>
              <w:t>(YELLOW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 mg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 hours for STAT samples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Ferritin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17-60yr: 13 – 150 ng/mL</w:t>
            </w:r>
          </w:p>
          <w:p>
            <w:pPr>
              <w:pStyle w:val="Normal"/>
              <w:widowControl w:val="false"/>
              <w:tabs>
                <w:tab w:val="clear" w:pos="709"/>
              </w:tabs>
              <w:bidi w:val="0"/>
              <w:spacing w:lineRule="auto" w:line="240"/>
              <w:jc w:val="start"/>
              <w:rPr>
                <w:b/>
                <w:szCs w:val="26"/>
                <w:u w:val="single"/>
              </w:rPr>
            </w:pPr>
            <w:r>
              <w:rPr/>
              <w:t>Male 20-60yr: 30 – 400 ng/mL</w:t>
            </w:r>
          </w:p>
          <w:p>
            <w:pPr>
              <w:pStyle w:val="Normal"/>
              <w:widowControl w:val="false"/>
              <w:tabs>
                <w:tab w:val="clear" w:pos="709"/>
              </w:tabs>
              <w:bidi w:val="0"/>
              <w:spacing w:lineRule="auto" w:line="240"/>
              <w:jc w:val="start"/>
              <w:rPr>
                <w:b/>
                <w:szCs w:val="26"/>
                <w:u w:val="single"/>
              </w:rPr>
            </w:pPr>
            <w:r>
              <w:rPr/>
              <w:t>No reference range for &gt;60yr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Folate/Folic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3.9-26.8 µg/L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Follicle Stimulating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:1.5 – 12.4 U/L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3.5-12.5 U/L</w:t>
            </w:r>
          </w:p>
          <w:p>
            <w:pPr>
              <w:pStyle w:val="Normal"/>
              <w:widowControl w:val="false"/>
              <w:tabs>
                <w:tab w:val="clear" w:pos="709"/>
              </w:tabs>
              <w:bidi w:val="0"/>
              <w:spacing w:lineRule="auto" w:line="240"/>
              <w:jc w:val="start"/>
              <w:rPr>
                <w:b/>
                <w:szCs w:val="26"/>
                <w:u w:val="single"/>
              </w:rPr>
            </w:pPr>
            <w:r>
              <w:rPr/>
              <w:t>Mid Cycle: 4.7 – 21.5 U/L</w:t>
            </w:r>
          </w:p>
          <w:p>
            <w:pPr>
              <w:pStyle w:val="Normal"/>
              <w:widowControl w:val="false"/>
              <w:tabs>
                <w:tab w:val="clear" w:pos="709"/>
              </w:tabs>
              <w:bidi w:val="0"/>
              <w:spacing w:lineRule="auto" w:line="240"/>
              <w:jc w:val="start"/>
              <w:rPr>
                <w:b/>
                <w:szCs w:val="26"/>
                <w:u w:val="single"/>
              </w:rPr>
            </w:pPr>
            <w:r>
              <w:rPr/>
              <w:t>Luteal 1.7-7.7 U/L</w:t>
            </w:r>
          </w:p>
          <w:p>
            <w:pPr>
              <w:pStyle w:val="Normal"/>
              <w:widowControl w:val="false"/>
              <w:tabs>
                <w:tab w:val="clear" w:pos="709"/>
              </w:tabs>
              <w:bidi w:val="0"/>
              <w:spacing w:lineRule="auto" w:line="240"/>
              <w:jc w:val="start"/>
              <w:rPr>
                <w:b/>
                <w:szCs w:val="26"/>
                <w:u w:val="single"/>
              </w:rPr>
            </w:pPr>
            <w:r>
              <w:rPr/>
              <w:t>Post Menopausal : 25.8-134.8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T3</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3.1 – 6.8</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Thyroxine (FT4)</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11.9 -21.6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G-Glutamyl Transferase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59 I.U/L</w:t>
            </w:r>
          </w:p>
          <w:p>
            <w:pPr>
              <w:pStyle w:val="Normal"/>
              <w:widowControl w:val="false"/>
              <w:tabs>
                <w:tab w:val="clear" w:pos="709"/>
              </w:tabs>
              <w:bidi w:val="0"/>
              <w:spacing w:lineRule="auto" w:line="240"/>
              <w:jc w:val="start"/>
              <w:rPr>
                <w:b/>
                <w:szCs w:val="26"/>
                <w:u w:val="single"/>
              </w:rPr>
            </w:pPr>
            <w:r>
              <w:rPr/>
              <w:t>F&lt; 39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Globulin (calculated value includes Protein &amp; 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2.5hrs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Glucagon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120 minutes (2 HR PP)</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Random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(Short)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for HGH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with Rels. Factors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Zero Time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3.6 – 6.0mmol/L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Gonadotrophins (FSH &amp; LH)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Prolonged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with Insulin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Haemoglobin A1C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20 – 42 mmol/mol</w:t>
            </w:r>
          </w:p>
          <w:p>
            <w:pPr>
              <w:pStyle w:val="Normal"/>
              <w:widowControl w:val="false"/>
              <w:tabs>
                <w:tab w:val="clear" w:pos="709"/>
              </w:tabs>
              <w:bidi w:val="0"/>
              <w:spacing w:lineRule="auto" w:line="240"/>
              <w:jc w:val="start"/>
              <w:rPr>
                <w:b/>
                <w:szCs w:val="26"/>
                <w:u w:val="single"/>
              </w:rPr>
            </w:pPr>
            <w:r>
              <w:rPr/>
              <w:t>In normal subjects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96hours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HGH day Curve</w:t>
            </w:r>
          </w:p>
          <w:p>
            <w:pPr>
              <w:pStyle w:val="Normal"/>
              <w:widowControl w:val="false"/>
              <w:tabs>
                <w:tab w:val="clear" w:pos="709"/>
              </w:tabs>
              <w:bidi w:val="0"/>
              <w:spacing w:lineRule="auto" w:line="240"/>
              <w:jc w:val="start"/>
              <w:rPr>
                <w:b/>
                <w:szCs w:val="26"/>
                <w:u w:val="single"/>
              </w:rPr>
            </w:pPr>
            <w:r>
              <w:rPr/>
              <w:t>5 Timed GH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Hirsute Synacthen Stimulation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Human Growth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Hypoglycaemia Screen</w:t>
            </w:r>
          </w:p>
          <w:p>
            <w:pPr>
              <w:pStyle w:val="Normal"/>
              <w:widowControl w:val="false"/>
              <w:tabs>
                <w:tab w:val="clear" w:pos="709"/>
              </w:tabs>
              <w:bidi w:val="0"/>
              <w:spacing w:lineRule="auto" w:line="240"/>
              <w:jc w:val="start"/>
              <w:rPr>
                <w:b/>
                <w:szCs w:val="26"/>
                <w:u w:val="single"/>
              </w:rPr>
            </w:pPr>
            <w:r>
              <w:rPr/>
              <w:t>glucose, insulin, c-peptide, proinsulin, beta-hydroxybutyrate</w:t>
            </w:r>
          </w:p>
          <w:p>
            <w:pPr>
              <w:pStyle w:val="Normal"/>
              <w:widowControl w:val="false"/>
              <w:tabs>
                <w:tab w:val="clear" w:pos="709"/>
              </w:tabs>
              <w:bidi w:val="0"/>
              <w:spacing w:lineRule="auto" w:line="240"/>
              <w:jc w:val="start"/>
              <w:rPr>
                <w:b/>
                <w:szCs w:val="26"/>
                <w:u w:val="single"/>
              </w:rPr>
            </w:pPr>
            <w:r>
              <w:rPr/>
              <w:t xml:space="preserve"> </w:t>
            </w:r>
            <w:r>
              <w:rPr/>
              <w:t>serum Sulphonylureas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Interleukin 6</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7.0pg/mL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Immunoglobulins G,A,M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&amp; C-Peptide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w:t>
            </w:r>
          </w:p>
          <w:p>
            <w:pPr>
              <w:pStyle w:val="Normal"/>
              <w:widowControl w:val="false"/>
              <w:tabs>
                <w:tab w:val="clear" w:pos="709"/>
              </w:tabs>
              <w:bidi w:val="0"/>
              <w:spacing w:lineRule="auto" w:line="240"/>
              <w:jc w:val="start"/>
              <w:rPr>
                <w:b/>
                <w:szCs w:val="26"/>
                <w:u w:val="single"/>
              </w:rPr>
            </w:pPr>
            <w:r>
              <w:rPr/>
              <w:t>Timed samples for Insulin, Growth Hormone &amp; Glucose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 Release Factors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Fasting: </w:t>
            </w:r>
            <w:r>
              <w:rPr>
                <w:rFonts w:eastAsia="NimbusSanL-RegCon"/>
              </w:rPr>
              <w:t>2.6-24.9 mU/L</w:t>
            </w:r>
          </w:p>
          <w:p>
            <w:pPr>
              <w:pStyle w:val="Normal"/>
              <w:widowControl w:val="false"/>
              <w:tabs>
                <w:tab w:val="clear" w:pos="709"/>
              </w:tabs>
              <w:bidi w:val="0"/>
              <w:spacing w:lineRule="auto" w:line="240"/>
              <w:jc w:val="start"/>
              <w:rPr>
                <w:b/>
                <w:szCs w:val="26"/>
                <w:u w:val="single"/>
              </w:rPr>
            </w:pPr>
            <w:r>
              <w:rPr/>
              <w:t>(provided fasting glucose is within normal/ reference range)</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Insulin-Like Growth Factors-1</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tbl>
            <w:tblPr>
              <w:tblW w:w="3293" w:type="dxa"/>
              <w:jc w:val="center"/>
              <w:tblInd w:w="0" w:type="dxa"/>
              <w:tblLayout w:type="fixed"/>
              <w:tblCellMar>
                <w:top w:w="0" w:type="dxa"/>
                <w:start w:w="108" w:type="dxa"/>
                <w:bottom w:w="0" w:type="dxa"/>
                <w:end w:w="108" w:type="dxa"/>
              </w:tblCellMar>
            </w:tblPr>
            <w:tblGrid>
              <w:gridCol w:w="1018"/>
              <w:gridCol w:w="1136"/>
              <w:gridCol w:w="1139"/>
            </w:tblGrid>
            <w:tr>
              <w:trPr/>
              <w:tc>
                <w:tcPr>
                  <w:tcW w:w="10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13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w:t>
                  </w:r>
                </w:p>
              </w:tc>
              <w:tc>
                <w:tcPr>
                  <w:tcW w:w="1139"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17.9-125.6</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27.0-157.0</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19.5-132.3</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29.7-166.8</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22.2-145.4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33.9-183.9</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25.9-164.2</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39.0-204.5</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30.7-187.8</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44.3-225.0</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26.2-214.4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50.0-245.5</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42.0-240.4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56.2-267.1</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48.6-269.6</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63.4-291.9</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56.9-305.3</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72.4-323.1</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9-10y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67.2-349.4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83.6-361.6</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10-11y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79.5-400.3</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96.9-406.6</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92.6-452.6</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111.6-454.4</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12-13y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105.3-499.1</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126.1-498.7</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13-14y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115.9-533.4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138.6-532.5</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14-15y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123.4-552.0</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147.5-551.2</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15-16y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127.4-554.2</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152.2-553.5</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16-17y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127.9-541.5</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152.9-541.8</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17-18y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125.3-517.3</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150.6-520.6</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18-19y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120.5-485.8</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146.2-493.6</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19-20y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114.4-450.8</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140.2-462.7</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20-21y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107.8-416.0</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133.1-430.0</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26-31y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78.4-270.0</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97.9-281.6</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31-36y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73.1-243.0</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88.3-246.0</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36-41y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69.0-227.0</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83.4-232.7</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41-46y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61.5-204.4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74.9-216.4</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56.8-194.5</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66.9-205.1</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51-56y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53.0-189.6</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60.6-200.3</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56-61y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45.6-172.4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54.3-194.2</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61-66y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42.2-169.0</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48.8-187.7</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66-71y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38.3-162.5</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46.5-191.9</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71-76y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36.6-164.7</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40.9-179.2</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76-81y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34.7-164.8</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37.1-172.0</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81-86y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34.4-172.4</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33.8-165.4</w:t>
                  </w:r>
                </w:p>
              </w:tc>
            </w:tr>
            <w:tr>
              <w:trPr/>
              <w:tc>
                <w:tcPr>
                  <w:tcW w:w="10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86-91y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33.6-177.8</w:t>
                  </w:r>
                </w:p>
              </w:tc>
              <w:tc>
                <w:tcPr>
                  <w:tcW w:w="11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32.2-166.1</w:t>
                  </w:r>
                </w:p>
              </w:tc>
            </w:tr>
          </w:tbl>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Intravenous Petrosal Sampling</w:t>
            </w:r>
          </w:p>
          <w:p>
            <w:pPr>
              <w:pStyle w:val="Normal"/>
              <w:widowControl w:val="false"/>
              <w:tabs>
                <w:tab w:val="clear" w:pos="709"/>
              </w:tabs>
              <w:bidi w:val="0"/>
              <w:spacing w:lineRule="auto" w:line="240"/>
              <w:jc w:val="start"/>
              <w:rPr>
                <w:b/>
                <w:szCs w:val="26"/>
                <w:u w:val="single"/>
              </w:rPr>
            </w:pPr>
            <w:r>
              <w:rPr/>
              <w:t>16 site specific labels for 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BLUE</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Iron (FE) &amp; Transferrin Saturation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5.8 – 34.5µmol/L</w:t>
            </w:r>
          </w:p>
          <w:p>
            <w:pPr>
              <w:pStyle w:val="Normal"/>
              <w:widowControl w:val="false"/>
              <w:tabs>
                <w:tab w:val="clear" w:pos="709"/>
              </w:tabs>
              <w:bidi w:val="0"/>
              <w:spacing w:lineRule="auto" w:line="240"/>
              <w:jc w:val="start"/>
              <w:rPr>
                <w:b/>
                <w:szCs w:val="26"/>
                <w:u w:val="single"/>
              </w:rPr>
            </w:pPr>
            <w:r>
              <w:rPr/>
              <w:t>A Fasting Transferrin Saturation       &gt; 55% in Males      or</w:t>
            </w:r>
          </w:p>
          <w:p>
            <w:pPr>
              <w:pStyle w:val="Normal"/>
              <w:widowControl w:val="false"/>
              <w:tabs>
                <w:tab w:val="clear" w:pos="709"/>
              </w:tabs>
              <w:bidi w:val="0"/>
              <w:spacing w:lineRule="auto" w:line="240"/>
              <w:jc w:val="start"/>
              <w:rPr>
                <w:b/>
                <w:szCs w:val="26"/>
                <w:u w:val="single"/>
              </w:rPr>
            </w:pPr>
            <w:r>
              <w:rPr/>
              <w:t>&gt; 50% in Females indicates Iron accumulation.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1.01 – 2.09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 Dehydrogenase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135 – 225 I.U/L</w:t>
            </w:r>
          </w:p>
          <w:p>
            <w:pPr>
              <w:pStyle w:val="Normal"/>
              <w:widowControl w:val="false"/>
              <w:tabs>
                <w:tab w:val="clear" w:pos="709"/>
              </w:tabs>
              <w:bidi w:val="0"/>
              <w:spacing w:lineRule="auto" w:line="240"/>
              <w:jc w:val="start"/>
              <w:rPr>
                <w:b/>
                <w:szCs w:val="26"/>
                <w:u w:val="single"/>
              </w:rPr>
            </w:pPr>
            <w:r>
              <w:rPr/>
              <w:t>F 135 – 214 I.U/L</w:t>
            </w:r>
          </w:p>
          <w:p>
            <w:pPr>
              <w:pStyle w:val="Normal"/>
              <w:widowControl w:val="false"/>
              <w:tabs>
                <w:tab w:val="clear" w:pos="709"/>
              </w:tabs>
              <w:bidi w:val="0"/>
              <w:spacing w:lineRule="auto" w:line="240"/>
              <w:jc w:val="start"/>
              <w:rPr>
                <w:b/>
                <w:szCs w:val="26"/>
                <w:u w:val="single"/>
              </w:rPr>
            </w:pPr>
            <w:r>
              <w:rPr/>
              <w:t>Please note: LDH test results may be increased by up to 14% by sending the sample to the laboratory using the pneumatic chute transport system. Interpret results with caution.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LDH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1.7mmol/L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(Non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2.0mmol/L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Liver Function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Follicular: 2.4 - 12.6 U/L</w:t>
            </w:r>
          </w:p>
          <w:p>
            <w:pPr>
              <w:pStyle w:val="Normal"/>
              <w:widowControl w:val="false"/>
              <w:tabs>
                <w:tab w:val="clear" w:pos="709"/>
              </w:tabs>
              <w:bidi w:val="0"/>
              <w:spacing w:lineRule="auto" w:line="240"/>
              <w:jc w:val="start"/>
              <w:rPr>
                <w:b/>
                <w:szCs w:val="26"/>
                <w:u w:val="single"/>
              </w:rPr>
            </w:pPr>
            <w:r>
              <w:rPr/>
              <w:t>Ovulation: 14.0 -  95.6 U/L</w:t>
            </w:r>
          </w:p>
          <w:p>
            <w:pPr>
              <w:pStyle w:val="Normal"/>
              <w:widowControl w:val="false"/>
              <w:tabs>
                <w:tab w:val="clear" w:pos="709"/>
              </w:tabs>
              <w:bidi w:val="0"/>
              <w:spacing w:lineRule="auto" w:line="240"/>
              <w:jc w:val="start"/>
              <w:rPr>
                <w:b/>
                <w:szCs w:val="26"/>
                <w:u w:val="single"/>
              </w:rPr>
            </w:pPr>
            <w:r>
              <w:rPr/>
              <w:t>Luteal: 1.0 - 11.4 U/L</w:t>
            </w:r>
          </w:p>
          <w:p>
            <w:pPr>
              <w:pStyle w:val="Normal"/>
              <w:widowControl w:val="false"/>
              <w:tabs>
                <w:tab w:val="clear" w:pos="709"/>
              </w:tabs>
              <w:bidi w:val="0"/>
              <w:spacing w:lineRule="auto" w:line="240"/>
              <w:jc w:val="start"/>
              <w:rPr>
                <w:b/>
                <w:szCs w:val="26"/>
                <w:u w:val="single"/>
              </w:rPr>
            </w:pPr>
            <w:r>
              <w:rPr/>
              <w:t>Post Menopausal: 7.7 - 58.5 U/L</w:t>
            </w:r>
          </w:p>
          <w:p>
            <w:pPr>
              <w:pStyle w:val="Normal"/>
              <w:widowControl w:val="false"/>
              <w:tabs>
                <w:tab w:val="clear" w:pos="709"/>
              </w:tabs>
              <w:bidi w:val="0"/>
              <w:spacing w:lineRule="auto" w:line="240"/>
              <w:jc w:val="start"/>
              <w:rPr>
                <w:b/>
                <w:szCs w:val="26"/>
                <w:u w:val="single"/>
              </w:rPr>
            </w:pPr>
            <w:r>
              <w:rPr/>
              <w:t>Male : 1.7 - 8.6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 Releasing F.</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Magnesium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0.66 – 1.07mmol/L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Oestradiol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41.4 – 159 pmol/L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–114-332 pmol/L</w:t>
            </w:r>
          </w:p>
          <w:p>
            <w:pPr>
              <w:pStyle w:val="Normal"/>
              <w:widowControl w:val="false"/>
              <w:tabs>
                <w:tab w:val="clear" w:pos="709"/>
              </w:tabs>
              <w:bidi w:val="0"/>
              <w:spacing w:lineRule="auto" w:line="240"/>
              <w:jc w:val="start"/>
              <w:rPr>
                <w:b/>
                <w:szCs w:val="26"/>
                <w:u w:val="single"/>
              </w:rPr>
            </w:pPr>
            <w:r>
              <w:rPr/>
              <w:t>Ovulation: 222-1959 pmol/L</w:t>
            </w:r>
          </w:p>
          <w:p>
            <w:pPr>
              <w:pStyle w:val="Normal"/>
              <w:widowControl w:val="false"/>
              <w:tabs>
                <w:tab w:val="clear" w:pos="709"/>
              </w:tabs>
              <w:bidi w:val="0"/>
              <w:spacing w:lineRule="auto" w:line="240"/>
              <w:jc w:val="start"/>
              <w:rPr>
                <w:b/>
                <w:szCs w:val="26"/>
                <w:u w:val="single"/>
              </w:rPr>
            </w:pPr>
            <w:r>
              <w:rPr/>
              <w:t>Luteal: 222-854 pmol/L</w:t>
            </w:r>
          </w:p>
          <w:p>
            <w:pPr>
              <w:pStyle w:val="Normal"/>
              <w:widowControl w:val="false"/>
              <w:tabs>
                <w:tab w:val="clear" w:pos="709"/>
              </w:tabs>
              <w:bidi w:val="0"/>
              <w:spacing w:lineRule="auto" w:line="240"/>
              <w:jc w:val="start"/>
              <w:rPr>
                <w:b/>
                <w:szCs w:val="26"/>
                <w:u w:val="single"/>
              </w:rPr>
            </w:pPr>
            <w:r>
              <w:rPr/>
              <w:t>Post Menopausal: 18.4 - 505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Osmolality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275 – 295 mOsm/Kg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Paracetamol -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Parathyroid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17 - 74pg/mL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Phenobarb</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10.0 - 40.0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Phenytoin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Phosphate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0.81 - 1.45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Pituitary Screen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406"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 Metanephrines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 on Ice (Sample must arrive in the Lab within 1 hour of collection)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REDL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ranges are based on</w:t>
            </w:r>
          </w:p>
          <w:p>
            <w:pPr>
              <w:pStyle w:val="Normal"/>
              <w:widowControl w:val="false"/>
              <w:tabs>
                <w:tab w:val="clear" w:pos="709"/>
              </w:tabs>
              <w:bidi w:val="0"/>
              <w:spacing w:lineRule="auto" w:line="240"/>
              <w:jc w:val="start"/>
              <w:rPr>
                <w:b/>
                <w:szCs w:val="26"/>
                <w:u w:val="single"/>
              </w:rPr>
            </w:pPr>
            <w:r>
              <w:rPr/>
              <w:t>a fasting adult patient in a</w:t>
            </w:r>
          </w:p>
          <w:p>
            <w:pPr>
              <w:pStyle w:val="Normal"/>
              <w:widowControl w:val="false"/>
              <w:tabs>
                <w:tab w:val="clear" w:pos="709"/>
              </w:tabs>
              <w:bidi w:val="0"/>
              <w:spacing w:lineRule="auto" w:line="240"/>
              <w:jc w:val="start"/>
              <w:rPr>
                <w:b/>
                <w:szCs w:val="26"/>
                <w:u w:val="single"/>
              </w:rPr>
            </w:pPr>
            <w:r>
              <w:rPr/>
              <w:t>seated position:</w:t>
            </w:r>
          </w:p>
          <w:p>
            <w:pPr>
              <w:pStyle w:val="Normal"/>
              <w:widowControl w:val="false"/>
              <w:tabs>
                <w:tab w:val="clear" w:pos="709"/>
              </w:tabs>
              <w:bidi w:val="0"/>
              <w:spacing w:lineRule="auto" w:line="240"/>
              <w:jc w:val="start"/>
              <w:rPr>
                <w:b/>
                <w:szCs w:val="26"/>
                <w:u w:val="single"/>
              </w:rPr>
            </w:pPr>
            <w:r>
              <w:rPr/>
              <w:t>Normetanephrine &lt;1180 pmol/L</w:t>
            </w:r>
          </w:p>
          <w:p>
            <w:pPr>
              <w:pStyle w:val="Normal"/>
              <w:widowControl w:val="false"/>
              <w:tabs>
                <w:tab w:val="clear" w:pos="709"/>
              </w:tabs>
              <w:bidi w:val="0"/>
              <w:spacing w:lineRule="auto" w:line="240"/>
              <w:jc w:val="start"/>
              <w:rPr>
                <w:b/>
                <w:szCs w:val="26"/>
                <w:u w:val="single"/>
              </w:rPr>
            </w:pPr>
            <w:r>
              <w:rPr/>
              <w:t>Metanephrine &lt;510 pmol/L</w:t>
            </w:r>
          </w:p>
          <w:p>
            <w:pPr>
              <w:pStyle w:val="Normal"/>
              <w:widowControl w:val="false"/>
              <w:tabs>
                <w:tab w:val="clear" w:pos="709"/>
              </w:tabs>
              <w:bidi w:val="0"/>
              <w:spacing w:lineRule="auto" w:line="240"/>
              <w:jc w:val="start"/>
              <w:rPr>
                <w:b/>
                <w:szCs w:val="26"/>
                <w:u w:val="single"/>
              </w:rPr>
            </w:pPr>
            <w:r>
              <w:rPr/>
              <w:t>3-Methoxytyramine &lt;180 pmol/L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For samples taken in a supine</w:t>
            </w:r>
          </w:p>
          <w:p>
            <w:pPr>
              <w:pStyle w:val="Normal"/>
              <w:widowControl w:val="false"/>
              <w:tabs>
                <w:tab w:val="clear" w:pos="709"/>
              </w:tabs>
              <w:bidi w:val="0"/>
              <w:spacing w:lineRule="auto" w:line="240"/>
              <w:jc w:val="start"/>
              <w:rPr>
                <w:b/>
                <w:szCs w:val="26"/>
                <w:u w:val="single"/>
              </w:rPr>
            </w:pPr>
            <w:r>
              <w:rPr/>
              <w:t>Posture (post 30 mins rest),</w:t>
            </w:r>
          </w:p>
          <w:p>
            <w:pPr>
              <w:pStyle w:val="Normal"/>
              <w:widowControl w:val="false"/>
              <w:tabs>
                <w:tab w:val="clear" w:pos="709"/>
              </w:tabs>
              <w:bidi w:val="0"/>
              <w:spacing w:lineRule="auto" w:line="240"/>
              <w:jc w:val="start"/>
              <w:rPr>
                <w:b/>
                <w:szCs w:val="26"/>
                <w:u w:val="single"/>
              </w:rPr>
            </w:pPr>
            <w:r>
              <w:rPr/>
              <w:t>supine reference ranges</w:t>
            </w:r>
          </w:p>
          <w:p>
            <w:pPr>
              <w:pStyle w:val="Normal"/>
              <w:widowControl w:val="false"/>
              <w:tabs>
                <w:tab w:val="clear" w:pos="709"/>
              </w:tabs>
              <w:bidi w:val="0"/>
              <w:spacing w:lineRule="auto" w:line="240"/>
              <w:jc w:val="start"/>
              <w:rPr>
                <w:b/>
                <w:szCs w:val="26"/>
                <w:u w:val="single"/>
              </w:rPr>
            </w:pPr>
            <w:r>
              <w:rPr/>
              <w:t>are recommended:</w:t>
            </w:r>
          </w:p>
          <w:p>
            <w:pPr>
              <w:pStyle w:val="Normal"/>
              <w:widowControl w:val="false"/>
              <w:tabs>
                <w:tab w:val="clear" w:pos="709"/>
              </w:tabs>
              <w:bidi w:val="0"/>
              <w:spacing w:lineRule="auto" w:line="240"/>
              <w:jc w:val="start"/>
              <w:rPr>
                <w:b/>
                <w:szCs w:val="26"/>
                <w:u w:val="single"/>
              </w:rPr>
            </w:pPr>
            <w:r>
              <w:rPr/>
              <w:t>Normetanephrine &lt;730 pmol/L</w:t>
            </w:r>
          </w:p>
          <w:p>
            <w:pPr>
              <w:pStyle w:val="Normal"/>
              <w:widowControl w:val="false"/>
              <w:tabs>
                <w:tab w:val="clear" w:pos="709"/>
              </w:tabs>
              <w:bidi w:val="0"/>
              <w:spacing w:lineRule="auto" w:line="240"/>
              <w:jc w:val="start"/>
              <w:rPr>
                <w:b/>
                <w:szCs w:val="26"/>
                <w:u w:val="single"/>
              </w:rPr>
            </w:pPr>
            <w:r>
              <w:rPr/>
              <w:t>Metanephrine &lt;450 pmol/L</w:t>
            </w:r>
          </w:p>
          <w:p>
            <w:pPr>
              <w:pStyle w:val="Normal"/>
              <w:widowControl w:val="false"/>
              <w:tabs>
                <w:tab w:val="clear" w:pos="709"/>
              </w:tabs>
              <w:bidi w:val="0"/>
              <w:spacing w:lineRule="auto" w:line="240"/>
              <w:jc w:val="start"/>
              <w:rPr>
                <w:b/>
                <w:szCs w:val="26"/>
                <w:u w:val="single"/>
              </w:rPr>
            </w:pPr>
            <w:r>
              <w:rPr/>
              <w:t>3-Methoxytyramine &lt;180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12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Post Transplant GTT(Timed GLUC and INS)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5.3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Procalcitonin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 batch run daily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Progesterone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0.159 -  0.474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0.159 – 0.616 nmol/L</w:t>
            </w:r>
          </w:p>
          <w:p>
            <w:pPr>
              <w:pStyle w:val="Normal"/>
              <w:widowControl w:val="false"/>
              <w:tabs>
                <w:tab w:val="clear" w:pos="709"/>
              </w:tabs>
              <w:bidi w:val="0"/>
              <w:spacing w:lineRule="auto" w:line="240"/>
              <w:jc w:val="start"/>
              <w:rPr>
                <w:b/>
                <w:szCs w:val="26"/>
                <w:u w:val="single"/>
              </w:rPr>
            </w:pPr>
            <w:r>
              <w:rPr/>
              <w:t>Ovulation: 0.175 – 13.2 nmol/L</w:t>
            </w:r>
          </w:p>
          <w:p>
            <w:pPr>
              <w:pStyle w:val="Normal"/>
              <w:widowControl w:val="false"/>
              <w:tabs>
                <w:tab w:val="clear" w:pos="709"/>
              </w:tabs>
              <w:bidi w:val="0"/>
              <w:spacing w:lineRule="auto" w:line="240"/>
              <w:jc w:val="start"/>
              <w:rPr>
                <w:b/>
                <w:szCs w:val="26"/>
                <w:u w:val="single"/>
              </w:rPr>
            </w:pPr>
            <w:r>
              <w:rPr/>
              <w:t>Luteal: 13.1 – 46.3 nmol/L</w:t>
            </w:r>
          </w:p>
          <w:p>
            <w:pPr>
              <w:pStyle w:val="Normal"/>
              <w:widowControl w:val="false"/>
              <w:tabs>
                <w:tab w:val="clear" w:pos="709"/>
              </w:tabs>
              <w:bidi w:val="0"/>
              <w:spacing w:lineRule="auto" w:line="240"/>
              <w:jc w:val="start"/>
              <w:rPr>
                <w:b/>
                <w:szCs w:val="26"/>
                <w:u w:val="single"/>
              </w:rPr>
            </w:pPr>
            <w:r>
              <w:rPr/>
              <w:t>Post Menopasal: 0.159-0.401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Prolactin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Prolactin</w:t>
            </w:r>
          </w:p>
          <w:p>
            <w:pPr>
              <w:pStyle w:val="Normal"/>
              <w:widowControl w:val="false"/>
              <w:tabs>
                <w:tab w:val="clear" w:pos="709"/>
              </w:tabs>
              <w:bidi w:val="0"/>
              <w:spacing w:lineRule="auto" w:line="240"/>
              <w:jc w:val="start"/>
              <w:rPr>
                <w:b/>
                <w:szCs w:val="26"/>
                <w:u w:val="single"/>
              </w:rPr>
            </w:pPr>
            <w:r>
              <w:rPr/>
              <w:t>Female: 102-496 mIU/L</w:t>
            </w:r>
          </w:p>
          <w:p>
            <w:pPr>
              <w:pStyle w:val="Normal"/>
              <w:widowControl w:val="false"/>
              <w:tabs>
                <w:tab w:val="clear" w:pos="709"/>
              </w:tabs>
              <w:bidi w:val="0"/>
              <w:spacing w:lineRule="auto" w:line="240"/>
              <w:jc w:val="start"/>
              <w:rPr>
                <w:b/>
                <w:szCs w:val="26"/>
                <w:u w:val="single"/>
              </w:rPr>
            </w:pPr>
            <w:r>
              <w:rPr/>
              <w:t>Male: 86-324 mIU/L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Bioactive Prolactin:</w:t>
            </w:r>
          </w:p>
          <w:p>
            <w:pPr>
              <w:pStyle w:val="Normal"/>
              <w:widowControl w:val="false"/>
              <w:tabs>
                <w:tab w:val="clear" w:pos="709"/>
              </w:tabs>
              <w:bidi w:val="0"/>
              <w:spacing w:lineRule="auto" w:line="240"/>
              <w:jc w:val="start"/>
              <w:rPr>
                <w:b/>
                <w:szCs w:val="26"/>
                <w:u w:val="single"/>
              </w:rPr>
            </w:pPr>
            <w:r>
              <w:rPr/>
              <w:t>Female: 75-381mIU/L</w:t>
            </w:r>
          </w:p>
          <w:p>
            <w:pPr>
              <w:pStyle w:val="Normal"/>
              <w:widowControl w:val="false"/>
              <w:tabs>
                <w:tab w:val="clear" w:pos="709"/>
              </w:tabs>
              <w:bidi w:val="0"/>
              <w:spacing w:lineRule="auto" w:line="240"/>
              <w:jc w:val="start"/>
              <w:rPr>
                <w:b/>
                <w:szCs w:val="26"/>
                <w:u w:val="single"/>
              </w:rPr>
            </w:pPr>
            <w:r>
              <w:rPr/>
              <w:t>Male: 63-245 mIU/L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Bioactive prolactin is the biologically active form of prolactin.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 Discuss with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Prostate Specific Antigen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Age related PSA Levels</w:t>
            </w:r>
          </w:p>
          <w:p>
            <w:pPr>
              <w:pStyle w:val="Normal"/>
              <w:widowControl w:val="false"/>
              <w:tabs>
                <w:tab w:val="clear" w:pos="709"/>
              </w:tabs>
              <w:bidi w:val="0"/>
              <w:spacing w:lineRule="auto" w:line="240"/>
              <w:jc w:val="start"/>
              <w:rPr>
                <w:b/>
                <w:szCs w:val="26"/>
                <w:u w:val="single"/>
              </w:rPr>
            </w:pPr>
            <w:r>
              <w:rPr/>
              <w:t>(non-suspicious DRE)</w:t>
            </w:r>
          </w:p>
          <w:p>
            <w:pPr>
              <w:pStyle w:val="Normal"/>
              <w:widowControl w:val="false"/>
              <w:tabs>
                <w:tab w:val="clear" w:pos="709"/>
              </w:tabs>
              <w:bidi w:val="0"/>
              <w:spacing w:lineRule="auto" w:line="240"/>
              <w:jc w:val="start"/>
              <w:rPr>
                <w:b/>
                <w:szCs w:val="26"/>
                <w:u w:val="single"/>
              </w:rPr>
            </w:pPr>
            <w:r>
              <w:rPr/>
              <w:t>&lt;50 = &lt;2ug/L</w:t>
            </w:r>
          </w:p>
          <w:p>
            <w:pPr>
              <w:pStyle w:val="Normal"/>
              <w:widowControl w:val="false"/>
              <w:tabs>
                <w:tab w:val="clear" w:pos="709"/>
              </w:tabs>
              <w:bidi w:val="0"/>
              <w:spacing w:lineRule="auto" w:line="240"/>
              <w:jc w:val="start"/>
              <w:rPr>
                <w:b/>
                <w:szCs w:val="26"/>
                <w:u w:val="single"/>
              </w:rPr>
            </w:pPr>
            <w:r>
              <w:rPr/>
              <w:t>50 – 59 = &lt;3ug/L</w:t>
            </w:r>
          </w:p>
          <w:p>
            <w:pPr>
              <w:pStyle w:val="Normal"/>
              <w:widowControl w:val="false"/>
              <w:tabs>
                <w:tab w:val="clear" w:pos="709"/>
              </w:tabs>
              <w:bidi w:val="0"/>
              <w:spacing w:lineRule="auto" w:line="240"/>
              <w:jc w:val="start"/>
              <w:rPr>
                <w:b/>
                <w:szCs w:val="26"/>
                <w:u w:val="single"/>
              </w:rPr>
            </w:pPr>
            <w:r>
              <w:rPr/>
              <w:t>60 – 69 = &lt;4ug/L</w:t>
            </w:r>
          </w:p>
          <w:p>
            <w:pPr>
              <w:pStyle w:val="Normal"/>
              <w:widowControl w:val="false"/>
              <w:tabs>
                <w:tab w:val="clear" w:pos="709"/>
              </w:tabs>
              <w:bidi w:val="0"/>
              <w:spacing w:lineRule="auto" w:line="240"/>
              <w:jc w:val="start"/>
              <w:rPr>
                <w:b/>
                <w:szCs w:val="26"/>
                <w:u w:val="single"/>
              </w:rPr>
            </w:pPr>
            <w:r>
              <w:rPr/>
              <w:t>70+ = &lt;5ug/L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&amp; 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&amp; Albumin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 MSU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Total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60 - 80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Renal Profile (UREA/NA/K/CL/CREAT)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6.1 – 62.7mIU/L</w:t>
            </w:r>
          </w:p>
          <w:p>
            <w:pPr>
              <w:pStyle w:val="Normal"/>
              <w:widowControl w:val="false"/>
              <w:tabs>
                <w:tab w:val="clear" w:pos="709"/>
              </w:tabs>
              <w:bidi w:val="0"/>
              <w:spacing w:lineRule="auto" w:line="240"/>
              <w:jc w:val="start"/>
              <w:rPr>
                <w:b/>
                <w:szCs w:val="26"/>
                <w:u w:val="single"/>
              </w:rPr>
            </w:pPr>
            <w:r>
              <w:rPr/>
              <w:t>Male: 9.0 – 103.5mIU/L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Salicylate -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Saline Suppression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Free Light Chains</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White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Kappa 3.30 – 19.40 mg/L</w:t>
            </w:r>
          </w:p>
          <w:p>
            <w:pPr>
              <w:pStyle w:val="Normal"/>
              <w:widowControl w:val="false"/>
              <w:tabs>
                <w:tab w:val="clear" w:pos="709"/>
              </w:tabs>
              <w:bidi w:val="0"/>
              <w:spacing w:lineRule="auto" w:line="240"/>
              <w:jc w:val="start"/>
              <w:rPr>
                <w:b/>
                <w:szCs w:val="26"/>
                <w:u w:val="single"/>
              </w:rPr>
            </w:pPr>
            <w:r>
              <w:rPr/>
              <w:t>Free Lamda 5.71 – 26.30 mg/L</w:t>
            </w:r>
          </w:p>
          <w:p>
            <w:pPr>
              <w:pStyle w:val="Normal"/>
              <w:widowControl w:val="false"/>
              <w:tabs>
                <w:tab w:val="clear" w:pos="709"/>
              </w:tabs>
              <w:bidi w:val="0"/>
              <w:spacing w:lineRule="auto" w:line="240"/>
              <w:jc w:val="start"/>
              <w:rPr>
                <w:b/>
                <w:szCs w:val="26"/>
                <w:u w:val="single"/>
              </w:rPr>
            </w:pPr>
            <w:r>
              <w:rPr/>
              <w:t>Kappa / Lambda ratio 0.26 – 1.65</w:t>
            </w:r>
          </w:p>
          <w:p>
            <w:pPr>
              <w:pStyle w:val="Normal"/>
              <w:widowControl w:val="false"/>
              <w:tabs>
                <w:tab w:val="clear" w:pos="709"/>
              </w:tabs>
              <w:bidi w:val="0"/>
              <w:spacing w:lineRule="auto" w:line="240"/>
              <w:jc w:val="start"/>
              <w:rPr>
                <w:b/>
                <w:szCs w:val="26"/>
                <w:u w:val="single"/>
              </w:rPr>
            </w:pPr>
            <w:r>
              <w:rPr/>
              <w:t>Modified Kappa / Lambda ratio of 0.82 – 3.6 where eGFR ≤55Ml/min//1.73m2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14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Protein Electrophoresis</w:t>
            </w:r>
          </w:p>
          <w:p>
            <w:pPr>
              <w:pStyle w:val="Normal"/>
              <w:widowControl w:val="false"/>
              <w:tabs>
                <w:tab w:val="clear" w:pos="709"/>
              </w:tabs>
              <w:bidi w:val="0"/>
              <w:spacing w:lineRule="auto" w:line="240"/>
              <w:jc w:val="start"/>
              <w:rPr>
                <w:b/>
                <w:szCs w:val="26"/>
                <w:u w:val="single"/>
              </w:rPr>
            </w:pPr>
            <w:r>
              <w:rPr/>
              <w:t>(Protein Total, SPE, IGGs)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Total 60 - 80 g/L</w:t>
            </w:r>
          </w:p>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p>
            <w:pPr>
              <w:pStyle w:val="Normal"/>
              <w:widowControl w:val="false"/>
              <w:tabs>
                <w:tab w:val="clear" w:pos="709"/>
              </w:tabs>
              <w:bidi w:val="0"/>
              <w:spacing w:lineRule="auto" w:line="240"/>
              <w:jc w:val="start"/>
              <w:rPr>
                <w:b/>
                <w:szCs w:val="26"/>
                <w:u w:val="single"/>
              </w:rPr>
            </w:pPr>
            <w:r>
              <w:rPr/>
              <w:t>And Interpretative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Sex Hormone Binding Globulin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NimbusSanL-RegCon"/>
              </w:rPr>
              <w:t xml:space="preserve">M: 20-49yr: 18.3-54.1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M: ≥ 50yr: 20.6-76.7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20-49yr:  32.4-128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 50yr: 27.1-128 </w:t>
            </w:r>
            <w:r>
              <w:rPr/>
              <w:t>nmol/L</w:t>
            </w:r>
          </w:p>
          <w:p>
            <w:pPr>
              <w:pStyle w:val="Normal"/>
              <w:widowControl w:val="false"/>
              <w:tabs>
                <w:tab w:val="clear" w:pos="709"/>
              </w:tabs>
              <w:bidi w:val="0"/>
              <w:spacing w:lineRule="auto" w:line="240"/>
              <w:jc w:val="start"/>
              <w:rPr>
                <w:b/>
                <w:szCs w:val="26"/>
                <w:u w:val="single"/>
              </w:rPr>
            </w:pPr>
            <w:r>
              <w:rPr/>
              <w:t>No SHBG reference intervals for &lt;20yr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133 - 146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Synacthen Stimulation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Tacrolimus (FK506)</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72hrs. Cut off for receipt of samples for same day analysis is 11am</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Testosterone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(19 - 50y):  8.6 - 29.0 nmol/L</w:t>
            </w:r>
          </w:p>
          <w:p>
            <w:pPr>
              <w:pStyle w:val="Normal"/>
              <w:widowControl w:val="false"/>
              <w:tabs>
                <w:tab w:val="clear" w:pos="709"/>
              </w:tabs>
              <w:bidi w:val="0"/>
              <w:spacing w:lineRule="auto" w:line="240"/>
              <w:jc w:val="start"/>
              <w:rPr>
                <w:b/>
                <w:szCs w:val="26"/>
                <w:u w:val="single"/>
              </w:rPr>
            </w:pPr>
            <w:r>
              <w:rPr/>
              <w:t>(≥50y): 6.7 -  25.7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(19 - 50y): 0.3 -  1.7 nmol/L</w:t>
            </w:r>
          </w:p>
          <w:p>
            <w:pPr>
              <w:pStyle w:val="Normal"/>
              <w:widowControl w:val="false"/>
              <w:tabs>
                <w:tab w:val="clear" w:pos="709"/>
              </w:tabs>
              <w:bidi w:val="0"/>
              <w:spacing w:lineRule="auto" w:line="240"/>
              <w:jc w:val="start"/>
              <w:rPr>
                <w:b/>
                <w:szCs w:val="26"/>
                <w:u w:val="single"/>
              </w:rPr>
            </w:pPr>
            <w:r>
              <w:rPr/>
              <w:t>(≥50y): 0.1 –1.4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Theophylline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Function Tests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TSH &amp; FT4 reference ranges.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Stimulating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0.27-4.20 mU/L</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Thyrotropin Releasing Factor</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CO2 / Bicarbonate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22 -  29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Thyroxine (TT4)</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66 – 181nmol/L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Fasting 0.5 – 1.7mmol/L</w:t>
            </w:r>
          </w:p>
          <w:p>
            <w:pPr>
              <w:pStyle w:val="Normal"/>
              <w:widowControl w:val="false"/>
              <w:tabs>
                <w:tab w:val="clear" w:pos="709"/>
              </w:tabs>
              <w:bidi w:val="0"/>
              <w:spacing w:lineRule="auto" w:line="240"/>
              <w:jc w:val="start"/>
              <w:rPr>
                <w:b/>
                <w:szCs w:val="26"/>
                <w:u w:val="single"/>
              </w:rPr>
            </w:pPr>
            <w:r>
              <w:rPr/>
              <w:t>Non Fasting 0.5 – 2.0mmol/L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Troponin T</w:t>
            </w:r>
          </w:p>
          <w:p>
            <w:pPr>
              <w:pStyle w:val="Normal"/>
              <w:widowControl w:val="false"/>
              <w:tabs>
                <w:tab w:val="clear" w:pos="709"/>
              </w:tabs>
              <w:bidi w:val="0"/>
              <w:spacing w:lineRule="auto" w:line="240"/>
              <w:jc w:val="start"/>
              <w:rPr>
                <w:b/>
                <w:szCs w:val="26"/>
                <w:u w:val="single"/>
              </w:rPr>
            </w:pPr>
            <w:r>
              <w:rPr/>
              <w:t>Must have a dedicated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&lt; 14 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1.5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Urate/Uric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202 - 416μmol/L</w:t>
            </w:r>
          </w:p>
          <w:p>
            <w:pPr>
              <w:pStyle w:val="Normal"/>
              <w:widowControl w:val="false"/>
              <w:tabs>
                <w:tab w:val="clear" w:pos="709"/>
              </w:tabs>
              <w:bidi w:val="0"/>
              <w:spacing w:lineRule="auto" w:line="240"/>
              <w:jc w:val="start"/>
              <w:rPr>
                <w:b/>
                <w:szCs w:val="26"/>
                <w:u w:val="single"/>
              </w:rPr>
            </w:pPr>
            <w:r>
              <w:rPr/>
              <w:t>F 143 - 340μmol/L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8.1mmol/L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UREA/NA/K/CL/CREAT/TCO2</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Valproic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 – 100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Vit.B12 / Folic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B12</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197-771ng/L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Gel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Deficient: &lt; or = 50nmol/L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 xml:space="preserve"> </w:t>
            </w:r>
            <w:r>
              <w:rPr/>
              <w:t>10 days</w:t>
            </w:r>
          </w:p>
        </w:tc>
      </w:tr>
      <w:tr>
        <w:trPr>
          <w:trHeight w:val="20" w:hRule="atLeast"/>
          <w:cantSplit w:val="true"/>
        </w:trPr>
        <w:tc>
          <w:tcPr>
            <w:tcW w:w="3924"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Water Deprivation Test</w:t>
            </w:r>
          </w:p>
          <w:p>
            <w:pPr>
              <w:pStyle w:val="Normal"/>
              <w:widowControl w:val="false"/>
              <w:tabs>
                <w:tab w:val="clear" w:pos="709"/>
              </w:tabs>
              <w:bidi w:val="0"/>
              <w:spacing w:lineRule="auto" w:line="240"/>
              <w:jc w:val="start"/>
              <w:rPr>
                <w:b/>
                <w:szCs w:val="26"/>
                <w:u w:val="single"/>
              </w:rPr>
            </w:pPr>
            <w:r>
              <w:rPr/>
              <w:t>10 Timed Samples plasma &amp; urine osmolality</w:t>
            </w:r>
          </w:p>
        </w:tc>
        <w:tc>
          <w:tcPr>
            <w:tcW w:w="1843"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plasma</w:t>
            </w:r>
          </w:p>
          <w:p>
            <w:pPr>
              <w:pStyle w:val="Normal"/>
              <w:widowControl w:val="false"/>
              <w:tabs>
                <w:tab w:val="clear" w:pos="709"/>
              </w:tabs>
              <w:bidi w:val="0"/>
              <w:spacing w:lineRule="auto" w:line="240"/>
              <w:jc w:val="start"/>
              <w:rPr>
                <w:b/>
                <w:szCs w:val="26"/>
                <w:u w:val="single"/>
              </w:rPr>
            </w:pPr>
            <w:r>
              <w:rPr/>
              <w:t>5ml urine</w:t>
            </w:r>
          </w:p>
        </w:tc>
        <w:tc>
          <w:tcPr>
            <w:tcW w:w="368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 hours</w:t>
            </w:r>
          </w:p>
        </w:tc>
      </w:tr>
    </w:tbl>
    <w:p>
      <w:pPr>
        <w:pStyle w:val="Normal"/>
        <w:widowControl w:val="false"/>
        <w:bidi w:val="0"/>
        <w:spacing w:lineRule="auto" w:line="240"/>
        <w:jc w:val="start"/>
        <w:rPr>
          <w:b/>
          <w:szCs w:val="26"/>
          <w:u w:val="single"/>
        </w:rPr>
      </w:pPr>
      <w:bookmarkStart w:id="101" w:name="_Toc196476762"/>
      <w:bookmarkStart w:id="102" w:name="_Toc368240638"/>
      <w:bookmarkEnd w:id="101"/>
      <w:bookmarkEnd w:id="102"/>
      <w:r>
        <w:rPr/>
        <w:t>Urine Tests</w:t>
      </w:r>
    </w:p>
    <w:tbl>
      <w:tblPr>
        <w:tblW w:w="13422" w:type="dxa"/>
        <w:jc w:val="center"/>
        <w:tblInd w:w="0" w:type="dxa"/>
        <w:tblLayout w:type="fixed"/>
        <w:tblCellMar>
          <w:top w:w="0" w:type="dxa"/>
          <w:start w:w="5" w:type="dxa"/>
          <w:bottom w:w="0" w:type="dxa"/>
          <w:end w:w="5" w:type="dxa"/>
        </w:tblCellMar>
      </w:tblPr>
      <w:tblGrid>
        <w:gridCol w:w="3645"/>
        <w:gridCol w:w="1674"/>
        <w:gridCol w:w="1675"/>
        <w:gridCol w:w="1460"/>
        <w:gridCol w:w="3479"/>
        <w:gridCol w:w="1488"/>
      </w:tblGrid>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5-HIAA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&lt;50 umol/24hours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288 hours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Albumin Creatinine Ratio(Urine)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0.0 – 2.5mg/mmol</w:t>
            </w:r>
          </w:p>
          <w:p>
            <w:pPr>
              <w:pStyle w:val="Normal"/>
              <w:widowControl w:val="false"/>
              <w:tabs>
                <w:tab w:val="clear" w:pos="709"/>
              </w:tabs>
              <w:bidi w:val="0"/>
              <w:spacing w:lineRule="auto" w:line="240"/>
              <w:jc w:val="start"/>
              <w:rPr>
                <w:b/>
                <w:szCs w:val="26"/>
                <w:u w:val="single"/>
              </w:rPr>
            </w:pPr>
            <w:r>
              <w:rPr/>
              <w:t>F 0.0 – 3.5mg/mmol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Alcohol (ETOH)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Qualitative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Temporarily outsourced. 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Amylase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16 – 491 I.U/L</w:t>
            </w:r>
          </w:p>
          <w:p>
            <w:pPr>
              <w:pStyle w:val="Normal"/>
              <w:widowControl w:val="false"/>
              <w:tabs>
                <w:tab w:val="clear" w:pos="709"/>
              </w:tabs>
              <w:bidi w:val="0"/>
              <w:spacing w:lineRule="auto" w:line="240"/>
              <w:jc w:val="start"/>
              <w:rPr>
                <w:b/>
                <w:szCs w:val="26"/>
                <w:u w:val="single"/>
              </w:rPr>
            </w:pPr>
            <w:r>
              <w:rPr/>
              <w:t>F: 21 – 447 I.U/L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Calcium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2.5 - 7.5 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Chloride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µmol/L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9000 – 19000 µmol/24Hrs</w:t>
            </w:r>
          </w:p>
          <w:p>
            <w:pPr>
              <w:pStyle w:val="Normal"/>
              <w:widowControl w:val="false"/>
              <w:tabs>
                <w:tab w:val="clear" w:pos="709"/>
              </w:tabs>
              <w:bidi w:val="0"/>
              <w:spacing w:lineRule="auto" w:line="240"/>
              <w:jc w:val="start"/>
              <w:rPr>
                <w:b/>
                <w:szCs w:val="26"/>
                <w:u w:val="single"/>
              </w:rPr>
            </w:pPr>
            <w:r>
              <w:rPr/>
              <w:t>F 6000 - 13000 µmol/24Hrs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Magnesium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 </w:t>
            </w: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 5.0 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Osmolality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400-1000 mOsm/Kg</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4hrs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Phosphate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13.00 – 42.00 mmol/24Hrs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30.0 – 100.0mmo/24Hrs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Protein-Creatinine Ratio</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3 - 14 mg/mmol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 – 220.0mmol/24Hrs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Urinary Proteins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0.05 - 0.14 g/24HR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Urate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 – 5.90mmol/24Hr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428.0 – 714.0mmol/24Hr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Catecholamines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Total Fractionated Metanephrines (Total Metanephrine &amp; Total Normetanephrine)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w:t>
            </w:r>
          </w:p>
          <w:p>
            <w:pPr>
              <w:pStyle w:val="Normal"/>
              <w:widowControl w:val="false"/>
              <w:tabs>
                <w:tab w:val="clear" w:pos="709"/>
              </w:tabs>
              <w:bidi w:val="0"/>
              <w:spacing w:lineRule="auto" w:line="240"/>
              <w:jc w:val="start"/>
              <w:rPr>
                <w:b/>
                <w:szCs w:val="26"/>
                <w:u w:val="single"/>
              </w:rPr>
            </w:pPr>
            <w:r>
              <w:rPr/>
              <w:t>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Protein Electrophoresis:</w:t>
            </w:r>
          </w:p>
          <w:p>
            <w:pPr>
              <w:pStyle w:val="Normal"/>
              <w:widowControl w:val="false"/>
              <w:tabs>
                <w:tab w:val="clear" w:pos="709"/>
              </w:tabs>
              <w:bidi w:val="0"/>
              <w:spacing w:lineRule="auto" w:line="240"/>
              <w:jc w:val="start"/>
              <w:rPr>
                <w:b/>
                <w:szCs w:val="26"/>
                <w:u w:val="single"/>
              </w:rPr>
            </w:pPr>
            <w:r>
              <w:rPr/>
              <w:t>(BJP) or Myeloma Screen</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Known Myeloma Patient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EMU (early morning urine)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Qualitative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35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Stone Screen.</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t>the Immunology laboratory.</w:t>
      </w:r>
    </w:p>
    <w:p>
      <w:pPr>
        <w:pStyle w:val="Normal"/>
        <w:bidi w:val="0"/>
        <w:spacing w:lineRule="auto" w:line="240"/>
        <w:jc w:val="start"/>
        <w:rPr>
          <w:b/>
          <w:szCs w:val="26"/>
          <w:u w:val="single"/>
        </w:rPr>
      </w:pPr>
      <w:bookmarkStart w:id="103" w:name="_Toc196476769"/>
      <w:bookmarkEnd w:id="103"/>
      <w:r>
        <w:rPr/>
        <w:t>Tests Referred to External Laboratories</w:t>
      </w:r>
    </w:p>
    <w:p>
      <w:pPr>
        <w:pStyle w:val="Normal"/>
        <w:bidi w:val="0"/>
        <w:spacing w:lineRule="auto" w:line="240"/>
        <w:jc w:val="start"/>
        <w:rPr>
          <w:b/>
          <w:szCs w:val="26"/>
          <w:u w:val="single"/>
        </w:rPr>
      </w:pPr>
      <w:r>
        <w:rPr/>
        <w:t>Please note dispatch of samples to our referral labs is done weekly however urgent referral is available pending discussion.</w:t>
        <w:br/>
        <w:t>Note: Due to a lack of courier service to UK/Europe the turnaround times for referral tests during the Christmas/New Year period is increased by on average 7-10 days.</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p>
      <w:pPr>
        <w:pStyle w:val="Normal"/>
        <w:bidi w:val="0"/>
        <w:spacing w:lineRule="auto" w:line="240"/>
        <w:jc w:val="start"/>
        <w:rPr>
          <w:b/>
          <w:szCs w:val="26"/>
          <w:u w:val="single"/>
        </w:rPr>
      </w:pPr>
      <w:r>
        <w:rPr>
          <w:b/>
          <w:szCs w:val="26"/>
          <w:u w:val="single"/>
        </w:rPr>
      </w:r>
    </w:p>
    <w:tbl>
      <w:tblPr>
        <w:tblW w:w="14084" w:type="dxa"/>
        <w:jc w:val="center"/>
        <w:tblInd w:w="0" w:type="dxa"/>
        <w:tblLayout w:type="fixed"/>
        <w:tblCellMar>
          <w:top w:w="0" w:type="dxa"/>
          <w:start w:w="5" w:type="dxa"/>
          <w:bottom w:w="0" w:type="dxa"/>
          <w:end w:w="5" w:type="dxa"/>
        </w:tblCellMar>
      </w:tblPr>
      <w:tblGrid>
        <w:gridCol w:w="2977"/>
        <w:gridCol w:w="1518"/>
        <w:gridCol w:w="1765"/>
        <w:gridCol w:w="1939"/>
        <w:gridCol w:w="1961"/>
        <w:gridCol w:w="1940"/>
        <w:gridCol w:w="1983"/>
      </w:tblGrid>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 Requirements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Notes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Referral Lab</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 Range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Turn-Around Time</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Adalimumab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 &amp; ADALIMIGG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Anti-Acetylcholine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ACRA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&lt;0.5 nmol/L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Anti-Cardiac and Striated Muscle Abs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MUSCLEABSO</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Diphtheria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DIPH</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0.1IU/mL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Anti-Gangleoside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Anti-Ganglioside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Anti-Glutamic Acid Decarboxylase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GAD</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Dept, Mater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&lt;9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Anti-Haemophilus influenzae B Antibodies (HIB)</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mg/L Minimum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Anti-Insulin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INAB</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Antigen Type 2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IA2</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Cell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ICA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Anti-Musk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MUSK</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Anti-MAG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0-1000 BTU</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Anti-MOG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Anti-Myelin Oligodendrocyte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Anti-Ovarian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OVA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Anti-PLA2R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PLA2R</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0-13 RU/mL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Anti-Tetanus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TET</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0.01-0.09 IU/mL Basic protection</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Endocrinology,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&lt;1.8 IU/L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0-45 PM/L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Abs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K+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VGKC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70-130 PM/L Equivocal</w:t>
            </w:r>
          </w:p>
          <w:p>
            <w:pPr>
              <w:pStyle w:val="Normal"/>
              <w:widowControl w:val="false"/>
              <w:tabs>
                <w:tab w:val="clear" w:pos="709"/>
              </w:tabs>
              <w:bidi w:val="0"/>
              <w:spacing w:lineRule="auto" w:line="240"/>
              <w:jc w:val="start"/>
              <w:rPr>
                <w:b/>
                <w:szCs w:val="26"/>
                <w:u w:val="single"/>
              </w:rPr>
            </w:pPr>
            <w:r>
              <w:rPr/>
              <w:t>&gt;130 PM/L Positive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Anti-Zinc Transporter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ZNT8</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Biologics (except Infliximab, Adalimumab &amp; Rituximab) serum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 &amp; BIOLOGICIGG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Requesting Clinician to complete Biologics Request Form (LF-IMM-GEN0055) Please contact lab for details.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 Nephritic Factor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C3NF</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frozen 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done on C3 reduced samples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C1q Level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C1QLEVEL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50-250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C2</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10-30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Function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COMPFSO</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must be separated &amp; frozen maximum of 3 hours after venepuncture</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Functional C1 Inhibitor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C1INHFXN</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 4</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Age Related. Adult 0-1.3 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INFLIXIGG &amp; INFLIX</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Mannose Binding Lectin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MBL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Meningococcal Serology (Serotype Specific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Serogroups A,C,Y,W &gt;=8 rSBA Titre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Neutrophil Oxidative Burst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OXBURSTSO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EDTA</w:t>
            </w:r>
          </w:p>
          <w:p>
            <w:pPr>
              <w:pStyle w:val="Normal"/>
              <w:widowControl w:val="false"/>
              <w:tabs>
                <w:tab w:val="clear" w:pos="709"/>
              </w:tabs>
              <w:bidi w:val="0"/>
              <w:spacing w:lineRule="auto" w:line="240"/>
              <w:jc w:val="start"/>
              <w:rPr>
                <w:b/>
                <w:szCs w:val="26"/>
                <w:u w:val="single"/>
              </w:rPr>
            </w:pPr>
            <w:r>
              <w:rPr/>
              <w:t>4mls plus travel control</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Arrangement/12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 &amp; RITUXIGG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Requesting Clinician to complete  Biologics Request Form (LF-IMM-GEN0055) Please contact lab for details.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 Referral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SIGEREFERRAL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Serotype Specific Anti-Pneumococcal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SSPNEUM</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Addenbrooks Hospital, Cambridge</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0.35g/mL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Soluble CD163</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UCD163</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 days</w:t>
            </w:r>
          </w:p>
        </w:tc>
      </w:tr>
    </w:tbl>
    <w:p>
      <w:pPr>
        <w:pStyle w:val="Normal"/>
        <w:widowControl w:val="false"/>
        <w:bidi w:val="0"/>
        <w:spacing w:lineRule="auto" w:line="240"/>
        <w:jc w:val="start"/>
        <w:rPr>
          <w:b/>
          <w:szCs w:val="26"/>
          <w:u w:val="single"/>
        </w:rPr>
      </w:pPr>
      <w:r>
        <w:rPr/>
        <w:t>Contact Details of External Laboratories</w:t>
      </w:r>
    </w:p>
    <w:p>
      <w:pPr>
        <w:pStyle w:val="Normal"/>
        <w:bidi w:val="0"/>
        <w:spacing w:lineRule="auto" w:line="240"/>
        <w:jc w:val="start"/>
        <w:rPr>
          <w:b/>
          <w:szCs w:val="26"/>
          <w:u w:val="single"/>
        </w:rPr>
      </w:pPr>
      <w:r>
        <w:rPr/>
        <w:t xml:space="preserve">Neurosciences Group, Headington, Oxford  Tel:00 44 186 522 5995 </w:t>
      </w:r>
    </w:p>
    <w:p>
      <w:pPr>
        <w:pStyle w:val="Normal"/>
        <w:bidi w:val="0"/>
        <w:spacing w:lineRule="auto" w:line="240"/>
        <w:jc w:val="start"/>
        <w:rPr>
          <w:b/>
          <w:szCs w:val="26"/>
          <w:u w:val="single"/>
        </w:rPr>
      </w:pPr>
      <w:r>
        <w:rPr/>
        <w:t>Glasgow Neuroimmunology Laboratory.  Tel:00 44 141 354 9010</w:t>
        <w:tab/>
      </w:r>
    </w:p>
    <w:p>
      <w:pPr>
        <w:pStyle w:val="Normal"/>
        <w:bidi w:val="0"/>
        <w:spacing w:lineRule="auto" w:line="240"/>
        <w:jc w:val="start"/>
        <w:rPr>
          <w:b/>
          <w:szCs w:val="26"/>
          <w:u w:val="single"/>
        </w:rPr>
      </w:pPr>
      <w:r>
        <w:rPr/>
        <w:t>Dept of Immunology, Northern General Hospital, Sheffield.  Tel:00 44 114 271 5552</w:t>
        <w:tab/>
      </w:r>
    </w:p>
    <w:p>
      <w:pPr>
        <w:pStyle w:val="Normal"/>
        <w:bidi w:val="0"/>
        <w:spacing w:lineRule="auto" w:line="240"/>
        <w:jc w:val="start"/>
        <w:rPr>
          <w:b/>
          <w:szCs w:val="26"/>
          <w:u w:val="single"/>
        </w:rPr>
      </w:pPr>
      <w:r>
        <w:rPr/>
        <w:t>Dept. of Immunology, St James Hospital, Dublin 8.   Tel:01 416 2924/2925</w:t>
      </w:r>
    </w:p>
    <w:p>
      <w:pPr>
        <w:pStyle w:val="Normal"/>
        <w:bidi w:val="0"/>
        <w:spacing w:lineRule="auto" w:line="240"/>
        <w:jc w:val="start"/>
        <w:rPr>
          <w:b/>
          <w:szCs w:val="26"/>
          <w:u w:val="single"/>
        </w:rPr>
      </w:pPr>
      <w:r>
        <w:rPr/>
        <w:t>Immunology Black Country Pathology Services New Cross Hospital. Tel:</w:t>
        <w:tab/>
        <w:t>00 44 01902 695279</w:t>
        <w:tab/>
      </w:r>
    </w:p>
    <w:p>
      <w:pPr>
        <w:pStyle w:val="Normal"/>
        <w:bidi w:val="0"/>
        <w:spacing w:lineRule="auto" w:line="240"/>
        <w:jc w:val="start"/>
        <w:rPr>
          <w:b/>
          <w:szCs w:val="26"/>
          <w:u w:val="single"/>
        </w:rPr>
      </w:pPr>
      <w:r>
        <w:rPr/>
        <w:t>Immunology Department, Mater Misericordiae University Hospital, Dublin 7.  Tel: 01 803 2398/2119</w:t>
        <w:tab/>
      </w:r>
    </w:p>
    <w:p>
      <w:pPr>
        <w:pStyle w:val="Normal"/>
        <w:bidi w:val="0"/>
        <w:spacing w:lineRule="auto" w:line="240"/>
        <w:jc w:val="start"/>
        <w:rPr>
          <w:b/>
          <w:szCs w:val="26"/>
          <w:u w:val="single"/>
        </w:rPr>
      </w:pPr>
      <w:r>
        <w:rPr/>
        <w:t>Manchester Medical Microbiology Partnership Tel: 0044 161 276 8854</w:t>
      </w:r>
    </w:p>
    <w:p>
      <w:pPr>
        <w:pStyle w:val="Normal"/>
        <w:bidi w:val="0"/>
        <w:spacing w:lineRule="auto" w:line="240"/>
        <w:jc w:val="start"/>
        <w:rPr>
          <w:b/>
          <w:szCs w:val="26"/>
          <w:u w:val="single"/>
        </w:rPr>
      </w:pPr>
      <w:r>
        <w:rPr/>
        <w:t xml:space="preserve">Immunology Addenbrooks Hospital, Cambridge University Hospitals NHS Foundation Trust. </w:t>
        <w:br/>
        <w:t>Tel: 0044 122 321 6729</w:t>
        <w:tab/>
      </w:r>
    </w:p>
    <w:p>
      <w:pPr>
        <w:pStyle w:val="Normal"/>
        <w:bidi w:val="0"/>
        <w:spacing w:lineRule="auto" w:line="240"/>
        <w:jc w:val="start"/>
        <w:rPr>
          <w:b/>
          <w:szCs w:val="26"/>
          <w:u w:val="single"/>
        </w:rPr>
      </w:pPr>
      <w:r>
        <w:rPr/>
        <w:t>IMD Berlin, Nicolaistraße 22, Berlin, 12247, Germany Tel: +49 30 77001-220</w:t>
      </w:r>
    </w:p>
    <w:p>
      <w:pPr>
        <w:pStyle w:val="Normal"/>
        <w:bidi w:val="0"/>
        <w:spacing w:lineRule="auto" w:line="240"/>
        <w:jc w:val="start"/>
        <w:rPr>
          <w:b/>
          <w:szCs w:val="26"/>
          <w:u w:val="single"/>
        </w:rPr>
      </w:pPr>
      <w:r>
        <w:rPr/>
        <w:t>Sanquin Diagnostic Services, Dept UDC, Plesmanlaan 125, 1066 CX Amsterdam, The Netherlands</w:t>
      </w:r>
    </w:p>
    <w:p>
      <w:pPr>
        <w:pStyle w:val="Normal"/>
        <w:bidi w:val="0"/>
        <w:spacing w:lineRule="auto" w:line="240"/>
        <w:jc w:val="start"/>
        <w:rPr>
          <w:b/>
          <w:szCs w:val="26"/>
          <w:u w:val="single"/>
        </w:rPr>
      </w:pPr>
      <w:r>
        <w:rPr/>
        <w:t>Tel:  0031 20 512 3449</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bookmarkStart w:id="104" w:name="_Ref303078458"/>
      <w:bookmarkStart w:id="105" w:name="_Toc196476770"/>
      <w:bookmarkStart w:id="106" w:name="_Ref303078457"/>
      <w:bookmarkEnd w:id="104"/>
      <w:bookmarkEnd w:id="105"/>
      <w:bookmarkEnd w:id="106"/>
      <w:r>
        <w:rPr/>
        <w:t>Repertoire of Tests &amp; Test Profiles</w:t>
      </w:r>
    </w:p>
    <w:p>
      <w:pPr>
        <w:pStyle w:val="Normal"/>
        <w:bidi w:val="0"/>
        <w:spacing w:lineRule="auto" w:line="240"/>
        <w:jc w:val="start"/>
        <w:rPr>
          <w:b/>
          <w:szCs w:val="26"/>
          <w:u w:val="single"/>
        </w:rPr>
      </w:pPr>
      <w:r>
        <w:rPr/>
        <w:t>All tests are performed on serum samples. Up to 5 tests can be performed on a 10 mL sample. However separate samples are required for some tests to facilitate optimum handling.</w:t>
      </w:r>
    </w:p>
    <w:tbl>
      <w:tblPr>
        <w:tblW w:w="15047" w:type="dxa"/>
        <w:jc w:val="center"/>
        <w:tblInd w:w="0" w:type="dxa"/>
        <w:tblLayout w:type="fixed"/>
        <w:tblCellMar>
          <w:top w:w="0" w:type="dxa"/>
          <w:start w:w="5" w:type="dxa"/>
          <w:bottom w:w="0" w:type="dxa"/>
          <w:end w:w="5" w:type="dxa"/>
        </w:tblCellMar>
      </w:tblPr>
      <w:tblGrid>
        <w:gridCol w:w="2132"/>
        <w:gridCol w:w="1134"/>
        <w:gridCol w:w="1156"/>
        <w:gridCol w:w="2103"/>
        <w:gridCol w:w="2480"/>
        <w:gridCol w:w="1181"/>
        <w:gridCol w:w="966"/>
        <w:gridCol w:w="1464"/>
        <w:gridCol w:w="947"/>
        <w:gridCol w:w="1482"/>
      </w:tblGrid>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Method</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Urgent</w:t>
            </w:r>
          </w:p>
          <w:p>
            <w:pPr>
              <w:pStyle w:val="Normal"/>
              <w:widowControl w:val="false"/>
              <w:tabs>
                <w:tab w:val="clear" w:pos="709"/>
              </w:tabs>
              <w:bidi w:val="0"/>
              <w:spacing w:lineRule="auto" w:line="240"/>
              <w:jc w:val="start"/>
              <w:rPr>
                <w:b/>
                <w:szCs w:val="26"/>
                <w:u w:val="single"/>
              </w:rPr>
            </w:pPr>
            <w:r>
              <w:rPr/>
              <w:t>Service</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Frequency</w:t>
            </w:r>
          </w:p>
          <w:p>
            <w:pPr>
              <w:pStyle w:val="Normal"/>
              <w:widowControl w:val="false"/>
              <w:tabs>
                <w:tab w:val="clear" w:pos="709"/>
              </w:tabs>
              <w:bidi w:val="0"/>
              <w:spacing w:lineRule="auto" w:line="240"/>
              <w:jc w:val="start"/>
              <w:rPr>
                <w:b/>
                <w:szCs w:val="26"/>
                <w:u w:val="single"/>
              </w:rPr>
            </w:pPr>
            <w:r>
              <w:rPr/>
              <w:t>of Retesting</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Anti-Adrenal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ADRA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Anti-Beta2Glycoprotein 1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Anti-Cardiolipin Antibodies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0-10 GPLU/mL</w:t>
            </w:r>
          </w:p>
          <w:p>
            <w:pPr>
              <w:pStyle w:val="Normal"/>
              <w:widowControl w:val="false"/>
              <w:tabs>
                <w:tab w:val="clear" w:pos="709"/>
              </w:tabs>
              <w:bidi w:val="0"/>
              <w:spacing w:lineRule="auto" w:line="240"/>
              <w:jc w:val="start"/>
              <w:rPr>
                <w:b/>
                <w:szCs w:val="26"/>
                <w:u w:val="single"/>
              </w:rPr>
            </w:pPr>
            <w:r>
              <w:rPr/>
              <w:t>IgM: 0-10 MPLU/mL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Anti-CCP</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 7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CCP</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Anti-dsDNA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 &amp; IIF by DNA crithidia</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EliA:&lt;10 IU/mL</w:t>
            </w:r>
          </w:p>
          <w:p>
            <w:pPr>
              <w:pStyle w:val="Normal"/>
              <w:widowControl w:val="false"/>
              <w:tabs>
                <w:tab w:val="clear" w:pos="709"/>
              </w:tabs>
              <w:bidi w:val="0"/>
              <w:spacing w:lineRule="auto" w:line="240"/>
              <w:jc w:val="start"/>
              <w:rPr>
                <w:b/>
                <w:szCs w:val="26"/>
                <w:u w:val="single"/>
              </w:rPr>
            </w:pPr>
            <w:r>
              <w:rPr/>
              <w:t>IIF: 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EliA:&lt;3-5 days IIF: 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DNA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weeks (unless plasma-apheresis/ discussion)</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Anti-ENA (Extractable Nuclear Antigen) Antibodies – includes anti-Ro, La, RNP, Sm, Jo-1 &amp; Scl-70)</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with confirmation by EliA/Immunoblot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for all 6 components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 Typing is carried out on all Equivocal and Positive ENA Screens by EliA &amp; conformed with Immunoblot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year unless patient is pregnant</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(IgG)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performed when IgA deficiency</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EMAG</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Anti-Gastric-Parietal Cell antibodies (Anti-GPC)</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GPC</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Anti-Glomerular Basement Membrane antibodies (Anti-GBM)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&lt;7U/ml</w:t>
            </w:r>
          </w:p>
          <w:p>
            <w:pPr>
              <w:pStyle w:val="Normal"/>
              <w:widowControl w:val="false"/>
              <w:tabs>
                <w:tab w:val="clear" w:pos="709"/>
              </w:tabs>
              <w:bidi w:val="0"/>
              <w:spacing w:lineRule="auto" w:line="240"/>
              <w:jc w:val="start"/>
              <w:rPr>
                <w:b/>
                <w:szCs w:val="26"/>
                <w:u w:val="single"/>
              </w:rPr>
            </w:pPr>
            <w:r>
              <w:rPr/>
              <w:t>Equivocal: 7- 10U/ml</w:t>
            </w:r>
          </w:p>
          <w:p>
            <w:pPr>
              <w:pStyle w:val="Normal"/>
              <w:widowControl w:val="false"/>
              <w:tabs>
                <w:tab w:val="clear" w:pos="709"/>
              </w:tabs>
              <w:bidi w:val="0"/>
              <w:spacing w:lineRule="auto" w:line="240"/>
              <w:jc w:val="start"/>
              <w:rPr>
                <w:b/>
                <w:szCs w:val="26"/>
                <w:u w:val="single"/>
              </w:rPr>
            </w:pPr>
            <w:r>
              <w:rPr/>
              <w:t>Positive: &gt;10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GBM</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 &amp;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bookmarkStart w:id="107" w:name="_Toc302830630"/>
            <w:bookmarkEnd w:id="107"/>
            <w:r>
              <w:rPr/>
              <w:t>Anti-Histone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HIST</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Anti-Intrinsic Factor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 U/ml</w:t>
            </w:r>
          </w:p>
          <w:p>
            <w:pPr>
              <w:pStyle w:val="Normal"/>
              <w:widowControl w:val="false"/>
              <w:tabs>
                <w:tab w:val="clear" w:pos="709"/>
              </w:tabs>
              <w:bidi w:val="0"/>
              <w:spacing w:lineRule="auto" w:line="240"/>
              <w:jc w:val="start"/>
              <w:rPr>
                <w:b/>
                <w:szCs w:val="26"/>
                <w:u w:val="single"/>
              </w:rPr>
            </w:pPr>
            <w:r>
              <w:rPr/>
              <w:t>Equivocal: 7-10 U/mL</w:t>
            </w:r>
          </w:p>
          <w:p>
            <w:pPr>
              <w:pStyle w:val="Normal"/>
              <w:widowControl w:val="false"/>
              <w:tabs>
                <w:tab w:val="clear" w:pos="709"/>
              </w:tabs>
              <w:bidi w:val="0"/>
              <w:spacing w:lineRule="auto" w:line="240"/>
              <w:jc w:val="start"/>
              <w:rPr>
                <w:b/>
                <w:szCs w:val="26"/>
                <w:u w:val="single"/>
              </w:rPr>
            </w:pPr>
            <w:r>
              <w:rPr/>
              <w:t>Positive: &gt;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Anti-Liver-Kidney Microsomal (LKM and or LC1)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Immunoblot if IIF positive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LKM</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month</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Anti-Mitochondrial Antibody (including M2 subtyping)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ELISA if positive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M2 ELISA &lt;10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(1 month if IIF positive)</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p>
            <w:pPr>
              <w:pStyle w:val="Normal"/>
              <w:widowControl w:val="false"/>
              <w:tabs>
                <w:tab w:val="clear" w:pos="709"/>
              </w:tabs>
              <w:bidi w:val="0"/>
              <w:spacing w:lineRule="auto" w:line="240"/>
              <w:jc w:val="start"/>
              <w:rPr>
                <w:b/>
                <w:szCs w:val="26"/>
                <w:u w:val="single"/>
              </w:rPr>
            </w:pPr>
            <w:r>
              <w:rPr/>
              <w:t>M2 performed only once</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 MPO-ANCA positive disease</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MPO</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 &amp; 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 MPO</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&lt;2IU/mL PR3</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MPR3</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Anti-Neuronal Antibodies incorporating Anti-Hu, Anti-Yo, Anti-Ri, Anti-PNMA2, Anti- Amphiphysin, Anti-Cv2/CRMP5, Anti-Recoverin, Anti-SOX1, Anti-Zic4, Anti-Titin, Anti-GAD65, Anti-Tr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&amp; 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&amp; 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will be accepted. Results of both must be interpreted in the clinical context.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NEURONAL/ NEUROBLOT</w:t>
            </w:r>
          </w:p>
          <w:p>
            <w:pPr>
              <w:pStyle w:val="Normal"/>
              <w:widowControl w:val="false"/>
              <w:tabs>
                <w:tab w:val="clear" w:pos="709"/>
              </w:tabs>
              <w:bidi w:val="0"/>
              <w:spacing w:lineRule="auto" w:line="240"/>
              <w:jc w:val="start"/>
              <w:rPr>
                <w:b/>
                <w:szCs w:val="26"/>
                <w:u w:val="single"/>
              </w:rPr>
            </w:pPr>
            <w:r>
              <w:rPr/>
              <w:t>CSF: NEURONALCSF / NEUROBLOTCSF</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Anti-Neutrophil Cytoplasm Antibodies (ANCA) (IIF)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Serum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CSF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NMDACSF</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Anti-Nuclear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t>Weak positive (1:80 ) are commonly seen particularly in healthy older women.</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Investigating Autoimmune Liver Disease, otherwise order CTD</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Anti-Nucleosome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NUCSOME</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known PR3-ANCA positive disease.</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PR3</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Anti-Ribosomal-P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RIBOP</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SARS-CoV-2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Not Detected</w:t>
            </w:r>
          </w:p>
          <w:p>
            <w:pPr>
              <w:pStyle w:val="Normal"/>
              <w:widowControl w:val="false"/>
              <w:tabs>
                <w:tab w:val="clear" w:pos="709"/>
              </w:tabs>
              <w:bidi w:val="0"/>
              <w:spacing w:lineRule="auto" w:line="240"/>
              <w:jc w:val="start"/>
              <w:rPr>
                <w:b/>
                <w:szCs w:val="26"/>
                <w:u w:val="single"/>
              </w:rPr>
            </w:pPr>
            <w:r>
              <w:rPr/>
              <w:t>Anti-Spike: &lt;0.8 U/ml Not Detected</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and Spike Antibody</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ANTICV19</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Anti-Scleroderma Antibodies/ Systemic Sclerosis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SCLRDERM</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Anti-Skin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SKIN</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 but Positive ICS 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Anti-Smooth Muscle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SMA</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Anti-Streptolysin-O Titre (ASOT)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&lt;200IU/ml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ASOT</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Peroxidase Antibodies (anti-TPO)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&lt;=34 IU/mL</w:t>
            </w:r>
          </w:p>
          <w:p>
            <w:pPr>
              <w:pStyle w:val="Normal"/>
              <w:widowControl w:val="false"/>
              <w:tabs>
                <w:tab w:val="clear" w:pos="709"/>
              </w:tabs>
              <w:bidi w:val="0"/>
              <w:spacing w:lineRule="auto" w:line="240"/>
              <w:jc w:val="start"/>
              <w:rPr>
                <w:b/>
                <w:szCs w:val="26"/>
                <w:u w:val="single"/>
              </w:rPr>
            </w:pPr>
            <w:r>
              <w:rPr/>
              <w:t>Positive: &gt; 34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TPO</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 if equivocal &gt;3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Anti-Tissue Transglutaminase Antibodies (anti-tTG)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 4 U/ml</w:t>
            </w:r>
          </w:p>
          <w:p>
            <w:pPr>
              <w:pStyle w:val="Normal"/>
              <w:widowControl w:val="false"/>
              <w:tabs>
                <w:tab w:val="clear" w:pos="709"/>
              </w:tabs>
              <w:bidi w:val="0"/>
              <w:spacing w:lineRule="auto" w:line="240"/>
              <w:jc w:val="start"/>
              <w:rPr>
                <w:b/>
                <w:szCs w:val="26"/>
                <w:u w:val="single"/>
              </w:rPr>
            </w:pPr>
            <w:r>
              <w:rPr/>
              <w:t>Equivocal: 4-10 U/ml</w:t>
            </w:r>
          </w:p>
          <w:p>
            <w:pPr>
              <w:pStyle w:val="Normal"/>
              <w:widowControl w:val="false"/>
              <w:tabs>
                <w:tab w:val="clear" w:pos="709"/>
              </w:tabs>
              <w:bidi w:val="0"/>
              <w:spacing w:lineRule="auto" w:line="240"/>
              <w:jc w:val="start"/>
              <w:rPr>
                <w:b/>
                <w:szCs w:val="26"/>
                <w:u w:val="single"/>
              </w:rPr>
            </w:pPr>
            <w:r>
              <w:rPr/>
              <w:t>Positive: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tTG</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 CSF samples required particularly during initial work up.</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 &amp; AAIECSF</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Serum (AIESERUM)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 Plasma can be accepted following discussion with Lab/Clinical staff</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CSF (AIECSF)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AIECSF</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 Esterase Inhibitor (C1INH)</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0.21-0.38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 if normal. As required if low</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0.9-1.8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0.1-0.4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 Screen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 (DIF) on Skin Biopsies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skin biopsy, transported on damp gauze to the laboratory</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Unless special arrangements have been agreed specimen MUST reach the immunology laboratory by 4pm</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7 - 16 g/L</w:t>
            </w:r>
          </w:p>
          <w:p>
            <w:pPr>
              <w:pStyle w:val="Normal"/>
              <w:widowControl w:val="false"/>
              <w:tabs>
                <w:tab w:val="clear" w:pos="709"/>
              </w:tabs>
              <w:bidi w:val="0"/>
              <w:spacing w:lineRule="auto" w:line="240"/>
              <w:jc w:val="start"/>
              <w:rPr>
                <w:b/>
                <w:szCs w:val="26"/>
                <w:u w:val="single"/>
              </w:rPr>
            </w:pPr>
            <w:r>
              <w:rPr/>
              <w:t>IgG1 3.824 - 9.286 g/L</w:t>
            </w:r>
          </w:p>
          <w:p>
            <w:pPr>
              <w:pStyle w:val="Normal"/>
              <w:widowControl w:val="false"/>
              <w:tabs>
                <w:tab w:val="clear" w:pos="709"/>
              </w:tabs>
              <w:bidi w:val="0"/>
              <w:spacing w:lineRule="auto" w:line="240"/>
              <w:jc w:val="start"/>
              <w:rPr>
                <w:b/>
                <w:szCs w:val="26"/>
                <w:u w:val="single"/>
              </w:rPr>
            </w:pPr>
            <w:r>
              <w:rPr/>
              <w:t>IgG2 2.418 - 7.003 g/L</w:t>
            </w:r>
          </w:p>
          <w:p>
            <w:pPr>
              <w:pStyle w:val="Normal"/>
              <w:widowControl w:val="false"/>
              <w:tabs>
                <w:tab w:val="clear" w:pos="709"/>
              </w:tabs>
              <w:bidi w:val="0"/>
              <w:spacing w:lineRule="auto" w:line="240"/>
              <w:jc w:val="start"/>
              <w:rPr>
                <w:b/>
                <w:szCs w:val="26"/>
                <w:u w:val="single"/>
              </w:rPr>
            </w:pPr>
            <w:r>
              <w:rPr/>
              <w:t>IgG3 0.218 - 1.761 g/L</w:t>
            </w:r>
          </w:p>
          <w:p>
            <w:pPr>
              <w:pStyle w:val="Normal"/>
              <w:widowControl w:val="false"/>
              <w:tabs>
                <w:tab w:val="clear" w:pos="709"/>
              </w:tabs>
              <w:bidi w:val="0"/>
              <w:spacing w:lineRule="auto" w:line="240"/>
              <w:jc w:val="start"/>
              <w:rPr>
                <w:b/>
                <w:szCs w:val="26"/>
                <w:u w:val="single"/>
              </w:rPr>
            </w:pPr>
            <w:r>
              <w:rPr/>
              <w:t>Note: These are adult specific reference ranges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IGGSub</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Annually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2-14 μg/L (Anti-mortem specimens only)</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highlight w:val="lightGray"/>
              </w:rPr>
              <w:t>TRYPTRAND/TRYPT1HR/TRYPT24HR/TR</w:t>
            </w:r>
            <w:r>
              <w:rPr/>
              <w:t>YPT3HR</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 Screen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 correlated with ANA apperance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Consult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Consultant, SPR or Chief Medical Scientist will select appropriate tests</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appropriate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per assay</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Full clinical details and contact bleep number required</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IMMCON</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Rheumatoid Factor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&lt;0.35 Units</w:t>
              <w:tab/>
              <w:t>Class 0 Negative</w:t>
            </w:r>
          </w:p>
          <w:p>
            <w:pPr>
              <w:pStyle w:val="Normal"/>
              <w:widowControl w:val="false"/>
              <w:tabs>
                <w:tab w:val="clear" w:pos="709"/>
              </w:tabs>
              <w:bidi w:val="0"/>
              <w:spacing w:lineRule="auto" w:line="240"/>
              <w:jc w:val="start"/>
              <w:rPr>
                <w:b/>
                <w:szCs w:val="26"/>
                <w:u w:val="single"/>
              </w:rPr>
            </w:pPr>
            <w:r>
              <w:rPr/>
              <w:t>0.35-0.7</w:t>
              <w:tab/>
              <w:t>Class 1 Weakly Positive</w:t>
            </w:r>
          </w:p>
          <w:p>
            <w:pPr>
              <w:pStyle w:val="Normal"/>
              <w:widowControl w:val="false"/>
              <w:tabs>
                <w:tab w:val="clear" w:pos="709"/>
              </w:tabs>
              <w:bidi w:val="0"/>
              <w:spacing w:lineRule="auto" w:line="240"/>
              <w:jc w:val="start"/>
              <w:rPr>
                <w:b/>
                <w:szCs w:val="26"/>
                <w:u w:val="single"/>
              </w:rPr>
            </w:pPr>
            <w:r>
              <w:rPr/>
              <w:t>0.7-3.5</w:t>
              <w:tab/>
              <w:t>Class 2</w:t>
              <w:tab/>
              <w:t>Positive</w:t>
            </w:r>
          </w:p>
          <w:p>
            <w:pPr>
              <w:pStyle w:val="Normal"/>
              <w:widowControl w:val="false"/>
              <w:tabs>
                <w:tab w:val="clear" w:pos="709"/>
              </w:tabs>
              <w:bidi w:val="0"/>
              <w:spacing w:lineRule="auto" w:line="240"/>
              <w:jc w:val="start"/>
              <w:rPr>
                <w:b/>
                <w:szCs w:val="26"/>
                <w:u w:val="single"/>
              </w:rPr>
            </w:pPr>
            <w:r>
              <w:rPr/>
              <w:t>3.5-17.5</w:t>
              <w:tab/>
              <w:t>Class 3 Positive</w:t>
            </w:r>
          </w:p>
          <w:p>
            <w:pPr>
              <w:pStyle w:val="Normal"/>
              <w:widowControl w:val="false"/>
              <w:tabs>
                <w:tab w:val="clear" w:pos="709"/>
              </w:tabs>
              <w:bidi w:val="0"/>
              <w:spacing w:lineRule="auto" w:line="240"/>
              <w:jc w:val="start"/>
              <w:rPr>
                <w:b/>
                <w:szCs w:val="26"/>
                <w:u w:val="single"/>
              </w:rPr>
            </w:pPr>
            <w:r>
              <w:rPr/>
              <w:t>17.5-52.5</w:t>
              <w:tab/>
              <w:t>Class 4 Strongly positive</w:t>
            </w:r>
          </w:p>
          <w:p>
            <w:pPr>
              <w:pStyle w:val="Normal"/>
              <w:widowControl w:val="false"/>
              <w:tabs>
                <w:tab w:val="clear" w:pos="709"/>
              </w:tabs>
              <w:bidi w:val="0"/>
              <w:spacing w:lineRule="auto" w:line="240"/>
              <w:jc w:val="start"/>
              <w:rPr>
                <w:b/>
                <w:szCs w:val="26"/>
                <w:u w:val="single"/>
              </w:rPr>
            </w:pPr>
            <w:r>
              <w:rPr/>
              <w:t>52.5-100</w:t>
              <w:tab/>
              <w:t>Class 5 Strongly positive</w:t>
            </w:r>
          </w:p>
          <w:p>
            <w:pPr>
              <w:pStyle w:val="Normal"/>
              <w:widowControl w:val="false"/>
              <w:tabs>
                <w:tab w:val="clear" w:pos="709"/>
              </w:tabs>
              <w:bidi w:val="0"/>
              <w:spacing w:lineRule="auto" w:line="240"/>
              <w:jc w:val="start"/>
              <w:rPr>
                <w:b/>
                <w:szCs w:val="26"/>
                <w:u w:val="single"/>
              </w:rPr>
            </w:pPr>
            <w:r>
              <w:rPr/>
              <w:t>&gt;100</w:t>
              <w:tab/>
              <w:t>Class 6</w:t>
              <w:tab/>
              <w:t>Strongly positive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p>
            <w:pPr>
              <w:pStyle w:val="Normal"/>
              <w:widowControl w:val="false"/>
              <w:tabs>
                <w:tab w:val="clear" w:pos="709"/>
              </w:tabs>
              <w:bidi w:val="0"/>
              <w:spacing w:lineRule="auto" w:line="240"/>
              <w:jc w:val="start"/>
              <w:rPr>
                <w:b/>
                <w:szCs w:val="26"/>
                <w:u w:val="single"/>
              </w:rPr>
            </w:pPr>
            <w:r>
              <w:rPr/>
              <w:t>21 days for sIgE to Drugs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_Ref398495749 \r \h </w:instrText>
            </w:r>
            <w:r>
              <w:rPr/>
              <w:fldChar w:fldCharType="separate"/>
            </w:r>
            <w:r>
              <w:rPr/>
            </w:r>
            <w:r>
              <w:rPr/>
              <w:fldChar w:fldCharType="end"/>
            </w:r>
            <w:r>
              <w:rPr/>
              <w:t xml:space="preserve"> on page </w:t>
            </w:r>
            <w:r>
              <w:rPr/>
              <w:fldChar w:fldCharType="begin"/>
            </w:r>
            <w:r>
              <w:rPr/>
              <w:instrText xml:space="preserve"> PAGEREF _Ref398495749 \h </w:instrText>
            </w:r>
            <w:r>
              <w:rPr/>
              <w:fldChar w:fldCharType="separate"/>
            </w:r>
            <w:r>
              <w:rPr/>
              <w:t>75</w:t>
            </w:r>
            <w:r>
              <w:rPr/>
              <w:fldChar w:fldCharType="end"/>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 for same allergens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IgGs</w:t>
            </w:r>
          </w:p>
          <w:p>
            <w:pPr>
              <w:pStyle w:val="Normal"/>
              <w:widowControl w:val="false"/>
              <w:tabs>
                <w:tab w:val="clear" w:pos="709"/>
              </w:tabs>
              <w:bidi w:val="0"/>
              <w:spacing w:lineRule="auto" w:line="240"/>
              <w:jc w:val="start"/>
              <w:rPr>
                <w:b/>
                <w:szCs w:val="26"/>
                <w:u w:val="single"/>
              </w:rPr>
            </w:pPr>
            <w:r>
              <w:rPr/>
              <w:t>sIgG Aspergillus</w:t>
            </w:r>
          </w:p>
          <w:p>
            <w:pPr>
              <w:pStyle w:val="Normal"/>
              <w:widowControl w:val="false"/>
              <w:tabs>
                <w:tab w:val="clear" w:pos="709"/>
              </w:tabs>
              <w:bidi w:val="0"/>
              <w:spacing w:lineRule="auto" w:line="240"/>
              <w:jc w:val="start"/>
              <w:rPr>
                <w:b/>
                <w:szCs w:val="26"/>
                <w:u w:val="single"/>
              </w:rPr>
            </w:pPr>
            <w:r>
              <w:rPr/>
              <w:t>sIgG M. Faeni</w:t>
            </w:r>
          </w:p>
          <w:p>
            <w:pPr>
              <w:pStyle w:val="Normal"/>
              <w:widowControl w:val="false"/>
              <w:tabs>
                <w:tab w:val="clear" w:pos="709"/>
              </w:tabs>
              <w:bidi w:val="0"/>
              <w:spacing w:lineRule="auto" w:line="240"/>
              <w:jc w:val="start"/>
              <w:rPr>
                <w:b/>
                <w:szCs w:val="26"/>
                <w:u w:val="single"/>
              </w:rPr>
            </w:pPr>
            <w:r>
              <w:rPr/>
              <w:t>sIgG Budgie</w:t>
            </w:r>
          </w:p>
          <w:p>
            <w:pPr>
              <w:pStyle w:val="Normal"/>
              <w:widowControl w:val="false"/>
              <w:tabs>
                <w:tab w:val="clear" w:pos="709"/>
              </w:tabs>
              <w:bidi w:val="0"/>
              <w:spacing w:lineRule="auto" w:line="240"/>
              <w:jc w:val="start"/>
              <w:rPr>
                <w:b/>
                <w:szCs w:val="26"/>
                <w:u w:val="single"/>
              </w:rPr>
            </w:pPr>
            <w:r>
              <w:rPr/>
              <w:t>sIgG Pigeon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&lt;40 mgA/l</w:t>
            </w:r>
          </w:p>
          <w:p>
            <w:pPr>
              <w:pStyle w:val="Normal"/>
              <w:widowControl w:val="false"/>
              <w:tabs>
                <w:tab w:val="clear" w:pos="709"/>
              </w:tabs>
              <w:bidi w:val="0"/>
              <w:spacing w:lineRule="auto" w:line="240"/>
              <w:jc w:val="start"/>
              <w:rPr>
                <w:b/>
                <w:szCs w:val="26"/>
                <w:u w:val="single"/>
              </w:rPr>
            </w:pPr>
            <w:r>
              <w:rPr/>
              <w:t>&lt;22 mgA/l</w:t>
            </w:r>
          </w:p>
          <w:p>
            <w:pPr>
              <w:pStyle w:val="Normal"/>
              <w:widowControl w:val="false"/>
              <w:tabs>
                <w:tab w:val="clear" w:pos="709"/>
              </w:tabs>
              <w:bidi w:val="0"/>
              <w:spacing w:lineRule="auto" w:line="240"/>
              <w:jc w:val="start"/>
              <w:rPr>
                <w:b/>
                <w:szCs w:val="26"/>
                <w:u w:val="single"/>
              </w:rPr>
            </w:pPr>
            <w:r>
              <w:rPr/>
              <w:t>&lt;30 mgA/l</w:t>
            </w:r>
          </w:p>
          <w:p>
            <w:pPr>
              <w:pStyle w:val="Normal"/>
              <w:widowControl w:val="false"/>
              <w:tabs>
                <w:tab w:val="clear" w:pos="709"/>
              </w:tabs>
              <w:bidi w:val="0"/>
              <w:spacing w:lineRule="auto" w:line="240"/>
              <w:jc w:val="start"/>
              <w:rPr>
                <w:b/>
                <w:szCs w:val="26"/>
                <w:u w:val="single"/>
              </w:rPr>
            </w:pPr>
            <w:r>
              <w:rPr/>
              <w:t>&lt;38 mgA/l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Range is age related.</w:t>
            </w:r>
          </w:p>
          <w:p>
            <w:pPr>
              <w:pStyle w:val="Normal"/>
              <w:widowControl w:val="false"/>
              <w:tabs>
                <w:tab w:val="clear" w:pos="709"/>
              </w:tabs>
              <w:bidi w:val="0"/>
              <w:spacing w:lineRule="auto" w:line="240"/>
              <w:jc w:val="start"/>
              <w:rPr>
                <w:b/>
                <w:szCs w:val="26"/>
                <w:u w:val="single"/>
              </w:rPr>
            </w:pPr>
            <w:r>
              <w:rPr/>
              <w:t>Adult reference range 0-100 kU/L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c>
          <w:tcPr>
            <w:tcW w:w="148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w:t>
            </w:r>
          </w:p>
        </w:tc>
      </w:tr>
    </w:tbl>
    <w:p>
      <w:pPr>
        <w:pStyle w:val="Normal"/>
        <w:widowControl w:val="false"/>
        <w:bidi w:val="0"/>
        <w:spacing w:lineRule="auto" w:line="240"/>
        <w:jc w:val="start"/>
        <w:rPr>
          <w:b/>
          <w:szCs w:val="26"/>
          <w:u w:val="single"/>
        </w:rPr>
      </w:pPr>
      <w:r>
        <w:rPr/>
        <w:t xml:space="preserve">Any of these guidelines may be overruled in a particular clinical situation, if the case is discussed with staff in the immunology laboratory and/or the Consultant Immunologist.  If you are uncertain of how best to investigate the patient, you are welcome to contact the Chief Medical Scientist, the Specialist Registrar or Prof. Keogan/Dr Khalib/Dr Cox, Consultant Immunologists to discuss the individual case. </w:t>
      </w:r>
    </w:p>
    <w:p>
      <w:pPr>
        <w:pStyle w:val="Normal"/>
        <w:bidi w:val="0"/>
        <w:spacing w:lineRule="auto" w:line="240"/>
        <w:jc w:val="start"/>
        <w:rPr>
          <w:b/>
          <w:szCs w:val="26"/>
          <w:u w:val="single"/>
        </w:rPr>
      </w:pPr>
      <w:bookmarkStart w:id="108" w:name="_Ref398495749"/>
      <w:bookmarkStart w:id="109" w:name="_Ref303061027"/>
      <w:bookmarkEnd w:id="108"/>
      <w:bookmarkEnd w:id="109"/>
      <w:r>
        <w:rPr/>
        <w:t xml:space="preserve">Current available Specific IgE (sIgE) Allergens </w:t>
      </w:r>
    </w:p>
    <w:tbl>
      <w:tblPr>
        <w:tblW w:w="9462" w:type="dxa"/>
        <w:jc w:val="start"/>
        <w:tblInd w:w="118" w:type="dxa"/>
        <w:tblLayout w:type="fixed"/>
        <w:tblCellMar>
          <w:top w:w="0" w:type="dxa"/>
          <w:start w:w="108" w:type="dxa"/>
          <w:bottom w:w="0" w:type="dxa"/>
          <w:end w:w="108" w:type="dxa"/>
        </w:tblCellMar>
      </w:tblPr>
      <w:tblGrid>
        <w:gridCol w:w="3525"/>
        <w:gridCol w:w="1738"/>
        <w:gridCol w:w="2301"/>
        <w:gridCol w:w="1897"/>
      </w:tblGrid>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Grape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f259</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CF-ABPA Panel</w:t>
            </w:r>
          </w:p>
        </w:tc>
        <w:tc>
          <w:tcPr>
            <w:tcW w:w="1738"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Careset</w:t>
            </w:r>
          </w:p>
        </w:tc>
        <w:tc>
          <w:tcPr>
            <w:tcW w:w="2301"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Grass Pollen Mix</w:t>
            </w:r>
          </w:p>
        </w:tc>
        <w:tc>
          <w:tcPr>
            <w:tcW w:w="1897"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Acarus siro (Flour mite)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d70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Hake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Almond</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Hazel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Alternaria alternata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Hazel nut components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CORA9A14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Amoxicilloyl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Honey bee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Ampicilloyl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Horse dander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House dust mite (d1)</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House dust mite (D. Farinae)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Aspergillus fumigatus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Kiwi</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Banana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Latex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k82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Barley</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Lentil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Blue mussel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Lobster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Brazil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Macadamia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Cagebird Feather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ex72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Mackerel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Candida albicans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Maize, Corn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Cashew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Milk</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Cat dander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Morphine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c260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Cefaclor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Mushroom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Chick pea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nCor a 9, Hazel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Chicken</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Nut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Chilipepper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f279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Oat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Chlorhexidine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Orange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Citrus Fruit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Oyster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f290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Cladosporium herbarum</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Coconut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Peach</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Common silver birch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Common wasp (Yellow jacket)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Pecan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Crab</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Dog dander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 chrysogenum (notatum)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Egg</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Penicilloyl G</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Egg white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Penicilloyl V</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Fish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Pine nut, pignoles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Fruit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Pistachio</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Salmon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Pork</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Sesame seed</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Potato</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2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Shrimp</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8 PR-10,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Soybean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9 LTP,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Spice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fx71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rAsp f 2 Aspergillus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m219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Strawberry</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w:t>
            </w:r>
          </w:p>
        </w:tc>
      </w:tr>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rBet v 1 PR-10, Birch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t215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Suxamethonium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c202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1 PR-10,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Timothy grass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14,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Tomato</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8 LTP,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Tree Pollen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tx8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Tuna</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Rice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Walnut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rMal d 1 PR-10, 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Wheat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rMal d 3 LTP, 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Yeast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Rocuronium</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U254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rPru p 3 LTP, Peach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(Random)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TRYPTRAND</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rPru p 4 Profilin, Peach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&lt;1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TRYPT1HR</w:t>
            </w:r>
          </w:p>
        </w:tc>
      </w:tr>
      <w:tr>
        <w:trPr>
          <w:trHeight w:val="300" w:hRule="atLeast"/>
        </w:trPr>
        <w:tc>
          <w:tcPr>
            <w:tcW w:w="3525" w:type="dxa"/>
            <w:tcBorders>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rTri a 19 Omega-5 Gliadin, Wheat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24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TRYPT24HR</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Rye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3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TRYPT3HR</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t>*Details of Panel &amp; Mix contents are given below</w:t>
      </w:r>
    </w:p>
    <w:tbl>
      <w:tblPr>
        <w:tblW w:w="9747" w:type="dxa"/>
        <w:jc w:val="start"/>
        <w:tblInd w:w="15" w:type="dxa"/>
        <w:tblLayout w:type="fixed"/>
        <w:tblCellMar>
          <w:top w:w="0" w:type="dxa"/>
          <w:start w:w="5" w:type="dxa"/>
          <w:bottom w:w="0" w:type="dxa"/>
          <w:end w:w="5" w:type="dxa"/>
        </w:tblCellMar>
      </w:tblPr>
      <w:tblGrid>
        <w:gridCol w:w="2914"/>
        <w:gridCol w:w="6832"/>
      </w:tblGrid>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ALLERGENS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Panel &amp; Mix Details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ANIMAL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Cat, Dog</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ASTHMA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Aspergillus fumigatus, Cat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CAGEBIRD FEATHER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Budgerigar, Canary bird, Parakeet, Parrot &amp; Finch feathers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CITRUS 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Orange, Lemon, Grapefruit, Mandarin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Shrimp, Blue mussel, Tuna, Salmon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Kiwi, Melon, Banana, Peach, Pineapple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GRASS POLLEN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Cock's-foot or orchard grass, Meadow fescue, Ryegrass, Timothy-grass, Common Meadow-grass (Dactylis glomerata, Festuca elatior, Lolium perenne, Phleum pratense, Poa pratensis)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Hazel Nut Components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nCor a 9 &amp; rCor a 14, Hazel 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NUT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Hazel nut, Brazil nut, Almond, Coconut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&amp; Arah2</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G, Penicillin V, Amoxicillin, Ampicillin, Cefaclor</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POLLEN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RHINITIS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Cat, 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SHELLFISH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Lobster, Crab, Shrimp, Mussel</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SPICE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Caraway, Mace, Cardamom, Clove;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TREE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Box-elder, Common silver birch, Hazel, Oak &amp; Maple leaf sycamore (Acer negundo, Betula verrucosa, Corylus avellana, Quercus alba, Platanus acerifolia)</w:t>
            </w:r>
          </w:p>
        </w:tc>
      </w:tr>
    </w:tbl>
    <w:p>
      <w:pPr>
        <w:pStyle w:val="Normal"/>
        <w:widowControl w:val="false"/>
        <w:bidi w:val="0"/>
        <w:spacing w:lineRule="auto" w:line="240"/>
        <w:jc w:val="start"/>
        <w:rPr>
          <w:b/>
          <w:szCs w:val="26"/>
          <w:u w:val="single"/>
        </w:rPr>
      </w:pPr>
      <w:r>
        <w:rPr/>
        <w:t xml:space="preserve">**For nut mix &amp; fish mix, if we get a positive result, we would automatically do the individual allergens included in the relevant mix. </w:t>
      </w:r>
    </w:p>
    <w:p>
      <w:pPr>
        <w:pStyle w:val="Normal"/>
        <w:bidi w:val="0"/>
        <w:spacing w:lineRule="auto" w:line="240"/>
        <w:jc w:val="start"/>
        <w:rPr>
          <w:b/>
          <w:szCs w:val="26"/>
          <w:u w:val="single"/>
        </w:rPr>
      </w:pPr>
      <w:r>
        <w:rPr/>
        <w:t xml:space="preserve">Please request SIGEREFERRAL, and state name of allergen, for anything not on the above list. If the history indicates an unusual allergen, the appropriate test will be sent to the UK. </w:t>
      </w:r>
    </w:p>
    <w:p>
      <w:pPr>
        <w:pStyle w:val="Normal"/>
        <w:bidi w:val="0"/>
        <w:spacing w:lineRule="auto" w:line="240"/>
        <w:jc w:val="start"/>
        <w:rPr>
          <w:b/>
          <w:szCs w:val="26"/>
          <w:u w:val="single"/>
        </w:rPr>
      </w:pPr>
      <w:r>
        <w:rPr/>
        <w:t>Test Profiles</w:t>
      </w:r>
    </w:p>
    <w:p>
      <w:pPr>
        <w:pStyle w:val="Normal"/>
        <w:bidi w:val="0"/>
        <w:spacing w:lineRule="auto" w:line="240"/>
        <w:jc w:val="start"/>
        <w:rPr>
          <w:b/>
          <w:szCs w:val="26"/>
          <w:u w:val="single"/>
        </w:rPr>
      </w:pPr>
      <w:r>
        <w:rPr/>
        <w:t>To make test ordering more efficient we have set up a range of disease specific test profiles, for investigations of common potentially immunological disorders. Where screening tests are included in test batteries, positive screening tests lead to reflex ordering of appropriate follow-up tests, as detailed in Section 8.</w:t>
      </w:r>
    </w:p>
    <w:p>
      <w:pPr>
        <w:pStyle w:val="Normal"/>
        <w:bidi w:val="0"/>
        <w:spacing w:lineRule="auto" w:line="240"/>
        <w:jc w:val="start"/>
        <w:rPr>
          <w:b/>
          <w:szCs w:val="26"/>
          <w:u w:val="single"/>
        </w:rPr>
      </w:pPr>
      <w:r>
        <w:rPr>
          <w:b/>
          <w:szCs w:val="26"/>
          <w:u w:val="single"/>
        </w:rPr>
      </w:r>
    </w:p>
    <w:tbl>
      <w:tblPr>
        <w:tblW w:w="13949" w:type="dxa"/>
        <w:jc w:val="start"/>
        <w:tblInd w:w="15" w:type="dxa"/>
        <w:tblLayout w:type="fixed"/>
        <w:tblCellMar>
          <w:top w:w="0" w:type="dxa"/>
          <w:start w:w="5" w:type="dxa"/>
          <w:bottom w:w="0" w:type="dxa"/>
          <w:end w:w="5" w:type="dxa"/>
        </w:tblCellMar>
      </w:tblPr>
      <w:tblGrid>
        <w:gridCol w:w="3586"/>
        <w:gridCol w:w="2647"/>
        <w:gridCol w:w="3398"/>
        <w:gridCol w:w="4317"/>
      </w:tblGrid>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Profile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Tests Included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Indication</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Renal Failure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w:t>
            </w:r>
          </w:p>
          <w:p>
            <w:pPr>
              <w:pStyle w:val="Normal"/>
              <w:widowControl w:val="false"/>
              <w:tabs>
                <w:tab w:val="clear" w:pos="709"/>
              </w:tabs>
              <w:bidi w:val="0"/>
              <w:spacing w:lineRule="auto" w:line="240"/>
              <w:jc w:val="start"/>
              <w:rPr>
                <w:b/>
                <w:szCs w:val="26"/>
                <w:u w:val="single"/>
              </w:rPr>
            </w:pPr>
            <w:r>
              <w:rPr/>
              <w:t>GBM</w:t>
            </w:r>
          </w:p>
          <w:p>
            <w:pPr>
              <w:pStyle w:val="Normal"/>
              <w:widowControl w:val="false"/>
              <w:tabs>
                <w:tab w:val="clear" w:pos="709"/>
              </w:tabs>
              <w:bidi w:val="0"/>
              <w:spacing w:lineRule="auto" w:line="240"/>
              <w:jc w:val="start"/>
              <w:rPr>
                <w:b/>
                <w:szCs w:val="26"/>
                <w:u w:val="single"/>
              </w:rPr>
            </w:pPr>
            <w:r>
              <w:rPr/>
              <w:t>C3/C4</w:t>
            </w:r>
          </w:p>
          <w:p>
            <w:pPr>
              <w:pStyle w:val="Normal"/>
              <w:widowControl w:val="false"/>
              <w:tabs>
                <w:tab w:val="clear" w:pos="709"/>
              </w:tabs>
              <w:bidi w:val="0"/>
              <w:spacing w:lineRule="auto" w:line="240"/>
              <w:jc w:val="start"/>
              <w:rPr>
                <w:b/>
                <w:szCs w:val="26"/>
                <w:u w:val="single"/>
              </w:rPr>
            </w:pPr>
            <w:r>
              <w:rPr/>
              <w:t>ASOT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or acute –on-chronic renal failure.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Please discuss all pulmonary-renal syndrome or ? rapidly progressive GN, as urgent service available.</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Inflammatory Arthritis 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p>
            <w:pPr>
              <w:pStyle w:val="Normal"/>
              <w:widowControl w:val="false"/>
              <w:tabs>
                <w:tab w:val="clear" w:pos="709"/>
              </w:tabs>
              <w:bidi w:val="0"/>
              <w:spacing w:lineRule="auto" w:line="240"/>
              <w:jc w:val="start"/>
              <w:rPr>
                <w:b/>
                <w:szCs w:val="26"/>
                <w:u w:val="single"/>
              </w:rPr>
            </w:pPr>
            <w:r>
              <w:rPr/>
              <w:t>CCP</w:t>
            </w:r>
          </w:p>
          <w:p>
            <w:pPr>
              <w:pStyle w:val="Normal"/>
              <w:widowControl w:val="false"/>
              <w:tabs>
                <w:tab w:val="clear" w:pos="709"/>
              </w:tabs>
              <w:bidi w:val="0"/>
              <w:spacing w:lineRule="auto" w:line="240"/>
              <w:jc w:val="start"/>
              <w:rPr>
                <w:b/>
                <w:szCs w:val="26"/>
                <w:u w:val="single"/>
              </w:rPr>
            </w:pPr>
            <w:r>
              <w:rPr/>
              <w:t>CTD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Isolated inflammatory arthritis, in the absence of systemic features.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 should be added if urinalysis is abnormal. NB: 2 separate samples are required for INFL ABS.</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Liver  Disease Associated Autoantibodies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p>
            <w:pPr>
              <w:pStyle w:val="Normal"/>
              <w:widowControl w:val="false"/>
              <w:tabs>
                <w:tab w:val="clear" w:pos="709"/>
              </w:tabs>
              <w:bidi w:val="0"/>
              <w:spacing w:lineRule="auto" w:line="240"/>
              <w:jc w:val="start"/>
              <w:rPr>
                <w:b/>
                <w:szCs w:val="26"/>
                <w:u w:val="single"/>
              </w:rPr>
            </w:pPr>
            <w:r>
              <w:rPr/>
              <w:t>Anti-Smooth Muscle</w:t>
            </w:r>
          </w:p>
          <w:p>
            <w:pPr>
              <w:pStyle w:val="Normal"/>
              <w:widowControl w:val="false"/>
              <w:tabs>
                <w:tab w:val="clear" w:pos="709"/>
              </w:tabs>
              <w:bidi w:val="0"/>
              <w:spacing w:lineRule="auto" w:line="240"/>
              <w:jc w:val="start"/>
              <w:rPr>
                <w:b/>
                <w:szCs w:val="26"/>
                <w:u w:val="single"/>
              </w:rPr>
            </w:pPr>
            <w:r>
              <w:rPr/>
              <w:t>Anti-Mitochondrial</w:t>
            </w:r>
          </w:p>
          <w:p>
            <w:pPr>
              <w:pStyle w:val="Normal"/>
              <w:widowControl w:val="false"/>
              <w:tabs>
                <w:tab w:val="clear" w:pos="709"/>
              </w:tabs>
              <w:bidi w:val="0"/>
              <w:spacing w:lineRule="auto" w:line="240"/>
              <w:jc w:val="start"/>
              <w:rPr>
                <w:b/>
                <w:szCs w:val="26"/>
                <w:u w:val="single"/>
              </w:rPr>
            </w:pPr>
            <w:r>
              <w:rPr/>
              <w:t>Anti-LKM</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chronic liver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 MITO pos, M2 subtyping will be performed, on the first occasion only.</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Vasculitis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 RF</w:t>
            </w:r>
          </w:p>
          <w:p>
            <w:pPr>
              <w:pStyle w:val="Normal"/>
              <w:widowControl w:val="false"/>
              <w:tabs>
                <w:tab w:val="clear" w:pos="709"/>
              </w:tabs>
              <w:bidi w:val="0"/>
              <w:spacing w:lineRule="auto" w:line="240"/>
              <w:jc w:val="start"/>
              <w:rPr>
                <w:b/>
                <w:szCs w:val="26"/>
                <w:u w:val="single"/>
              </w:rPr>
            </w:pPr>
            <w:r>
              <w:rPr/>
              <w:t>C3/C4</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vasculitis or connective tissue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This battery is intended for diagnosis only.</w:t>
            </w:r>
          </w:p>
          <w:p>
            <w:pPr>
              <w:pStyle w:val="Normal"/>
              <w:widowControl w:val="false"/>
              <w:tabs>
                <w:tab w:val="clear" w:pos="709"/>
              </w:tabs>
              <w:bidi w:val="0"/>
              <w:spacing w:lineRule="auto" w:line="240"/>
              <w:jc w:val="start"/>
              <w:rPr>
                <w:b/>
                <w:szCs w:val="26"/>
                <w:u w:val="single"/>
              </w:rPr>
            </w:pPr>
            <w:r>
              <w:rPr/>
              <w:t>More selective tests should be used for monitoring once diagnosis established.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Aspergillus</w:t>
            </w:r>
          </w:p>
          <w:p>
            <w:pPr>
              <w:pStyle w:val="Normal"/>
              <w:widowControl w:val="false"/>
              <w:tabs>
                <w:tab w:val="clear" w:pos="709"/>
              </w:tabs>
              <w:bidi w:val="0"/>
              <w:spacing w:lineRule="auto" w:line="240"/>
              <w:jc w:val="start"/>
              <w:rPr>
                <w:b/>
                <w:szCs w:val="26"/>
                <w:u w:val="single"/>
              </w:rPr>
            </w:pPr>
            <w:r>
              <w:rPr/>
              <w:t>sIgE – Cat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Allergic asthma.</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Cat</w:t>
            </w:r>
          </w:p>
          <w:p>
            <w:pPr>
              <w:pStyle w:val="Normal"/>
              <w:widowControl w:val="false"/>
              <w:tabs>
                <w:tab w:val="clear" w:pos="709"/>
              </w:tabs>
              <w:bidi w:val="0"/>
              <w:spacing w:lineRule="auto" w:line="240"/>
              <w:jc w:val="start"/>
              <w:rPr>
                <w:b/>
                <w:szCs w:val="26"/>
                <w:u w:val="single"/>
              </w:rPr>
            </w:pPr>
            <w:r>
              <w:rPr/>
              <w:t>sIgE – Trees</w:t>
            </w:r>
          </w:p>
          <w:p>
            <w:pPr>
              <w:pStyle w:val="Normal"/>
              <w:widowControl w:val="false"/>
              <w:tabs>
                <w:tab w:val="clear" w:pos="709"/>
              </w:tabs>
              <w:bidi w:val="0"/>
              <w:spacing w:lineRule="auto" w:line="240"/>
              <w:jc w:val="start"/>
              <w:rPr>
                <w:b/>
                <w:szCs w:val="26"/>
                <w:u w:val="single"/>
              </w:rPr>
            </w:pPr>
            <w:r>
              <w:rPr/>
              <w:t>sIgE - Grass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Perennial Rhinitis, thought to be allergic.</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Lobster</w:t>
            </w:r>
          </w:p>
          <w:p>
            <w:pPr>
              <w:pStyle w:val="Normal"/>
              <w:widowControl w:val="false"/>
              <w:tabs>
                <w:tab w:val="clear" w:pos="709"/>
              </w:tabs>
              <w:bidi w:val="0"/>
              <w:spacing w:lineRule="auto" w:line="240"/>
              <w:jc w:val="start"/>
              <w:rPr>
                <w:b/>
                <w:szCs w:val="26"/>
                <w:u w:val="single"/>
              </w:rPr>
            </w:pPr>
            <w:r>
              <w:rPr/>
              <w:t>sIgE - Crab</w:t>
            </w:r>
          </w:p>
          <w:p>
            <w:pPr>
              <w:pStyle w:val="Normal"/>
              <w:widowControl w:val="false"/>
              <w:tabs>
                <w:tab w:val="clear" w:pos="709"/>
              </w:tabs>
              <w:bidi w:val="0"/>
              <w:spacing w:lineRule="auto" w:line="240"/>
              <w:jc w:val="start"/>
              <w:rPr>
                <w:b/>
                <w:szCs w:val="26"/>
                <w:u w:val="single"/>
              </w:rPr>
            </w:pPr>
            <w:r>
              <w:rPr/>
              <w:t>sIgE - Shrimp</w:t>
            </w:r>
          </w:p>
          <w:p>
            <w:pPr>
              <w:pStyle w:val="Normal"/>
              <w:widowControl w:val="false"/>
              <w:tabs>
                <w:tab w:val="clear" w:pos="709"/>
              </w:tabs>
              <w:bidi w:val="0"/>
              <w:spacing w:lineRule="auto" w:line="240"/>
              <w:jc w:val="start"/>
              <w:rPr>
                <w:b/>
                <w:szCs w:val="26"/>
                <w:u w:val="single"/>
              </w:rPr>
            </w:pPr>
            <w:r>
              <w:rPr/>
              <w:t>sIgE - Mussel</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allergy to shellfish.</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result does not rule out shellfish allergy.  If this is suspected clinically referral to a Clinical Immunologist is advised.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Mixed gras</w:t>
            </w:r>
          </w:p>
          <w:p>
            <w:pPr>
              <w:pStyle w:val="Normal"/>
              <w:widowControl w:val="false"/>
              <w:tabs>
                <w:tab w:val="clear" w:pos="709"/>
              </w:tabs>
              <w:bidi w:val="0"/>
              <w:spacing w:lineRule="auto" w:line="240"/>
              <w:jc w:val="start"/>
              <w:rPr>
                <w:b/>
                <w:szCs w:val="26"/>
                <w:u w:val="single"/>
              </w:rPr>
            </w:pPr>
            <w:r>
              <w:rPr/>
              <w:t>sIgE–Mixed trees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Coeliac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Anti-tTG</w:t>
            </w:r>
          </w:p>
          <w:p>
            <w:pPr>
              <w:pStyle w:val="Normal"/>
              <w:widowControl w:val="false"/>
              <w:tabs>
                <w:tab w:val="clear" w:pos="709"/>
              </w:tabs>
              <w:bidi w:val="0"/>
              <w:spacing w:lineRule="auto" w:line="240"/>
              <w:jc w:val="start"/>
              <w:rPr>
                <w:b/>
                <w:szCs w:val="26"/>
                <w:u w:val="single"/>
              </w:rPr>
            </w:pPr>
            <w:r>
              <w:rPr/>
              <w:t>Anti-EmA (if tTG is Equivocal or Positive)</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Coeliac Disease.</w:t>
            </w:r>
          </w:p>
          <w:p>
            <w:pPr>
              <w:pStyle w:val="Normal"/>
              <w:widowControl w:val="false"/>
              <w:tabs>
                <w:tab w:val="clear" w:pos="709"/>
              </w:tabs>
              <w:bidi w:val="0"/>
              <w:spacing w:lineRule="auto" w:line="240"/>
              <w:jc w:val="start"/>
              <w:rPr>
                <w:b/>
                <w:szCs w:val="26"/>
                <w:u w:val="single"/>
              </w:rPr>
            </w:pPr>
            <w:r>
              <w:rPr/>
              <w:t>Malabsorption.</w:t>
            </w:r>
          </w:p>
          <w:p>
            <w:pPr>
              <w:pStyle w:val="Normal"/>
              <w:widowControl w:val="false"/>
              <w:tabs>
                <w:tab w:val="clear" w:pos="709"/>
              </w:tabs>
              <w:bidi w:val="0"/>
              <w:spacing w:lineRule="auto" w:line="240"/>
              <w:jc w:val="start"/>
              <w:rPr>
                <w:b/>
                <w:szCs w:val="26"/>
                <w:u w:val="single"/>
              </w:rPr>
            </w:pPr>
            <w:r>
              <w:rPr/>
              <w:t>Anaemia.</w:t>
            </w:r>
          </w:p>
          <w:p>
            <w:pPr>
              <w:pStyle w:val="Normal"/>
              <w:widowControl w:val="false"/>
              <w:tabs>
                <w:tab w:val="clear" w:pos="709"/>
              </w:tabs>
              <w:bidi w:val="0"/>
              <w:spacing w:lineRule="auto" w:line="240"/>
              <w:jc w:val="start"/>
              <w:rPr>
                <w:b/>
                <w:szCs w:val="26"/>
                <w:u w:val="single"/>
              </w:rPr>
            </w:pPr>
            <w:r>
              <w:rPr/>
              <w:t>Gastrointestinal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Anti-AMPA 1/2, Anti-DPPX, Anti-GABAb, Anti-LGI1, Anti-CASPR2 Antibodies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Autoimmune Encephalitis, Myotonia, seizures, Neuropsychiatric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in the initial diagnostic phase), due to the known incidence of false negatives on serum documented in the literature.</w:t>
            </w:r>
          </w:p>
        </w:tc>
      </w:tr>
    </w:tbl>
    <w:p>
      <w:pPr>
        <w:pStyle w:val="Normal"/>
        <w:widowControl w:val="false"/>
        <w:bidi w:val="0"/>
        <w:spacing w:lineRule="auto" w:line="240"/>
        <w:jc w:val="start"/>
        <w:rPr>
          <w:b/>
          <w:szCs w:val="26"/>
          <w:u w:val="single"/>
        </w:rPr>
      </w:pPr>
      <w:bookmarkStart w:id="110" w:name="_Ref303078467"/>
      <w:bookmarkEnd w:id="110"/>
      <w:r>
        <w:rPr/>
        <w:t>Immunological Tests performed in other Laboratories in Beaumont Hospital</w:t>
      </w:r>
    </w:p>
    <w:tbl>
      <w:tblPr>
        <w:tblW w:w="14042" w:type="dxa"/>
        <w:jc w:val="start"/>
        <w:tblInd w:w="30" w:type="dxa"/>
        <w:tblLayout w:type="fixed"/>
        <w:tblCellMar>
          <w:top w:w="0" w:type="dxa"/>
          <w:start w:w="10" w:type="dxa"/>
          <w:bottom w:w="0" w:type="dxa"/>
          <w:end w:w="10" w:type="dxa"/>
        </w:tblCellMar>
      </w:tblPr>
      <w:tblGrid>
        <w:gridCol w:w="5069"/>
        <w:gridCol w:w="1299"/>
        <w:gridCol w:w="4697"/>
        <w:gridCol w:w="2976"/>
      </w:tblGrid>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Test</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Mnemonic</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Specimen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Contact</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Immunoglobulins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IGGS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CRP</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Heparin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Clin Chem (809) 2668</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 electrophoresis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Urine electrophoresis (Bence Jones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24 hour urine collection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w:t>
            </w:r>
            <w:r>
              <w:rPr/>
              <w:t>2 Microglobulin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B2M</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Special instructions on computer</w:t>
            </w:r>
          </w:p>
          <w:p>
            <w:pPr>
              <w:pStyle w:val="Normal"/>
              <w:widowControl w:val="false"/>
              <w:tabs>
                <w:tab w:val="clear" w:pos="709"/>
              </w:tabs>
              <w:bidi w:val="0"/>
              <w:spacing w:lineRule="auto" w:line="240"/>
              <w:jc w:val="start"/>
              <w:rPr>
                <w:b/>
                <w:szCs w:val="26"/>
                <w:u w:val="single"/>
              </w:rPr>
            </w:pPr>
            <w:r>
              <w:rPr/>
              <w:t>8 hour Fasting Samples Required</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Lymphocyte subsets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LY-SUB</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EDTA</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Haematology (809)2763</w:t>
            </w:r>
          </w:p>
        </w:tc>
      </w:tr>
    </w:tbl>
    <w:p>
      <w:pPr>
        <w:pStyle w:val="Normal"/>
        <w:widowControl w:val="false"/>
        <w:pBdr>
          <w:top w:val="single" w:sz="48" w:space="26" w:color="00B0F0"/>
          <w:left w:val="single" w:sz="48" w:space="42" w:color="00B0F0"/>
          <w:bottom w:val="single" w:sz="48" w:space="0" w:color="00B0F0"/>
          <w:right w:val="single" w:sz="48" w:space="42" w:color="00B0F0"/>
        </w:pBdr>
        <w:bidi w:val="0"/>
        <w:spacing w:lineRule="auto" w:line="240"/>
        <w:jc w:val="start"/>
        <w:rPr>
          <w:lang w:val="en-US"/>
        </w:rPr>
      </w:pPr>
      <w:r>
        <w:rPr>
          <w:b/>
          <w:u w:val="single"/>
          <w:lang w:val="en-US"/>
        </w:rPr>
        <w:t>HISTOPATHOLOGY</w:t>
      </w:r>
    </w:p>
    <w:p>
      <w:pPr>
        <w:pStyle w:val="Heading3"/>
        <w:numPr>
          <w:ilvl w:val="2"/>
          <w:numId w:val="16"/>
        </w:numPr>
        <w:tabs>
          <w:tab w:val="left" w:pos="1134" w:leader="none"/>
          <w:tab w:val="left" w:pos="1854" w:leader="none"/>
        </w:tabs>
        <w:bidi w:val="0"/>
        <w:spacing w:lineRule="auto" w:line="240"/>
        <w:ind w:start="720" w:end="0" w:hanging="720"/>
        <w:jc w:val="start"/>
        <w:rPr>
          <w:b/>
          <w:szCs w:val="26"/>
          <w:u w:val="single"/>
        </w:rPr>
      </w:pPr>
      <w:bookmarkStart w:id="111" w:name="_Toc240963963"/>
      <w:bookmarkStart w:id="112" w:name="_Toc196476786"/>
      <w:bookmarkStart w:id="113" w:name="_Toc53067355"/>
      <w:bookmarkEnd w:id="111"/>
      <w:bookmarkEnd w:id="112"/>
      <w:bookmarkEnd w:id="113"/>
      <w:r>
        <w:rPr/>
        <w:t>Specimen Requirements For Histopathology</w:t>
      </w:r>
    </w:p>
    <w:p>
      <w:pPr>
        <w:pStyle w:val="Normal"/>
        <w:bidi w:val="0"/>
        <w:spacing w:lineRule="auto" w:line="240"/>
        <w:jc w:val="start"/>
        <w:rPr>
          <w:lang w:val="en-IE"/>
        </w:rPr>
      </w:pPr>
      <w:r>
        <w:rPr>
          <w:lang w:val="en-IE"/>
        </w:rPr>
        <w:t>The following is a guideline on the requirements of the various specimen types and the appropriate manner in which they should be delivered to the laboratory. This ensures the integrity of the specimen for laboratory investigations.</w:t>
      </w:r>
    </w:p>
    <w:tbl>
      <w:tblPr>
        <w:tblW w:w="10178" w:type="dxa"/>
        <w:jc w:val="center"/>
        <w:tblInd w:w="0" w:type="dxa"/>
        <w:tblLayout w:type="fixed"/>
        <w:tblCellMar>
          <w:top w:w="0" w:type="dxa"/>
          <w:start w:w="15" w:type="dxa"/>
          <w:bottom w:w="0" w:type="dxa"/>
          <w:end w:w="15" w:type="dxa"/>
        </w:tblCellMar>
      </w:tblPr>
      <w:tblGrid>
        <w:gridCol w:w="2425"/>
        <w:gridCol w:w="4112"/>
        <w:gridCol w:w="3634"/>
        <w:gridCol w:w="6"/>
      </w:tblGrid>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Tissue Type</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Fixative Required</w:t>
            </w:r>
          </w:p>
        </w:tc>
        <w:tc>
          <w:tcPr>
            <w:tcW w:w="3634" w:type="dxa"/>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bCs/>
                <w:lang w:val="en-IE"/>
              </w:rPr>
              <w:t>Comment</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Specimen for Frozen Section.</w:t>
            </w:r>
          </w:p>
        </w:tc>
        <w:tc>
          <w:tcPr>
            <w:tcW w:w="4112" w:type="dxa"/>
            <w:tcBorders>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24 hours notice of Frozen sections should be given where possible. Contact the Histopathology Lab Ext 2353.</w:t>
            </w:r>
          </w:p>
          <w:p>
            <w:pPr>
              <w:pStyle w:val="Normal"/>
              <w:widowControl w:val="false"/>
              <w:tabs>
                <w:tab w:val="clear" w:pos="709"/>
              </w:tabs>
              <w:bidi w:val="0"/>
              <w:spacing w:lineRule="auto" w:line="240" w:before="0" w:after="0"/>
              <w:jc w:val="start"/>
              <w:rPr>
                <w:lang w:val="en-US"/>
              </w:rPr>
            </w:pPr>
            <w:r>
              <w:rPr>
                <w:lang w:val="en-US"/>
              </w:rPr>
              <w:t>Details supplied with the specimen must include a bleep number or theatre intercom to deliver report to.</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Renal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saline (Dublin Hospitals)</w:t>
            </w:r>
          </w:p>
          <w:p>
            <w:pPr>
              <w:pStyle w:val="Normal"/>
              <w:widowControl w:val="false"/>
              <w:tabs>
                <w:tab w:val="clear" w:pos="709"/>
              </w:tabs>
              <w:bidi w:val="0"/>
              <w:spacing w:lineRule="auto" w:line="240" w:before="0" w:after="0"/>
              <w:jc w:val="start"/>
              <w:rPr>
                <w:lang w:val="en-US"/>
              </w:rPr>
            </w:pPr>
            <w:r>
              <w:rPr>
                <w:lang w:val="en-US"/>
              </w:rPr>
              <w:t xml:space="preserve">Send in Formalin/Zeus (Regional Centres) (full details in section </w:t>
            </w:r>
            <w:r>
              <w:rPr/>
              <w:fldChar w:fldCharType="begin"/>
            </w:r>
            <w:r>
              <w:rPr/>
              <w:instrText xml:space="preserve"> REF _Ref398483452 \r \h </w:instrText>
            </w:r>
            <w:r>
              <w:rPr/>
              <w:fldChar w:fldCharType="separate"/>
            </w:r>
            <w:r>
              <w:rPr/>
              <w:t>Error: Reference source not found</w:t>
            </w:r>
            <w:r>
              <w:rPr/>
              <w:fldChar w:fldCharType="end"/>
            </w:r>
            <w:r>
              <w:rPr>
                <w:lang w:val="en-US"/>
              </w:rPr>
              <w:t>)</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inform Renal Office Ext. 2765 of specimen. The Main Histology Lab can be contacted @ 2353. The EM lab on 8633.</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700" w:hRule="atLeast"/>
        </w:trPr>
        <w:tc>
          <w:tcPr>
            <w:tcW w:w="2425"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Lymph nodes</w:t>
            </w:r>
          </w:p>
          <w:p>
            <w:pPr>
              <w:pStyle w:val="Normal"/>
              <w:widowControl w:val="false"/>
              <w:tabs>
                <w:tab w:val="clear" w:pos="709"/>
              </w:tabs>
              <w:bidi w:val="0"/>
              <w:spacing w:lineRule="auto" w:line="240" w:before="0" w:after="0"/>
              <w:jc w:val="start"/>
              <w:rPr>
                <w:lang w:val="en-US"/>
              </w:rPr>
            </w:pPr>
            <w:r>
              <w:rPr>
                <w:lang w:val="en-US"/>
              </w:rPr>
              <w:t>(for lymphoma diagnostics)</w:t>
            </w:r>
          </w:p>
        </w:tc>
        <w:tc>
          <w:tcPr>
            <w:tcW w:w="4112" w:type="dxa"/>
            <w:tcBorders>
              <w:top w:val="single" w:sz="6" w:space="0" w:color="000000"/>
              <w:start w:val="single" w:sz="6"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-immediately.</w:t>
            </w:r>
          </w:p>
        </w:tc>
        <w:tc>
          <w:tcPr>
            <w:tcW w:w="3634" w:type="dxa"/>
            <w:tcBorders>
              <w:top w:val="single" w:sz="6"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783" w:hRule="atLeast"/>
        </w:trPr>
        <w:tc>
          <w:tcPr>
            <w:tcW w:w="2425" w:type="dxa"/>
            <w:tcBorders>
              <w:top w:val="single" w:sz="4"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fr-FR"/>
              </w:rPr>
            </w:pPr>
            <w:r>
              <w:rPr>
                <w:lang w:val="fr-FR"/>
              </w:rPr>
              <w:t>Solid Tumours</w:t>
            </w:r>
          </w:p>
          <w:p>
            <w:pPr>
              <w:pStyle w:val="Normal"/>
              <w:widowControl w:val="false"/>
              <w:tabs>
                <w:tab w:val="clear" w:pos="709"/>
              </w:tabs>
              <w:bidi w:val="0"/>
              <w:spacing w:lineRule="auto" w:line="240" w:before="0" w:after="0"/>
              <w:jc w:val="start"/>
              <w:rPr>
                <w:lang w:val="fr-FR"/>
              </w:rPr>
            </w:pPr>
            <w:r>
              <w:rPr>
                <w:lang w:val="fr-FR"/>
              </w:rPr>
              <w:t>(Colon, Breast, Lung etc.)</w:t>
            </w:r>
          </w:p>
        </w:tc>
        <w:tc>
          <w:tcPr>
            <w:tcW w:w="4112" w:type="dxa"/>
            <w:tcBorders>
              <w:top w:val="single" w:sz="4"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US"/>
              </w:rPr>
            </w:pPr>
            <w:r>
              <w:rPr>
                <w:lang w:val="en-US"/>
              </w:rPr>
              <w:t>immediately.</w:t>
            </w:r>
          </w:p>
        </w:tc>
        <w:tc>
          <w:tcPr>
            <w:tcW w:w="3634" w:type="dxa"/>
            <w:tcBorders>
              <w:top w:val="single" w:sz="4"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Liver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Where possible, send two specimens – one in 10% Neutral Buffered Formalin and one wrapped in saline moistened gauze.</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Oncotyping*</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Genomic HealthCare (US) for Onctotpyping</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Mitochondrial Studies*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Mitochondrial Research Group in Newcastle University for analysis/St James Hospital (CMD)</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for RT-QuIC Analysis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Volume CSF: 1 - 2ml.</w:t>
            </w:r>
          </w:p>
          <w:p>
            <w:pPr>
              <w:pStyle w:val="Normal"/>
              <w:widowControl w:val="false"/>
              <w:tabs>
                <w:tab w:val="clear" w:pos="709"/>
              </w:tabs>
              <w:bidi w:val="0"/>
              <w:spacing w:lineRule="auto" w:line="240" w:before="0" w:after="0"/>
              <w:jc w:val="start"/>
              <w:rPr>
                <w:lang w:val="en-US"/>
              </w:rPr>
            </w:pPr>
            <w:r>
              <w:rPr>
                <w:lang w:val="en-US"/>
              </w:rPr>
              <w:t>Sample must be clear and colourless (not blood stained) with a white cell count of &lt;10x10^6/L and have a total protein concentration of &lt;1 g/L1. Red blood cells (&gt;1250 x 10^6/L) inhibit the RT-QuIC response resulting in false negatives. High CSF total protein concentrations of &gt;1.0 g/L and raised white blood cell counts can result in false positives.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Primary Ciliary Dyskinesia*</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Nasal Scraping</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Southhampton General Hospital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Flow Cytometry*</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w:t>
            </w:r>
          </w:p>
          <w:p>
            <w:pPr>
              <w:pStyle w:val="Normal"/>
              <w:widowControl w:val="false"/>
              <w:tabs>
                <w:tab w:val="clear" w:pos="709"/>
              </w:tabs>
              <w:bidi w:val="0"/>
              <w:spacing w:lineRule="auto" w:line="240" w:before="0" w:after="0"/>
              <w:jc w:val="start"/>
              <w:rPr>
                <w:lang w:val="en-US"/>
              </w:rPr>
            </w:pPr>
            <w:r>
              <w:rPr>
                <w:lang w:val="en-US"/>
              </w:rPr>
              <w:t>Or</w:t>
            </w:r>
          </w:p>
          <w:p>
            <w:pPr>
              <w:pStyle w:val="Normal"/>
              <w:widowControl w:val="false"/>
              <w:tabs>
                <w:tab w:val="clear" w:pos="709"/>
              </w:tabs>
              <w:bidi w:val="0"/>
              <w:spacing w:lineRule="auto" w:line="240" w:before="0" w:after="0"/>
              <w:jc w:val="start"/>
              <w:rPr>
                <w:lang w:val="en-US"/>
              </w:rPr>
            </w:pPr>
            <w:r>
              <w:rPr>
                <w:lang w:val="en-US"/>
              </w:rPr>
              <w:t>Lymph Node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Haematology in St. James’s Hospital Dublin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Amyloidosis*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b/>
                <w:szCs w:val="26"/>
                <w:u w:val="single"/>
              </w:rPr>
            </w:pPr>
            <w:r>
              <w:rPr/>
              <w:t>National Amyloidosis Centre, London, University College London</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PDL1* </w:t>
            </w:r>
            <w:r>
              <w:rPr>
                <w:color w:val="000000"/>
                <w:szCs w:val="28"/>
              </w:rPr>
              <w:t xml:space="preserve">non-breast </w:t>
            </w:r>
            <w:r>
              <w:rPr>
                <w:color w:val="000000"/>
                <w:sz w:val="22"/>
                <w:szCs w:val="22"/>
              </w:rPr>
              <w:t>(NCCP recommendation)</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Paraffin Block</w:t>
            </w:r>
          </w:p>
        </w:tc>
        <w:tc>
          <w:tcPr>
            <w:tcW w:w="3640" w:type="dxa"/>
            <w:gridSpan w:val="2"/>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Referred to  </w:t>
            </w:r>
            <w:r>
              <w:rPr>
                <w:color w:val="000000"/>
                <w:szCs w:val="28"/>
              </w:rPr>
              <w:t>Poundbury Cancer Institute, Dorchester, London</w:t>
            </w:r>
            <w:r>
              <w:rPr>
                <w:szCs w:val="28"/>
                <w:lang w:val="en-US"/>
              </w:rPr>
              <w:t xml:space="preserve"> &amp;</w:t>
            </w:r>
          </w:p>
          <w:p>
            <w:pPr>
              <w:pStyle w:val="Normal"/>
              <w:widowControl w:val="false"/>
              <w:tabs>
                <w:tab w:val="clear" w:pos="709"/>
              </w:tabs>
              <w:bidi w:val="0"/>
              <w:spacing w:lineRule="auto" w:line="240" w:before="0" w:after="0"/>
              <w:jc w:val="start"/>
              <w:rPr>
                <w:lang w:val="en-US"/>
              </w:rPr>
            </w:pPr>
            <w:r>
              <w:rPr>
                <w:szCs w:val="28"/>
                <w:lang w:val="en-US"/>
              </w:rPr>
              <w:t>HSL-Advanced Diagnostics</w:t>
            </w:r>
          </w:p>
          <w:p>
            <w:pPr>
              <w:pStyle w:val="Normal"/>
              <w:widowControl w:val="false"/>
              <w:tabs>
                <w:tab w:val="clear" w:pos="709"/>
              </w:tabs>
              <w:bidi w:val="0"/>
              <w:spacing w:lineRule="auto" w:line="240" w:before="0" w:after="0"/>
              <w:jc w:val="start"/>
              <w:rPr>
                <w:lang w:val="en-US"/>
              </w:rPr>
            </w:pPr>
            <w:r>
              <w:rPr>
                <w:szCs w:val="28"/>
                <w:lang w:val="en-US"/>
              </w:rPr>
              <w:t>HEALTH SERVICES LABORATORIES</w:t>
            </w:r>
          </w:p>
          <w:p>
            <w:pPr>
              <w:pStyle w:val="Normal"/>
              <w:widowControl w:val="false"/>
              <w:tabs>
                <w:tab w:val="clear" w:pos="709"/>
              </w:tabs>
              <w:bidi w:val="0"/>
              <w:spacing w:lineRule="auto" w:line="240" w:before="0" w:after="0"/>
              <w:jc w:val="start"/>
              <w:rPr>
                <w:lang w:val="en-US"/>
              </w:rPr>
            </w:pPr>
            <w:r>
              <w:rPr>
                <w:szCs w:val="28"/>
                <w:lang w:val="en-US"/>
              </w:rPr>
              <w:t xml:space="preserve"> </w:t>
            </w:r>
            <w:r>
              <w:rPr>
                <w:szCs w:val="28"/>
                <w:lang w:val="en-US"/>
              </w:rPr>
              <w:t>(A Sonic Healthcare UK laboratory) for metastatic oesophageal SCC.</w:t>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Molecular Studies – MY88</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Royal Victora Hospital Belfast</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All other tissue</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10% Neutral Buffered Formalin.</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An adequate volume of formalin in a specimen container of suitable size is essential for proper fixation. The volume of formalin used should be at least twice the volume of the tissue to be fixed. Small specimens should be placed in biohazard bags.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Histology Blocks*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outsourcing of blocks for cutting &amp; staining to HTS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before="0" w:after="0"/>
        <w:jc w:val="start"/>
        <w:rPr>
          <w:lang w:val="en-IE"/>
        </w:rPr>
      </w:pPr>
      <w:r>
        <w:rPr>
          <w:lang w:val="en-IE"/>
        </w:rPr>
      </w:r>
    </w:p>
    <w:p>
      <w:pPr>
        <w:pStyle w:val="Heading3"/>
        <w:numPr>
          <w:ilvl w:val="2"/>
          <w:numId w:val="10"/>
        </w:numPr>
        <w:tabs>
          <w:tab w:val="left" w:pos="1134" w:leader="none"/>
          <w:tab w:val="left" w:pos="2574" w:leader="none"/>
        </w:tabs>
        <w:bidi w:val="0"/>
        <w:spacing w:lineRule="auto" w:line="240"/>
        <w:ind w:start="1440" w:end="0" w:hanging="720"/>
        <w:jc w:val="start"/>
        <w:rPr>
          <w:b/>
          <w:szCs w:val="26"/>
          <w:u w:val="single"/>
        </w:rPr>
      </w:pPr>
      <w:bookmarkStart w:id="114" w:name="_Toc196476789"/>
      <w:bookmarkStart w:id="115" w:name="_Toc53067359"/>
      <w:bookmarkEnd w:id="114"/>
      <w:bookmarkEnd w:id="115"/>
      <w:r>
        <w:rPr/>
        <w:t>Cytopathology Specimen Requirements</w:t>
      </w:r>
    </w:p>
    <w:tbl>
      <w:tblPr>
        <w:tblW w:w="9056" w:type="dxa"/>
        <w:jc w:val="center"/>
        <w:tblInd w:w="0" w:type="dxa"/>
        <w:tblLayout w:type="fixed"/>
        <w:tblCellMar>
          <w:top w:w="0" w:type="dxa"/>
          <w:start w:w="15" w:type="dxa"/>
          <w:bottom w:w="0" w:type="dxa"/>
          <w:end w:w="15" w:type="dxa"/>
        </w:tblCellMar>
      </w:tblPr>
      <w:tblGrid>
        <w:gridCol w:w="2733"/>
        <w:gridCol w:w="6322"/>
      </w:tblGrid>
      <w:tr>
        <w:trPr/>
        <w:tc>
          <w:tcPr>
            <w:tcW w:w="2733"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Specimen</w:t>
            </w:r>
          </w:p>
        </w:tc>
        <w:tc>
          <w:tcPr>
            <w:tcW w:w="632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lang w:val="en-IE"/>
              </w:rPr>
              <w:t>Specimen requirements</w:t>
            </w:r>
          </w:p>
        </w:tc>
      </w:tr>
      <w:tr>
        <w:trPr>
          <w:trHeight w:val="68" w:hRule="atLeast"/>
        </w:trPr>
        <w:tc>
          <w:tcPr>
            <w:tcW w:w="2733" w:type="dxa"/>
            <w:tcBorders>
              <w:top w:val="single" w:sz="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Bronchial brushings</w:t>
            </w:r>
          </w:p>
        </w:tc>
        <w:tc>
          <w:tcPr>
            <w:tcW w:w="6322" w:type="dxa"/>
            <w:tcBorders>
              <w:top w:val="single" w:sz="2" w:space="0" w:color="000000"/>
              <w:start w:val="single" w:sz="6" w:space="0" w:color="000000"/>
              <w:bottom w:val="single" w:sz="6" w:space="0" w:color="000000"/>
              <w:end w:val="single" w:sz="12" w:space="0" w:color="000000"/>
            </w:tcBorders>
          </w:tcPr>
          <w:p>
            <w:pPr>
              <w:pStyle w:val="Normal"/>
              <w:widowControl w:val="false"/>
              <w:numPr>
                <w:ilvl w:val="0"/>
                <w:numId w:val="6"/>
              </w:numPr>
              <w:tabs>
                <w:tab w:val="clear" w:pos="709"/>
              </w:tabs>
              <w:bidi w:val="0"/>
              <w:spacing w:lineRule="auto" w:line="240" w:before="0" w:after="0"/>
              <w:ind w:start="360" w:end="0" w:hanging="360"/>
              <w:jc w:val="start"/>
              <w:rPr>
                <w:lang w:val="en-IE"/>
              </w:rPr>
            </w:pPr>
            <w:r>
              <w:rPr>
                <w:lang w:val="en-IE"/>
              </w:rPr>
              <w:t>Place material in a sterile container labelled with</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patient and specimen details, including the time</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of specimen collection.</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7"/>
              </w:numPr>
              <w:tabs>
                <w:tab w:val="clear" w:pos="709"/>
              </w:tabs>
              <w:bidi w:val="0"/>
              <w:spacing w:lineRule="auto" w:line="240" w:before="0" w:after="0"/>
              <w:ind w:start="360" w:end="0" w:hanging="360"/>
              <w:jc w:val="start"/>
              <w:rPr>
                <w:lang w:val="en-IE"/>
              </w:rPr>
            </w:pPr>
            <w:r>
              <w:rPr>
                <w:lang w:val="en-IE"/>
              </w:rPr>
            </w:r>
          </w:p>
        </w:tc>
      </w:tr>
      <w:tr>
        <w:trPr/>
        <w:tc>
          <w:tcPr>
            <w:tcW w:w="2733"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Fluids</w:t>
            </w:r>
          </w:p>
          <w:p>
            <w:pPr>
              <w:pStyle w:val="Normal"/>
              <w:widowControl w:val="false"/>
              <w:tabs>
                <w:tab w:val="clear" w:pos="709"/>
              </w:tabs>
              <w:bidi w:val="0"/>
              <w:spacing w:lineRule="auto" w:line="240" w:before="0" w:after="0"/>
              <w:jc w:val="start"/>
              <w:rPr>
                <w:lang w:val="en-IE"/>
              </w:rPr>
            </w:pPr>
            <w:r>
              <w:rPr>
                <w:b/>
                <w:lang w:val="en-IE"/>
              </w:rPr>
              <w:t>(Pleural, Ascitic etc.)</w:t>
            </w:r>
          </w:p>
          <w:p>
            <w:pPr>
              <w:pStyle w:val="Normal"/>
              <w:widowControl w:val="false"/>
              <w:tabs>
                <w:tab w:val="clear" w:pos="709"/>
              </w:tabs>
              <w:bidi w:val="0"/>
              <w:spacing w:lineRule="auto" w:line="240" w:before="0" w:after="0"/>
              <w:jc w:val="start"/>
              <w:rPr>
                <w:b/>
                <w:lang w:val="en-IE"/>
              </w:rPr>
            </w:pPr>
            <w:r>
              <w:rPr>
                <w:b/>
                <w:lang w:val="en-IE"/>
              </w:rPr>
            </w:r>
          </w:p>
        </w:tc>
        <w:tc>
          <w:tcPr>
            <w:tcW w:w="6322" w:type="dxa"/>
            <w:tcBorders>
              <w:top w:val="single" w:sz="6" w:space="0" w:color="000000"/>
              <w:start w:val="single" w:sz="6" w:space="0" w:color="000000"/>
              <w:bottom w:val="single" w:sz="4" w:space="0" w:color="000000"/>
              <w:end w:val="single" w:sz="12" w:space="0" w:color="000000"/>
            </w:tcBorders>
          </w:tcPr>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Place material in a sterile container labelled with patient and specimen details, including the time of specimen collection.</w:t>
            </w:r>
          </w:p>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At least 20 mls of fluid is required for diagnosis.</w:t>
            </w:r>
          </w:p>
        </w:tc>
      </w:tr>
      <w:tr>
        <w:trPr>
          <w:trHeight w:val="1119"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Urine</w:t>
            </w:r>
          </w:p>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lang w:val="en-IE"/>
              </w:rPr>
              <w:t>-    Total voided specimen is required for cytology.</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The first morning specimen is not suitable.</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Place in a container labelled with patient and specimen details.</w:t>
            </w:r>
          </w:p>
        </w:tc>
      </w:tr>
      <w:tr>
        <w:trPr>
          <w:trHeight w:val="53"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Fine Needle Aspiration Cytology/EUS/EBUS</w:t>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szCs w:val="28"/>
                <w:lang w:val="en-IE"/>
              </w:rPr>
              <w:t>Sample from EUS/EBUS is sent to the cytology lab in cytolyt (available in the lab – Ext 2640)</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Cerebrospinal Fluid for Cytology.</w:t>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lang w:val="en-IE"/>
              </w:rPr>
            </w:pPr>
            <w:r>
              <w:rPr>
                <w:lang w:val="en-IE"/>
              </w:rPr>
              <w:t>Specimen must be collected in a sterile container labelled with patient and specimen details and delivered to the Neuropathology laboratory.</w:t>
            </w:r>
          </w:p>
        </w:tc>
      </w:tr>
      <w:tr>
        <w:trPr/>
        <w:tc>
          <w:tcPr>
            <w:tcW w:w="2733"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Flow Cytometry*</w:t>
            </w:r>
          </w:p>
        </w:tc>
        <w:tc>
          <w:tcPr>
            <w:tcW w:w="6322" w:type="dxa"/>
            <w:tcBorders>
              <w:top w:val="single" w:sz="6" w:space="0" w:color="000000"/>
              <w:start w:val="single" w:sz="6" w:space="0" w:color="000000"/>
              <w:bottom w:val="single" w:sz="12"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b/>
                <w:szCs w:val="26"/>
                <w:u w:val="single"/>
              </w:rPr>
            </w:pPr>
            <w:r>
              <w:rPr>
                <w:b/>
                <w:i/>
              </w:rPr>
              <w:t>Cytometry placed directly into RPMI are viable for up to 18Hrs</w:t>
            </w:r>
            <w:r>
              <w:rPr>
                <w:i/>
              </w:rPr>
              <w:t>. (Contact Cytology on Ext. 2640)</w:t>
            </w:r>
          </w:p>
        </w:tc>
      </w:tr>
    </w:tbl>
    <w:p>
      <w:pPr>
        <w:pStyle w:val="Normal"/>
        <w:widowControl w:val="false"/>
        <w:bidi w:val="0"/>
        <w:spacing w:lineRule="auto" w:line="240" w:before="0" w:after="0"/>
        <w:jc w:val="start"/>
        <w:rPr>
          <w:b/>
          <w:szCs w:val="26"/>
          <w:u w:val="single"/>
        </w:rPr>
      </w:pPr>
      <w:r>
        <w:rPr/>
        <w:t>* Specimens referred out from Beaumont Hospital - the results of these tests are not covered by the scope of Beaumont Hospital Histopathology Department ISO15189 accreditation</w:t>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numPr>
          <w:ilvl w:val="0"/>
          <w:numId w:val="13"/>
        </w:numPr>
        <w:shd w:fill="FFFFFF"/>
        <w:bidi w:val="0"/>
        <w:spacing w:lineRule="auto" w:line="240" w:before="0" w:after="0"/>
        <w:ind w:start="720" w:end="0" w:hanging="360"/>
        <w:jc w:val="start"/>
        <w:rPr>
          <w:lang w:val="en-IE"/>
        </w:rPr>
      </w:pPr>
      <w:r>
        <w:rPr>
          <w:lang w:val="en-IE"/>
        </w:rPr>
      </w:r>
    </w:p>
    <w:p>
      <w:pPr>
        <w:pStyle w:val="Heading3"/>
        <w:numPr>
          <w:ilvl w:val="2"/>
          <w:numId w:val="10"/>
        </w:numPr>
        <w:tabs>
          <w:tab w:val="left" w:pos="1134" w:leader="none"/>
          <w:tab w:val="left" w:pos="2574" w:leader="none"/>
        </w:tabs>
        <w:bidi w:val="0"/>
        <w:spacing w:lineRule="auto" w:line="240"/>
        <w:ind w:start="1440" w:end="0" w:hanging="720"/>
        <w:jc w:val="start"/>
        <w:rPr>
          <w:b/>
          <w:szCs w:val="26"/>
          <w:u w:val="single"/>
        </w:rPr>
      </w:pPr>
      <w:bookmarkStart w:id="116" w:name="_Toc196476822"/>
      <w:bookmarkStart w:id="117" w:name="_Toc368598710"/>
      <w:bookmarkEnd w:id="116"/>
      <w:bookmarkEnd w:id="117"/>
      <w:r>
        <w:rPr/>
        <w:t>Reports issued/Expected Turn Around Times (TAT)</w:t>
      </w:r>
    </w:p>
    <w:p>
      <w:pPr>
        <w:pStyle w:val="Heading4"/>
        <w:numPr>
          <w:ilvl w:val="3"/>
          <w:numId w:val="10"/>
        </w:numPr>
        <w:bidi w:val="0"/>
        <w:spacing w:lineRule="auto" w:line="240"/>
        <w:ind w:start="1980" w:end="0" w:hanging="1080"/>
        <w:jc w:val="start"/>
        <w:rPr>
          <w:b/>
          <w:szCs w:val="26"/>
          <w:u w:val="single"/>
        </w:rPr>
      </w:pPr>
      <w:r>
        <w:rPr/>
        <w:t>Turn Around Times</w:t>
      </w:r>
    </w:p>
    <w:p>
      <w:pPr>
        <w:pStyle w:val="Normal"/>
        <w:shd w:fill="FFFFFF"/>
        <w:bidi w:val="0"/>
        <w:spacing w:lineRule="auto" w:line="240"/>
        <w:jc w:val="start"/>
        <w:rPr>
          <w:b/>
          <w:szCs w:val="26"/>
          <w:u w:val="single"/>
        </w:rPr>
      </w:pPr>
      <w:r>
        <w:rPr/>
        <w:t xml:space="preserve">The following table lists the turn-around-times for H&amp;I reports: </w:t>
      </w:r>
    </w:p>
    <w:tbl>
      <w:tblPr>
        <w:tblW w:w="9223" w:type="dxa"/>
        <w:jc w:val="center"/>
        <w:tblInd w:w="0" w:type="dxa"/>
        <w:tblLayout w:type="fixed"/>
        <w:tblCellMar>
          <w:top w:w="0" w:type="dxa"/>
          <w:start w:w="5" w:type="dxa"/>
          <w:bottom w:w="0" w:type="dxa"/>
          <w:end w:w="5" w:type="dxa"/>
        </w:tblCellMar>
      </w:tblPr>
      <w:tblGrid>
        <w:gridCol w:w="4704"/>
        <w:gridCol w:w="4518"/>
      </w:tblGrid>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TESTS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TURN AROUND TIMES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Solid Organ Transplant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3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2-4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 HLA typing requests for emergency transplantation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if requested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NHISSOT Patient report for the transplant clinic</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 from request to issuing a report</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Transplant pool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2-6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Deceased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Potential donor recipient list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renal transplants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pancreatic/cardiothoracic transplants. Time taken from receipt of bloods in H&amp;I laboratory and potential names for crossmatch given to the on-call scientist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6.5 hours for processing a single donor with a standard workup of a maximum 4 names. This time may change due to additional names or for technical issues. Users will be informed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Living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1</w:t>
            </w:r>
            <w:r>
              <w:rPr>
                <w:szCs w:val="24"/>
                <w:vertAlign w:val="superscript"/>
              </w:rPr>
              <w:t>st</w:t>
            </w:r>
            <w:r>
              <w:rPr>
                <w:szCs w:val="24"/>
              </w:rPr>
              <w:t xml:space="preserve"> work-up                   4 weeks</w:t>
            </w:r>
          </w:p>
          <w:p>
            <w:pPr>
              <w:pStyle w:val="Normal"/>
              <w:widowControl w:val="false"/>
              <w:tabs>
                <w:tab w:val="clear" w:pos="709"/>
              </w:tabs>
              <w:bidi w:val="0"/>
              <w:spacing w:lineRule="auto" w:line="240" w:before="0" w:after="0"/>
              <w:jc w:val="start"/>
              <w:rPr>
                <w:b/>
                <w:szCs w:val="26"/>
                <w:u w:val="single"/>
              </w:rPr>
            </w:pPr>
            <w:r>
              <w:rPr>
                <w:szCs w:val="24"/>
              </w:rPr>
              <w:t>2</w:t>
            </w:r>
            <w:r>
              <w:rPr>
                <w:szCs w:val="24"/>
                <w:vertAlign w:val="superscript"/>
              </w:rPr>
              <w:t>nd</w:t>
            </w:r>
            <w:r>
              <w:rPr>
                <w:szCs w:val="24"/>
              </w:rPr>
              <w:t xml:space="preserve"> work-up                  3 weeks</w:t>
            </w:r>
          </w:p>
          <w:p>
            <w:pPr>
              <w:pStyle w:val="Normal"/>
              <w:widowControl w:val="false"/>
              <w:tabs>
                <w:tab w:val="clear" w:pos="709"/>
              </w:tabs>
              <w:bidi w:val="0"/>
              <w:spacing w:lineRule="auto" w:line="240" w:before="0" w:after="0"/>
              <w:jc w:val="start"/>
              <w:rPr>
                <w:b/>
                <w:szCs w:val="26"/>
                <w:u w:val="single"/>
              </w:rPr>
            </w:pPr>
            <w:r>
              <w:rPr>
                <w:szCs w:val="24"/>
              </w:rPr>
              <w:t>Final work-up              48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Autocrossmatch</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days</w:t>
            </w:r>
          </w:p>
        </w:tc>
      </w:tr>
      <w:tr>
        <w:trPr>
          <w:trHeight w:val="2027" w:hRule="atLeast"/>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w:t>
            </w:r>
          </w:p>
          <w:p>
            <w:pPr>
              <w:pStyle w:val="Normal"/>
              <w:widowControl w:val="false"/>
              <w:tabs>
                <w:tab w:val="clear" w:pos="709"/>
              </w:tabs>
              <w:bidi w:val="0"/>
              <w:spacing w:lineRule="auto" w:line="240" w:before="0" w:after="0"/>
              <w:jc w:val="start"/>
              <w:rPr>
                <w:b/>
                <w:szCs w:val="26"/>
                <w:u w:val="single"/>
              </w:rPr>
            </w:pPr>
            <w:r>
              <w:rPr>
                <w:szCs w:val="24"/>
              </w:rPr>
              <w:t>Non Urgent.</w:t>
            </w:r>
          </w:p>
          <w:p>
            <w:pPr>
              <w:pStyle w:val="Normal"/>
              <w:widowControl w:val="false"/>
              <w:tabs>
                <w:tab w:val="clear" w:pos="709"/>
              </w:tabs>
              <w:bidi w:val="0"/>
              <w:spacing w:lineRule="auto" w:line="240" w:before="0" w:after="0"/>
              <w:jc w:val="start"/>
              <w:rPr>
                <w:b/>
                <w:szCs w:val="26"/>
                <w:u w:val="single"/>
              </w:rPr>
            </w:pPr>
            <w:r>
              <w:rPr>
                <w:i/>
                <w:sz w:val="24"/>
                <w:szCs w:val="24"/>
              </w:rPr>
              <w:t>If contacted by the referring clinician for a more timely report the sample can be set on the next screen</w:t>
            </w:r>
            <w:r>
              <w:rPr>
                <w:sz w:val="24"/>
                <w:szCs w:val="24"/>
              </w:rPr>
              <w:t>.</w:t>
            </w:r>
          </w:p>
          <w:p>
            <w:pPr>
              <w:pStyle w:val="Normal"/>
              <w:widowControl w:val="false"/>
              <w:tabs>
                <w:tab w:val="clear" w:pos="709"/>
              </w:tabs>
              <w:bidi w:val="0"/>
              <w:spacing w:lineRule="auto" w:line="240" w:before="0" w:after="0"/>
              <w:jc w:val="start"/>
              <w:rPr>
                <w:b/>
                <w:szCs w:val="26"/>
                <w:u w:val="single"/>
              </w:rPr>
            </w:pPr>
            <w:r>
              <w:rPr>
                <w:szCs w:val="24"/>
              </w:rPr>
              <w:t>Further testing/ typing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w:t>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  - Urgent antibody screening  request for possible graft rejection</w:t>
            </w:r>
          </w:p>
          <w:p>
            <w:pPr>
              <w:pStyle w:val="Normal"/>
              <w:widowControl w:val="false"/>
              <w:tabs>
                <w:tab w:val="clear" w:pos="709"/>
              </w:tabs>
              <w:bidi w:val="0"/>
              <w:spacing w:lineRule="auto" w:line="240" w:before="0" w:after="0"/>
              <w:jc w:val="start"/>
              <w:rPr>
                <w:b/>
                <w:szCs w:val="26"/>
                <w:u w:val="single"/>
              </w:rPr>
            </w:pPr>
            <w:r>
              <w:rPr>
                <w:i/>
                <w:sz w:val="24"/>
                <w:szCs w:val="24"/>
              </w:rPr>
              <w:t>Requires discussion with Antibody Screening Senior. The level of urgency must be stated by the referring clinician</w:t>
            </w:r>
            <w:r>
              <w:rPr>
                <w:sz w:val="24"/>
                <w:szCs w:val="24"/>
              </w:rPr>
              <w: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available if required, otherwise the sample is set on the next screen.</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disease association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BMT/HSCT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 (unless awaiting further potential donors from overseas)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B57</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partners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ABO Blood Grouping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hours</w:t>
            </w:r>
          </w:p>
        </w:tc>
      </w:tr>
    </w:tbl>
    <w:p>
      <w:pPr>
        <w:pStyle w:val="Normal"/>
        <w:widowControl w:val="false"/>
        <w:bidi w:val="0"/>
        <w:spacing w:lineRule="auto" w:line="240" w:before="0" w:after="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3"/>
        <w:numPr>
          <w:ilvl w:val="2"/>
          <w:numId w:val="23"/>
        </w:numPr>
        <w:tabs>
          <w:tab w:val="left" w:pos="1134" w:leader="none"/>
          <w:tab w:val="left" w:pos="2574" w:leader="none"/>
        </w:tabs>
        <w:bidi w:val="0"/>
        <w:spacing w:lineRule="auto" w:line="240"/>
        <w:ind w:start="1440" w:end="0" w:hanging="720"/>
        <w:jc w:val="start"/>
        <w:rPr>
          <w:b/>
          <w:szCs w:val="26"/>
          <w:u w:val="single"/>
        </w:rPr>
      </w:pPr>
      <w:bookmarkStart w:id="118" w:name="_Toc196476831"/>
      <w:bookmarkEnd w:id="118"/>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9"/>
        <w:gridCol w:w="2550"/>
        <w:gridCol w:w="1303"/>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No specific ranges reported on analyser for smoker/non/smoker</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Plain</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jc w:val="start"/>
        <w:rPr>
          <w:b/>
          <w:szCs w:val="26"/>
          <w:u w:val="single"/>
        </w:rPr>
      </w:pPr>
      <w:r>
        <w:rPr>
          <w:b/>
          <w:szCs w:val="26"/>
          <w:u w:val="single"/>
        </w:rPr>
      </w:r>
      <w:r>
        <w:br w:type="page"/>
      </w:r>
    </w:p>
    <w:p>
      <w:pPr>
        <w:pStyle w:val="Heading3"/>
        <w:numPr>
          <w:ilvl w:val="2"/>
          <w:numId w:val="22"/>
        </w:numPr>
        <w:tabs>
          <w:tab w:val="left" w:pos="1134" w:leader="none"/>
          <w:tab w:val="left" w:pos="2574" w:leader="none"/>
        </w:tabs>
        <w:bidi w:val="0"/>
        <w:spacing w:lineRule="auto" w:line="240"/>
        <w:ind w:start="1440" w:end="0" w:hanging="720"/>
        <w:jc w:val="start"/>
        <w:rPr>
          <w:lang w:val="en-IE"/>
        </w:rPr>
      </w:pPr>
      <w:bookmarkStart w:id="119" w:name="_Toc53067364"/>
      <w:bookmarkStart w:id="120" w:name="_Toc196476794"/>
      <w:bookmarkStart w:id="121" w:name="_Ref368216428"/>
      <w:bookmarkEnd w:id="119"/>
      <w:bookmarkEnd w:id="120"/>
      <w:bookmarkEnd w:id="121"/>
      <w:r>
        <w:rPr>
          <w:lang w:val="en-IE"/>
        </w:rPr>
        <w:t>Specimen Requirements for Neuropathology</w:t>
      </w:r>
    </w:p>
    <w:tbl>
      <w:tblPr>
        <w:tblW w:w="9438" w:type="dxa"/>
        <w:jc w:val="center"/>
        <w:tblInd w:w="0" w:type="dxa"/>
        <w:tblLayout w:type="fixed"/>
        <w:tblCellMar>
          <w:top w:w="0" w:type="dxa"/>
          <w:start w:w="5" w:type="dxa"/>
          <w:bottom w:w="0" w:type="dxa"/>
          <w:end w:w="5" w:type="dxa"/>
        </w:tblCellMar>
      </w:tblPr>
      <w:tblGrid>
        <w:gridCol w:w="2588"/>
        <w:gridCol w:w="3226"/>
        <w:gridCol w:w="3624"/>
      </w:tblGrid>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Tissue Type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Means of Delivery to Neuropathology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Comment</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Specimen for urgent frozen section</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The Neuropathology consultation form must include a bleep number or intercom number to deliver the report</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Muscle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                   Do </w:t>
            </w:r>
            <w:r>
              <w:rPr>
                <w:u w:val="single"/>
              </w:rPr>
              <w:t>not</w:t>
            </w:r>
            <w:r>
              <w:rPr/>
              <w:t xml:space="preserve"> fix in formalin.           Hand deliver immediately.</w:t>
            </w:r>
          </w:p>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Nerve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w:t>
            </w:r>
          </w:p>
          <w:p>
            <w:pPr>
              <w:pStyle w:val="Normal"/>
              <w:widowControl w:val="false"/>
              <w:tabs>
                <w:tab w:val="clear" w:pos="709"/>
              </w:tabs>
              <w:bidi w:val="0"/>
              <w:spacing w:lineRule="auto" w:line="240" w:before="0" w:after="0"/>
              <w:jc w:val="start"/>
              <w:rPr>
                <w:b/>
                <w:szCs w:val="26"/>
                <w:u w:val="single"/>
              </w:rPr>
            </w:pPr>
            <w:r>
              <w:rPr/>
              <w:t xml:space="preserve">Do </w:t>
            </w:r>
            <w:r>
              <w:rPr>
                <w:u w:val="single"/>
              </w:rPr>
              <w:t>not</w:t>
            </w:r>
            <w:r>
              <w:rPr/>
              <w:t xml:space="preserve"> fix in formalin.                          Hand deliver immediately. 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Hippocampus &amp; Amygdala</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Lobe (Epilepsy)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Artery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Immediately/ASAP</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Laminectomy/Disc</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Tumour fluid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RT-QuIC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t>CJD Questionnaire must accompany specimen.</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Autopsy &amp; Biopsy tissue (e.g/ Brain  / Tonsil)  for Prion Protein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 </w:t>
            </w:r>
            <w:r>
              <w:rPr/>
              <w:t>Hand delivery immediately.</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Contact Rachel Howley  017977766</w:t>
            </w:r>
          </w:p>
        </w:tc>
      </w:tr>
      <w:tr>
        <w:trPr>
          <w:cantSplit w:val="true"/>
        </w:trPr>
        <w:tc>
          <w:tcPr>
            <w:tcW w:w="2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All other tissue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Sent in 10% neutral buffered formalin indicating volume.</w:t>
            </w:r>
          </w:p>
        </w:tc>
        <w:tc>
          <w:tcPr>
            <w:tcW w:w="362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bl>
    <w:p>
      <w:pPr>
        <w:pStyle w:val="Normal"/>
        <w:widowControl w:val="false"/>
        <w:bidi w:val="0"/>
        <w:spacing w:lineRule="auto" w:line="240"/>
        <w:jc w:val="start"/>
        <w:rPr>
          <w:b/>
          <w:szCs w:val="26"/>
          <w:u w:val="single"/>
        </w:rPr>
      </w:pPr>
      <w:r>
        <w:rPr>
          <w:rStyle w:val="BookTitle"/>
          <w:rFonts w:eastAsia="Times New Roman" w:cs="Times New Roman"/>
        </w:rPr>
        <w:t xml:space="preserve">* </w:t>
      </w:r>
      <w:r>
        <w:rPr/>
        <w:t>Specimens referred out from Beaumont Hospital - the results of these tests are not covered by the scope of Beaumont Hospital Histopathology Department ISO15189 accreditation.</w:t>
      </w:r>
    </w:p>
    <w:p>
      <w:pPr>
        <w:pStyle w:val="Normal"/>
        <w:bidi w:val="0"/>
        <w:spacing w:lineRule="auto" w:line="240"/>
        <w:jc w:val="start"/>
        <w:rPr>
          <w:b/>
          <w:szCs w:val="26"/>
          <w:u w:val="single"/>
        </w:rPr>
      </w:pPr>
      <w:r>
        <w:rPr>
          <w:b/>
          <w:szCs w:val="26"/>
          <w:u w:val="single"/>
        </w:rPr>
      </w:r>
    </w:p>
    <w:p>
      <w:pPr>
        <w:pStyle w:val="Heading2"/>
        <w:numPr>
          <w:ilvl w:val="1"/>
          <w:numId w:val="23"/>
        </w:numPr>
        <w:bidi w:val="0"/>
        <w:spacing w:lineRule="auto" w:line="240"/>
        <w:ind w:start="1140" w:end="0" w:hanging="600"/>
        <w:jc w:val="start"/>
        <w:rPr>
          <w:b/>
          <w:szCs w:val="26"/>
          <w:u w:val="single"/>
        </w:rPr>
      </w:pPr>
      <w:bookmarkStart w:id="122" w:name="_Toc196476805"/>
      <w:bookmarkStart w:id="123" w:name="_Toc368598689"/>
      <w:bookmarkEnd w:id="122"/>
      <w:bookmarkEnd w:id="123"/>
      <w:r>
        <w:rPr/>
        <w:t>NHISSOT</w:t>
      </w:r>
    </w:p>
    <w:p>
      <w:pPr>
        <w:pStyle w:val="Heading3"/>
        <w:numPr>
          <w:ilvl w:val="2"/>
          <w:numId w:val="23"/>
        </w:numPr>
        <w:tabs>
          <w:tab w:val="left" w:pos="1134" w:leader="none"/>
          <w:tab w:val="left" w:pos="2574" w:leader="none"/>
        </w:tabs>
        <w:bidi w:val="0"/>
        <w:spacing w:lineRule="auto" w:line="240"/>
        <w:ind w:start="1440" w:end="0" w:hanging="720"/>
        <w:jc w:val="start"/>
        <w:rPr>
          <w:b/>
          <w:szCs w:val="26"/>
          <w:u w:val="single"/>
        </w:rPr>
      </w:pPr>
      <w:bookmarkStart w:id="124" w:name="_Toc196476806"/>
      <w:bookmarkStart w:id="125" w:name="_Toc135826461"/>
      <w:bookmarkEnd w:id="124"/>
      <w:bookmarkEnd w:id="125"/>
      <w:r>
        <w:rPr/>
        <w:t>How to Order Tests</w:t>
      </w:r>
      <w:bookmarkStart w:id="126" w:name="_Toc135826671"/>
      <w:bookmarkStart w:id="127" w:name="_Toc135826881"/>
      <w:bookmarkStart w:id="128" w:name="_Toc135826462"/>
      <w:bookmarkStart w:id="129" w:name="_Toc135826672"/>
      <w:bookmarkStart w:id="130" w:name="_Toc135826882"/>
      <w:bookmarkStart w:id="131" w:name="_Toc368598691"/>
    </w:p>
    <w:p>
      <w:pPr>
        <w:pStyle w:val="Normal"/>
        <w:bidi w:val="0"/>
        <w:spacing w:lineRule="auto" w:line="240"/>
        <w:jc w:val="start"/>
        <w:rPr>
          <w:b/>
          <w:szCs w:val="26"/>
          <w:u w:val="single"/>
        </w:rPr>
      </w:pPr>
      <w:r>
        <w:rPr/>
        <w:t xml:space="preserve">As per the EFI standard for sample acceptance, all samples received and accepted into the laboratory </w:t>
      </w:r>
      <w:r>
        <w:rPr>
          <w:b/>
        </w:rPr>
        <w:t xml:space="preserve">must </w:t>
      </w:r>
      <w:r>
        <w:rPr/>
        <w:t xml:space="preserve">have the patient’s name, date of birth and sample date. Samples that do not comply with this EFI standard will be rejected and repeat samples will be required. </w:t>
      </w:r>
    </w:p>
    <w:p>
      <w:pPr>
        <w:pStyle w:val="ListParagraph"/>
        <w:numPr>
          <w:ilvl w:val="0"/>
          <w:numId w:val="15"/>
        </w:numPr>
        <w:bidi w:val="0"/>
        <w:spacing w:lineRule="auto" w:line="240"/>
        <w:jc w:val="start"/>
        <w:rPr>
          <w:b/>
          <w:szCs w:val="26"/>
          <w:u w:val="single"/>
        </w:rPr>
      </w:pPr>
      <w:r>
        <w:rPr/>
        <w:t xml:space="preserve">HLA Typing: The Histocompatibility Testing Request and Consent Form [H&amp;I-Form-509] </w:t>
      </w:r>
      <w:r>
        <w:rPr>
          <w:b/>
        </w:rPr>
        <w:t>must</w:t>
      </w:r>
      <w:r>
        <w:rPr/>
        <w:t xml:space="preserve"> be completed and must include the patient name, date of birth, requesting clinician/consultant, centre and sample date. This form should accompany the blood samples</w:t>
      </w:r>
    </w:p>
    <w:p>
      <w:pPr>
        <w:pStyle w:val="ListParagraph"/>
        <w:numPr>
          <w:ilvl w:val="0"/>
          <w:numId w:val="15"/>
        </w:numPr>
        <w:bidi w:val="0"/>
        <w:spacing w:lineRule="auto" w:line="240"/>
        <w:jc w:val="start"/>
        <w:rPr>
          <w:b/>
          <w:szCs w:val="26"/>
          <w:u w:val="single"/>
        </w:rPr>
      </w:pPr>
      <w:r>
        <w:rPr/>
        <w:t xml:space="preserve">It is the responsibility of the requestor to ensure that the patient has read and understood the permission statement on the consent form. This must be signed by the consenting individual. </w:t>
      </w:r>
    </w:p>
    <w:p>
      <w:pPr>
        <w:pStyle w:val="ListParagraph"/>
        <w:numPr>
          <w:ilvl w:val="0"/>
          <w:numId w:val="15"/>
        </w:numPr>
        <w:bidi w:val="0"/>
        <w:spacing w:lineRule="auto" w:line="240"/>
        <w:jc w:val="start"/>
        <w:rPr>
          <w:b/>
          <w:szCs w:val="26"/>
          <w:u w:val="single"/>
        </w:rPr>
      </w:pPr>
      <w:r>
        <w:rPr/>
        <w:t xml:space="preserve">HLA antibody screening: A HLA antibody screening request form must be completed [H&amp;I-Form-236]. This form may be E-mailed to </w:t>
      </w:r>
      <w:hyperlink r:id="rId26">
        <w:r>
          <w:rPr>
            <w:color w:val="0000FF"/>
            <w:u w:val="single"/>
          </w:rPr>
          <w:t>crossmatch@beaumont.ie</w:t>
        </w:r>
      </w:hyperlink>
      <w:r>
        <w:rPr/>
        <w:t xml:space="preserve"> or posted with the samples to the H&amp;I Department. </w:t>
      </w:r>
    </w:p>
    <w:p>
      <w:pPr>
        <w:pStyle w:val="ListParagraph"/>
        <w:numPr>
          <w:ilvl w:val="0"/>
          <w:numId w:val="15"/>
        </w:numPr>
        <w:bidi w:val="0"/>
        <w:spacing w:lineRule="auto" w:line="240"/>
        <w:jc w:val="start"/>
        <w:rPr>
          <w:b/>
          <w:szCs w:val="26"/>
          <w:u w:val="single"/>
        </w:rPr>
      </w:pPr>
      <w:r>
        <w:rPr/>
        <w:t xml:space="preserve">Forms for HLA typing and HLA antibody screening are available from the H&amp;I department.  Please phone or email </w:t>
      </w:r>
      <w:hyperlink r:id="rId27">
        <w:r>
          <w:rPr>
            <w:color w:val="0000FF"/>
            <w:u w:val="single"/>
          </w:rPr>
          <w:t>crossmatch@beaumont.ie</w:t>
        </w:r>
      </w:hyperlink>
      <w:r>
        <w:rPr/>
        <w:t xml:space="preserve"> if a request form is required.</w:t>
      </w:r>
    </w:p>
    <w:p>
      <w:pPr>
        <w:pStyle w:val="Heading3"/>
        <w:numPr>
          <w:ilvl w:val="2"/>
          <w:numId w:val="23"/>
        </w:numPr>
        <w:tabs>
          <w:tab w:val="left" w:pos="1134" w:leader="none"/>
          <w:tab w:val="left" w:pos="2574" w:leader="none"/>
        </w:tabs>
        <w:bidi w:val="0"/>
        <w:spacing w:lineRule="auto" w:line="240"/>
        <w:ind w:start="1440" w:end="0" w:hanging="720"/>
        <w:jc w:val="start"/>
        <w:rPr>
          <w:b/>
          <w:szCs w:val="26"/>
          <w:u w:val="single"/>
        </w:rPr>
      </w:pPr>
      <w:bookmarkStart w:id="132" w:name="_Toc196476807"/>
      <w:bookmarkEnd w:id="132"/>
      <w:r>
        <w:rPr/>
        <w:t>Repertoire of Tests</w:t>
      </w:r>
    </w:p>
    <w:tbl>
      <w:tblPr>
        <w:tblW w:w="8822" w:type="dxa"/>
        <w:jc w:val="center"/>
        <w:tblInd w:w="0" w:type="dxa"/>
        <w:tblLayout w:type="fixed"/>
        <w:tblCellMar>
          <w:top w:w="0" w:type="dxa"/>
          <w:start w:w="5" w:type="dxa"/>
          <w:bottom w:w="0" w:type="dxa"/>
          <w:end w:w="5" w:type="dxa"/>
        </w:tblCellMar>
      </w:tblPr>
      <w:tblGrid>
        <w:gridCol w:w="2732"/>
        <w:gridCol w:w="2838"/>
        <w:gridCol w:w="1685"/>
        <w:gridCol w:w="1566"/>
      </w:tblGrid>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Test</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Blood Container</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Minimum</w:t>
            </w:r>
          </w:p>
          <w:p>
            <w:pPr>
              <w:pStyle w:val="Normal"/>
              <w:widowControl w:val="false"/>
              <w:tabs>
                <w:tab w:val="clear" w:pos="709"/>
              </w:tabs>
              <w:bidi w:val="0"/>
              <w:spacing w:lineRule="auto" w:line="240" w:before="0" w:after="0"/>
              <w:jc w:val="start"/>
              <w:rPr>
                <w:lang w:val="en-IE"/>
              </w:rPr>
            </w:pPr>
            <w:r>
              <w:rPr>
                <w:b/>
                <w:sz w:val="24"/>
                <w:szCs w:val="24"/>
                <w:lang w:val="en-IE"/>
              </w:rPr>
              <w:t>Volume</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of patients for solid organ transplant</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Antibody Screening for solid organ transplant</w:t>
            </w:r>
          </w:p>
          <w:p>
            <w:pPr>
              <w:pStyle w:val="Normal"/>
              <w:widowControl w:val="false"/>
              <w:tabs>
                <w:tab w:val="clear" w:pos="709"/>
              </w:tabs>
              <w:bidi w:val="0"/>
              <w:spacing w:lineRule="auto" w:line="240" w:before="0" w:after="0"/>
              <w:jc w:val="start"/>
              <w:rPr>
                <w:b/>
                <w:szCs w:val="26"/>
                <w:u w:val="single"/>
              </w:rPr>
            </w:pPr>
            <w:r>
              <w:rPr>
                <w:sz w:val="24"/>
                <w:szCs w:val="24"/>
              </w:rPr>
              <w:t>Pre transplant / Post transplant / Antibody Mediated Rejection query</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Paeds: 3ml</w:t>
            </w:r>
          </w:p>
          <w:p>
            <w:pPr>
              <w:pStyle w:val="Normal"/>
              <w:widowControl w:val="false"/>
              <w:tabs>
                <w:tab w:val="clear" w:pos="709"/>
              </w:tabs>
              <w:bidi w:val="0"/>
              <w:spacing w:lineRule="auto" w:line="240" w:before="0" w:after="0"/>
              <w:jc w:val="start"/>
              <w:rPr>
                <w:b/>
                <w:szCs w:val="26"/>
                <w:u w:val="single"/>
              </w:rPr>
            </w:pPr>
            <w:r>
              <w:rPr>
                <w:sz w:val="24"/>
                <w:szCs w:val="24"/>
              </w:rPr>
              <w:t>Adult: 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ABO blood grouping of patients for solid organ transplant</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Disease Association Testing [B*27 / B*57:01/ HLA-DQ]</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Potential deceased donor work-up</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60ml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Donors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 xml:space="preserve">                 1</w:t>
            </w:r>
            <w:r>
              <w:rPr>
                <w:sz w:val="24"/>
                <w:szCs w:val="24"/>
                <w:vertAlign w:val="superscript"/>
              </w:rPr>
              <w:t xml:space="preserve">st </w:t>
            </w:r>
            <w:r>
              <w:rPr>
                <w:sz w:val="24"/>
                <w:szCs w:val="24"/>
              </w:rPr>
              <w:t>Workup</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sz w:val="24"/>
                <w:szCs w:val="24"/>
              </w:rPr>
              <w:t xml:space="preserve">                         </w:t>
            </w:r>
            <w:r>
              <w:rPr>
                <w:sz w:val="24"/>
                <w:szCs w:val="24"/>
              </w:rPr>
              <w:t>2A Workup</w:t>
            </w:r>
          </w:p>
          <w:p>
            <w:pPr>
              <w:pStyle w:val="Normal"/>
              <w:widowControl w:val="false"/>
              <w:tabs>
                <w:tab w:val="clear" w:pos="709"/>
              </w:tabs>
              <w:bidi w:val="0"/>
              <w:spacing w:lineRule="auto" w:line="240" w:before="0" w:after="0"/>
              <w:jc w:val="end"/>
              <w:rPr>
                <w:sz w:val="24"/>
                <w:szCs w:val="24"/>
              </w:rPr>
            </w:pPr>
            <w:r>
              <w:rPr>
                <w:sz w:val="24"/>
                <w:szCs w:val="24"/>
              </w:rPr>
            </w:r>
          </w:p>
          <w:p>
            <w:pPr>
              <w:pStyle w:val="Normal"/>
              <w:widowControl w:val="false"/>
              <w:tabs>
                <w:tab w:val="clear" w:pos="709"/>
              </w:tabs>
              <w:bidi w:val="0"/>
              <w:spacing w:lineRule="auto" w:line="240" w:before="0" w:after="0"/>
              <w:jc w:val="start"/>
              <w:rPr>
                <w:b/>
                <w:szCs w:val="26"/>
                <w:u w:val="single"/>
              </w:rPr>
            </w:pPr>
            <w:r>
              <w:rPr>
                <w:sz w:val="24"/>
                <w:szCs w:val="24"/>
              </w:rPr>
              <w:t xml:space="preserve">                            </w:t>
            </w:r>
            <w:r>
              <w:rPr>
                <w:sz w:val="24"/>
                <w:szCs w:val="24"/>
              </w:rPr>
              <w:t>2B Workup</w:t>
            </w:r>
          </w:p>
          <w:p>
            <w:pPr>
              <w:pStyle w:val="Normal"/>
              <w:widowControl w:val="false"/>
              <w:tabs>
                <w:tab w:val="clear" w:pos="709"/>
              </w:tabs>
              <w:bidi w:val="0"/>
              <w:spacing w:lineRule="auto" w:line="240" w:before="0" w:after="0"/>
              <w:jc w:val="start"/>
              <w:rPr>
                <w:sz w:val="24"/>
                <w:szCs w:val="24"/>
              </w:rPr>
            </w:pPr>
            <w:r>
              <w:rPr>
                <w:sz w:val="24"/>
                <w:szCs w:val="24"/>
              </w:rPr>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3</w:t>
            </w:r>
            <w:r>
              <w:rPr>
                <w:sz w:val="24"/>
                <w:szCs w:val="24"/>
                <w:vertAlign w:val="superscript"/>
              </w:rPr>
              <w:t>rd</w:t>
            </w:r>
            <w:r>
              <w:rPr>
                <w:sz w:val="24"/>
                <w:szCs w:val="24"/>
              </w:rPr>
              <w:t xml:space="preserve"> and Final Workup</w:t>
            </w:r>
          </w:p>
          <w:p>
            <w:pPr>
              <w:pStyle w:val="Normal"/>
              <w:widowControl w:val="false"/>
              <w:tabs>
                <w:tab w:val="clear" w:pos="709"/>
              </w:tabs>
              <w:bidi w:val="0"/>
              <w:spacing w:lineRule="auto" w:line="240" w:before="0" w:after="0"/>
              <w:jc w:val="start"/>
              <w:rPr>
                <w:sz w:val="24"/>
                <w:szCs w:val="24"/>
              </w:rPr>
            </w:pPr>
            <w:r>
              <w:rPr>
                <w:sz w:val="24"/>
                <w:szCs w:val="24"/>
              </w:rPr>
            </w:r>
          </w:p>
          <w:p>
            <w:pPr>
              <w:pStyle w:val="Normal"/>
              <w:widowControl w:val="false"/>
              <w:tabs>
                <w:tab w:val="clear" w:pos="709"/>
              </w:tabs>
              <w:bidi w:val="0"/>
              <w:spacing w:lineRule="auto" w:line="240" w:before="0" w:after="0"/>
              <w:jc w:val="start"/>
              <w:rPr>
                <w:sz w:val="24"/>
                <w:szCs w:val="24"/>
              </w:rPr>
            </w:pPr>
            <w:r>
              <w:rPr>
                <w:sz w:val="24"/>
                <w:szCs w:val="24"/>
              </w:rPr>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Recipients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ab/>
              <w:t>2B Workup</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3</w:t>
            </w:r>
            <w:r>
              <w:rPr>
                <w:sz w:val="24"/>
                <w:szCs w:val="24"/>
                <w:vertAlign w:val="superscript"/>
              </w:rPr>
              <w:t>rd</w:t>
            </w:r>
            <w:r>
              <w:rPr>
                <w:sz w:val="24"/>
                <w:szCs w:val="24"/>
              </w:rPr>
              <w:t xml:space="preserve"> and FinalWorkup</w:t>
            </w:r>
          </w:p>
          <w:p>
            <w:pPr>
              <w:pStyle w:val="Normal"/>
              <w:widowControl w:val="false"/>
              <w:tabs>
                <w:tab w:val="clear" w:pos="709"/>
              </w:tabs>
              <w:bidi w:val="0"/>
              <w:spacing w:lineRule="auto" w:line="240" w:before="0" w:after="0"/>
              <w:jc w:val="start"/>
              <w:rPr>
                <w:b/>
                <w:szCs w:val="26"/>
                <w:u w:val="single"/>
              </w:rPr>
            </w:pPr>
            <w:r>
              <w:rPr>
                <w:sz w:val="24"/>
                <w:szCs w:val="24"/>
              </w:rPr>
              <w:t>Clotted blood should be within 7 days of the proposed  transplant date</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Autocrossmatch</w:t>
            </w:r>
          </w:p>
          <w:p>
            <w:pPr>
              <w:pStyle w:val="Normal"/>
              <w:widowControl w:val="false"/>
              <w:tabs>
                <w:tab w:val="clear" w:pos="709"/>
              </w:tabs>
              <w:bidi w:val="0"/>
              <w:spacing w:lineRule="auto" w:line="240" w:before="0" w:after="0"/>
              <w:jc w:val="start"/>
              <w:rPr>
                <w:b/>
                <w:szCs w:val="26"/>
                <w:u w:val="single"/>
              </w:rPr>
            </w:pPr>
            <w:r>
              <w:rPr/>
            </w:r>
          </w:p>
          <w:p>
            <w:pPr>
              <w:pStyle w:val="Normal"/>
              <w:widowControl w:val="false"/>
              <w:tabs>
                <w:tab w:val="clear" w:pos="709"/>
              </w:tabs>
              <w:bidi w:val="0"/>
              <w:spacing w:lineRule="auto" w:line="240" w:before="0" w:after="0"/>
              <w:jc w:val="start"/>
              <w:rPr>
                <w:b/>
                <w:szCs w:val="26"/>
                <w:u w:val="single"/>
              </w:rPr>
            </w:pPr>
            <w:r>
              <w:rPr/>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for partners</w:t>
            </w:r>
          </w:p>
        </w:tc>
        <w:tc>
          <w:tcPr>
            <w:tcW w:w="16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bl>
    <w:p>
      <w:pPr>
        <w:pStyle w:val="Normal"/>
        <w:widowControl w:val="false"/>
        <w:bidi w:val="0"/>
        <w:spacing w:lineRule="auto" w:line="240"/>
        <w:jc w:val="start"/>
        <w:rPr>
          <w:b/>
          <w:szCs w:val="26"/>
          <w:u w:val="single"/>
        </w:rPr>
      </w:pPr>
      <w:r>
        <w:rPr>
          <w:b/>
          <w:szCs w:val="26"/>
          <w:u w:val="single"/>
        </w:rPr>
      </w:r>
    </w:p>
    <w:p>
      <w:pPr>
        <w:pStyle w:val="Heading3"/>
        <w:numPr>
          <w:ilvl w:val="2"/>
          <w:numId w:val="24"/>
        </w:numPr>
        <w:tabs>
          <w:tab w:val="left" w:pos="1134" w:leader="none"/>
          <w:tab w:val="left" w:pos="2574" w:leader="none"/>
        </w:tabs>
        <w:bidi w:val="0"/>
        <w:spacing w:lineRule="auto" w:line="240"/>
        <w:ind w:start="1440" w:end="0" w:hanging="720"/>
        <w:jc w:val="start"/>
        <w:rPr>
          <w:b/>
          <w:szCs w:val="26"/>
          <w:u w:val="single"/>
        </w:rPr>
      </w:pPr>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9"/>
        <w:gridCol w:w="2550"/>
        <w:gridCol w:w="1303"/>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No specific ranges reported on analyser for smoker/non/smoker</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Plain</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before="0" w:after="0"/>
        <w:jc w:val="start"/>
        <w:rPr>
          <w:b/>
          <w:szCs w:val="26"/>
          <w:u w:val="single"/>
        </w:rPr>
      </w:pPr>
      <w:r>
        <w:rPr>
          <w:b/>
          <w:szCs w:val="26"/>
          <w:u w:val="single"/>
        </w:rPr>
      </w:r>
      <w:bookmarkStart w:id="133" w:name="_GoBack_Copy_2"/>
      <w:bookmarkStart w:id="134" w:name="_GoBack_Copy_3"/>
      <w:bookmarkStart w:id="135" w:name="_GoBack_Copy_2"/>
      <w:bookmarkStart w:id="136" w:name="_GoBack_Copy_3"/>
      <w:bookmarkEnd w:id="135"/>
      <w:bookmarkEnd w:id="136"/>
    </w:p>
    <w:p>
      <w:pPr>
        <w:pStyle w:val="Normal"/>
        <w:bidi w:val="0"/>
        <w:jc w:val="start"/>
        <w:rPr>
          <w:b/>
          <w:szCs w:val="26"/>
          <w:u w:val="single"/>
        </w:rPr>
      </w:pPr>
      <w:r>
        <w:rPr>
          <w:b/>
          <w:szCs w:val="26"/>
          <w:u w:val="single"/>
        </w:rPr>
      </w:r>
    </w:p>
    <w:p>
      <w:pPr>
        <w:sectPr>
          <w:type w:val="continuous"/>
          <w:pgSz w:w="11906" w:h="16838"/>
          <w:pgMar w:left="1418" w:right="1440" w:gutter="0" w:header="720" w:top="1134" w:footer="720" w:bottom="777"/>
          <w:formProt w:val="false"/>
          <w:textDirection w:val="lrTb"/>
          <w:docGrid w:type="default" w:linePitch="312" w:charSpace="4294961151"/>
        </w:sectPr>
      </w:pPr>
    </w:p>
    <w:p>
      <w:pPr>
        <w:pStyle w:val="Normal"/>
        <w:bidi w:val="0"/>
        <w:jc w:val="start"/>
        <w:rPr>
          <w:b/>
          <w:szCs w:val="26"/>
          <w:u w:val="single"/>
        </w:rPr>
      </w:pPr>
      <w:r>
        <w:rPr/>
      </w:r>
      <w:bookmarkStart w:id="137" w:name="OLE_LINK3_Copy_1"/>
      <w:bookmarkStart w:id="138" w:name="OLE_LINK3_Copy_1"/>
      <w:bookmarkEnd w:id="70"/>
      <w:bookmarkEnd w:id="71"/>
      <w:bookmarkEnd w:id="72"/>
      <w:bookmarkEnd w:id="73"/>
      <w:bookmarkEnd w:id="74"/>
      <w:bookmarkEnd w:id="76"/>
      <w:bookmarkEnd w:id="77"/>
      <w:bookmarkEnd w:id="80"/>
      <w:bookmarkEnd w:id="81"/>
      <w:bookmarkEnd w:id="82"/>
      <w:bookmarkEnd w:id="83"/>
      <w:bookmarkEnd w:id="84"/>
      <w:bookmarkEnd w:id="85"/>
      <w:bookmarkEnd w:id="93"/>
      <w:bookmarkEnd w:id="94"/>
      <w:bookmarkEnd w:id="95"/>
      <w:bookmarkEnd w:id="96"/>
      <w:bookmarkEnd w:id="126"/>
      <w:bookmarkEnd w:id="127"/>
      <w:bookmarkEnd w:id="128"/>
      <w:bookmarkEnd w:id="129"/>
      <w:bookmarkEnd w:id="130"/>
      <w:bookmarkEnd w:id="131"/>
      <w:bookmarkEnd w:id="138"/>
    </w:p>
    <w:sectPr>
      <w:type w:val="continuous"/>
      <w:pgSz w:w="11906" w:h="16838"/>
      <w:pgMar w:left="1418" w:right="1440" w:gutter="0" w:header="720" w:top="1134" w:footer="720" w:bottom="777"/>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Bold">
    <w:charset w:val="01" w:characterSet="utf-8"/>
    <w:family w:val="roman"/>
    <w:pitch w:val="variable"/>
  </w:font>
  <w:font w:name="Times New Roman Bold">
    <w:charset w:val="01" w:characterSet="utf-8"/>
    <w:family w:val="swiss"/>
    <w:pitch w:val="variable"/>
  </w:font>
  <w:font w:name="Times New Roman">
    <w:charset w:val="01" w:characterSet="utf-8"/>
    <w:family w:val="roman"/>
    <w:pitch w:val="variable"/>
  </w:font>
  <w:font w:name="Arial Terminal">
    <w:charset w:val="01" w:characterSet="utf-8"/>
    <w:family w:val="roman"/>
    <w:pitch w:val="variable"/>
  </w:font>
  <w:font w:name="Courier New">
    <w:charset w:val="01" w:characterSet="utf-8"/>
    <w:family w:val="roman"/>
    <w:pitch w:val="variable"/>
  </w:font>
  <w:font w:name="Thorndale">
    <w:altName w:val="Times New Roman"/>
    <w:charset w:val="01" w:characterSet="utf-8"/>
    <w:family w:val="roman"/>
    <w:pitch w:val="variable"/>
  </w:font>
  <w:font w:name="StarSymbol">
    <w:altName w:val="Arial Unicode MS"/>
    <w:charset w:val="01" w:characterSet="utf-8"/>
    <w:family w:val="roman"/>
    <w:pitch w:val="variable"/>
  </w:font>
  <w:font w:name="Symbol">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1" w:characterSet="utf-8"/>
    <w:family w:val="roman"/>
    <w:pitch w:val="variable"/>
  </w:font>
  <w:font w:name="Comic Sans MS">
    <w:charset w:val="01" w:characterSet="utf-8"/>
    <w:family w:val="roman"/>
    <w:pitch w:val="variable"/>
  </w:font>
  <w:font w:name="StarBats">
    <w:charset w:val="01" w:characterSet="utf-8"/>
    <w:family w:val="roman"/>
    <w:pitch w:val="variable"/>
  </w:font>
  <w:font w:name="Albany">
    <w:altName w:val="Arial"/>
    <w:charset w:val="01" w:characterSet="utf-8"/>
    <w:family w:val="roman"/>
    <w:pitch w:val="variable"/>
  </w:font>
  <w:font w:name="Liberation Sans">
    <w:altName w:val="Arial"/>
    <w:charset w:val="01" w:characterSet="utf-8"/>
    <w:family w:val="roman"/>
    <w:pitch w:val="variable"/>
  </w:font>
  <w:font w:name="Arial MT">
    <w:charset w:val="01" w:characterSet="utf-8"/>
    <w:family w:val="roman"/>
    <w:pitch w:val="variable"/>
  </w:font>
  <w:font w:name="Times">
    <w:altName w:val="Times New Roman"/>
    <w:charset w:val="01" w:characterSet="utf-8"/>
    <w:family w:val="roman"/>
    <w:pitch w:val="variable"/>
  </w:font>
  <w:font w:name="Calibri">
    <w:charset w:val="01" w:characterSet="utf-8"/>
    <w:family w:val="roman"/>
    <w:pitch w:val="variable"/>
  </w:font>
  <w:font w:name="Symbol">
    <w:charset w:val="01"/>
    <w:family w:val="auto"/>
    <w:pitch w:val="variable"/>
  </w:font>
  <w:font w:name="0">
    <w:charset w:val="01"/>
    <w:family w:val="auto"/>
    <w:pitch w:val="default"/>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left" w:pos="3806" w:leader="none"/>
        <w:tab w:val="center" w:pos="4153" w:leader="none"/>
        <w:tab w:val="center" w:pos="7147" w:leader="none"/>
        <w:tab w:val="right" w:pos="8306" w:leader="none"/>
      </w:tabs>
      <w:jc w:val="center"/>
      <w:rPr/>
    </w:pPr>
    <w:r>
      <w:rPr/>
      <w:t xml:space="preserve">Page </w:t>
    </w:r>
    <w:r>
      <w:rPr/>
      <w:fldChar w:fldCharType="begin"/>
    </w:r>
    <w:r>
      <w:rPr/>
      <w:instrText xml:space="preserve"> PAGE </w:instrText>
    </w:r>
    <w:r>
      <w:rPr/>
      <w:fldChar w:fldCharType="separate"/>
    </w:r>
    <w:r>
      <w:rPr/>
      <w:t>5</w:t>
    </w:r>
    <w:r>
      <w:rPr/>
      <w:fldChar w:fldCharType="end"/>
    </w:r>
    <w:r>
      <w:rPr/>
      <w:t xml:space="preserve"> of </w:t>
    </w:r>
    <w:r>
      <w:rPr/>
      <w:fldChar w:fldCharType="begin"/>
    </w:r>
    <w:r>
      <w:rPr/>
      <w:instrText xml:space="preserve"> NUMPAGES </w:instrText>
    </w:r>
    <w:r>
      <w:rPr/>
      <w:fldChar w:fldCharType="separate"/>
    </w:r>
    <w:r>
      <w:rPr/>
      <w:t>87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306"/>
        <w:tab w:val="center" w:pos="4153" w:leader="none"/>
        <w:tab w:val="right" w:pos="9639" w:leader="none"/>
      </w:tabs>
      <w:spacing w:before="0" w:after="0"/>
      <w:rPr>
        <w:i/>
        <w:i/>
        <w:lang w:val="en-IE"/>
      </w:rPr>
    </w:pPr>
    <w:r>
      <w:rPr>
        <w:i/>
        <w:lang w:val="en-IE"/>
      </w:rPr>
      <w:t>Document Number: LP-GEN-0016</w:t>
      <w:tab/>
      <w:tab/>
      <w:t>Revision: 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5">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6">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7">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8">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9">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10">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5">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6">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2">
      <w:start w:val="1"/>
      <w:numFmt w:val="decimal"/>
      <w:lvlText w:val="%1.%2.%3"/>
      <w:lvlJc w:val="start"/>
      <w:pPr>
        <w:tabs>
          <w:tab w:val="num" w:pos="0"/>
        </w:tabs>
        <w:ind w:start="720" w:hanging="720"/>
      </w:pPr>
      <w:rPr>
        <w:smallCaps w:val="false"/>
        <w:caps w:val="false"/>
        <w:dstrike w:val="false"/>
        <w:strike w:val="false"/>
        <w:sz w:val="28"/>
        <w:spacing w:val="0"/>
        <w:b w:val="false"/>
        <w:kern w:val="0"/>
        <w:szCs w:val="28"/>
        <w:bCs w:val="false"/>
        <w:vanish w:val="false"/>
        <w:rFonts w:ascii="Times New Roman" w:hAnsi="Times New Roman" w:cs="Times New Roman"/>
      </w:rPr>
    </w:lvl>
    <w:lvl w:ilvl="3">
      <w:start w:val="1"/>
      <w:numFmt w:val="decimal"/>
      <w:lvlText w:val="%1.%2.%3.%4"/>
      <w:lvlJc w:val="start"/>
      <w:pPr>
        <w:tabs>
          <w:tab w:val="num" w:pos="0"/>
        </w:tabs>
        <w:ind w:start="1021" w:hanging="1021"/>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1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8">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9">
    <w:lvl w:ilvl="0">
      <w:start w:val="1"/>
      <w:numFmt w:val="bullet"/>
      <w:lvlText w:val="o"/>
      <w:lvlJc w:val="start"/>
      <w:pPr>
        <w:tabs>
          <w:tab w:val="num" w:pos="0"/>
        </w:tabs>
        <w:ind w:start="1080" w:hanging="360"/>
      </w:pPr>
      <w:rPr>
        <w:rFonts w:ascii="0" w:hAnsi="0" w:cs="0" w:hint="default"/>
      </w:rPr>
    </w:lvl>
    <w:lvl w:ilvl="1">
      <w:start w:val="1"/>
      <w:numFmt w:val="bullet"/>
      <w:lvlText w:val="o"/>
      <w:lvlJc w:val="start"/>
      <w:pPr>
        <w:tabs>
          <w:tab w:val="num" w:pos="0"/>
        </w:tabs>
        <w:ind w:start="1800" w:hanging="360"/>
      </w:pPr>
      <w:rPr>
        <w:rFonts w:ascii="0" w:hAnsi="0" w:cs="0" w:hint="default"/>
      </w:rPr>
    </w:lvl>
    <w:lvl w:ilvl="2">
      <w:start w:val="1"/>
      <w:numFmt w:val="bullet"/>
      <w:lvlText w:val=""/>
      <w:lvlJc w:val="start"/>
      <w:pPr>
        <w:tabs>
          <w:tab w:val="num" w:pos="0"/>
        </w:tabs>
        <w:ind w:start="2520" w:hanging="360"/>
      </w:pPr>
      <w:rPr>
        <w:rFonts w:ascii="0" w:hAnsi="0" w:cs="0"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0" w:hAnsi="0" w:cs="0" w:hint="default"/>
      </w:rPr>
    </w:lvl>
    <w:lvl w:ilvl="5">
      <w:start w:val="1"/>
      <w:numFmt w:val="bullet"/>
      <w:lvlText w:val=""/>
      <w:lvlJc w:val="start"/>
      <w:pPr>
        <w:tabs>
          <w:tab w:val="num" w:pos="0"/>
        </w:tabs>
        <w:ind w:start="4680" w:hanging="360"/>
      </w:pPr>
      <w:rPr>
        <w:rFonts w:ascii="0" w:hAnsi="0" w:cs="0"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0" w:hAnsi="0" w:cs="0" w:hint="default"/>
      </w:rPr>
    </w:lvl>
    <w:lvl w:ilvl="8">
      <w:start w:val="1"/>
      <w:numFmt w:val="bullet"/>
      <w:lvlText w:val=""/>
      <w:lvlJc w:val="start"/>
      <w:pPr>
        <w:tabs>
          <w:tab w:val="num" w:pos="0"/>
        </w:tabs>
        <w:ind w:start="6840" w:hanging="360"/>
      </w:pPr>
      <w:rPr>
        <w:rFonts w:ascii="0" w:hAnsi="0" w:cs="0" w:hint="default"/>
      </w:rPr>
    </w:lvl>
  </w:abstractNum>
  <w:abstractNum w:abstractNumId="2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1">
    <w:lvl w:ilvl="0">
      <w:start w:val="1"/>
      <w:numFmt w:val="bullet"/>
      <w:lvlText w:val=""/>
      <w:lvlJc w:val="start"/>
      <w:pPr>
        <w:tabs>
          <w:tab w:val="num" w:pos="0"/>
        </w:tabs>
        <w:ind w:start="36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2">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3">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4">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5">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vertAlign w:val="baseline"/>
        <w:position w:val="0"/>
        <w:sz w:val="24"/>
        <w:spacing w:val="0"/>
        <w:i w:val="false"/>
        <w:shadow w:val="false"/>
        <w:u w:val="none"/>
        <w:b w:val="false"/>
        <w:kern w:val="0"/>
        <w:effect w:val="none"/>
        <w:iCs w:val="false"/>
        <w:bCs w:val="false"/>
        <w:em w:val="none"/>
        <w:emboss w:val="false"/>
        <w:imprint w:val="false"/>
        <w:vanish w:val="false"/>
        <w:rFonts w:ascii="Times New Roman" w:hAnsi="Times New Roman" w:cs="Times New Roman"/>
        <w:lang w:val="x-none"/>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start"/>
      <w:pPr>
        <w:tabs>
          <w:tab w:val="num" w:pos="0"/>
        </w:tabs>
        <w:ind w:start="720" w:hanging="720"/>
      </w:pPr>
      <w:rPr>
        <w:smallCaps w:val="false"/>
        <w:caps w:val="false"/>
        <w:dstrike w:val="false"/>
        <w:strike w:val="false"/>
        <w:vertAlign w:val="baseline"/>
        <w:position w:val="0"/>
        <w:sz w:val="28"/>
        <w:sz w:val="28"/>
        <w:spacing w:val="0"/>
        <w:u w:val="none"/>
        <w:b w:val="false"/>
        <w:kern w:val="0"/>
        <w:effect w:val="none"/>
        <w:szCs w:val="28"/>
        <w:bCs w:val="false"/>
        <w:em w:val="non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start"/>
      <w:pPr>
        <w:tabs>
          <w:tab w:val="num" w:pos="0"/>
        </w:tabs>
        <w:ind w:start="1021" w:hanging="1021"/>
      </w:pPr>
      <w:rPr>
        <w:smallCaps w:val="false"/>
        <w:caps w:val="false"/>
        <w:outline w:val="false"/>
        <w:dstrike w:val="false"/>
        <w:strike w:val="false"/>
        <w:vertAlign w:val="baseline"/>
        <w:position w:val="0"/>
        <w:sz w:val="24"/>
        <w:spacing w:val="0"/>
        <w:i w:val="false"/>
        <w:shadow w:val="false"/>
        <w:u w:val="none"/>
        <w:b w:val="false"/>
        <w:kern w:val="0"/>
        <w:effect w:val="none"/>
        <w:iCs w:val="false"/>
        <w:bCs w:val="false"/>
        <w:em w:val="none"/>
        <w:emboss w:val="false"/>
        <w:imprint w:val="false"/>
        <w:vanish w:val="false"/>
        <w:rFonts w:ascii="Times New Roman" w:hAnsi="Times New Roman" w:cs="Times New Roman"/>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2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7">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abstractNum w:abstractNumId="28">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abstractNum w:abstractNumId="29">
    <w:lvl w:ilvl="0">
      <w:start w:val="1"/>
      <w:numFmt w:val="decimal"/>
      <w:lvlText w:val="%1."/>
      <w:lvlJc w:val="start"/>
      <w:pPr>
        <w:tabs>
          <w:tab w:val="num" w:pos="0"/>
        </w:tabs>
        <w:ind w:start="1080" w:hanging="360"/>
      </w:pPr>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30">
    <w:lvl w:ilvl="0">
      <w:start w:val="1"/>
      <w:numFmt w:val="bullet"/>
      <w:lvlText w:val=""/>
      <w:lvlJc w:val="start"/>
      <w:pPr>
        <w:tabs>
          <w:tab w:val="num" w:pos="0"/>
        </w:tabs>
        <w:ind w:start="780" w:hanging="360"/>
      </w:pPr>
      <w:rPr>
        <w:rFonts w:ascii="Symbol" w:hAnsi="Symbol" w:cs="Symbol" w:hint="default"/>
      </w:rPr>
    </w:lvl>
    <w:lvl w:ilvl="1">
      <w:start w:val="1"/>
      <w:numFmt w:val="bullet"/>
      <w:lvlText w:val="o"/>
      <w:lvlJc w:val="start"/>
      <w:pPr>
        <w:tabs>
          <w:tab w:val="num" w:pos="0"/>
        </w:tabs>
        <w:ind w:start="1500" w:hanging="360"/>
      </w:pPr>
      <w:rPr>
        <w:rFonts w:ascii="Courier New" w:hAnsi="Courier New" w:cs="Courier New" w:hint="default"/>
      </w:rPr>
    </w:lvl>
    <w:lvl w:ilvl="2">
      <w:start w:val="1"/>
      <w:numFmt w:val="bullet"/>
      <w:lvlText w:val=""/>
      <w:lvlJc w:val="start"/>
      <w:pPr>
        <w:tabs>
          <w:tab w:val="num" w:pos="0"/>
        </w:tabs>
        <w:ind w:start="2220" w:hanging="360"/>
      </w:pPr>
      <w:rPr>
        <w:rFonts w:ascii="Wingdings" w:hAnsi="Wingdings" w:cs="Wingdings" w:hint="default"/>
      </w:rPr>
    </w:lvl>
    <w:lvl w:ilvl="3">
      <w:start w:val="1"/>
      <w:numFmt w:val="bullet"/>
      <w:lvlText w:val=""/>
      <w:lvlJc w:val="start"/>
      <w:pPr>
        <w:tabs>
          <w:tab w:val="num" w:pos="0"/>
        </w:tabs>
        <w:ind w:start="2940" w:hanging="360"/>
      </w:pPr>
      <w:rPr>
        <w:rFonts w:ascii="Symbol" w:hAnsi="Symbol" w:cs="Symbol" w:hint="default"/>
      </w:rPr>
    </w:lvl>
    <w:lvl w:ilvl="4">
      <w:start w:val="1"/>
      <w:numFmt w:val="bullet"/>
      <w:lvlText w:val="o"/>
      <w:lvlJc w:val="start"/>
      <w:pPr>
        <w:tabs>
          <w:tab w:val="num" w:pos="0"/>
        </w:tabs>
        <w:ind w:start="3660" w:hanging="360"/>
      </w:pPr>
      <w:rPr>
        <w:rFonts w:ascii="Courier New" w:hAnsi="Courier New" w:cs="Courier New" w:hint="default"/>
      </w:rPr>
    </w:lvl>
    <w:lvl w:ilvl="5">
      <w:start w:val="1"/>
      <w:numFmt w:val="bullet"/>
      <w:lvlText w:val=""/>
      <w:lvlJc w:val="start"/>
      <w:pPr>
        <w:tabs>
          <w:tab w:val="num" w:pos="0"/>
        </w:tabs>
        <w:ind w:start="4380" w:hanging="360"/>
      </w:pPr>
      <w:rPr>
        <w:rFonts w:ascii="Wingdings" w:hAnsi="Wingdings" w:cs="Wingdings" w:hint="default"/>
      </w:rPr>
    </w:lvl>
    <w:lvl w:ilvl="6">
      <w:start w:val="1"/>
      <w:numFmt w:val="bullet"/>
      <w:lvlText w:val=""/>
      <w:lvlJc w:val="start"/>
      <w:pPr>
        <w:tabs>
          <w:tab w:val="num" w:pos="0"/>
        </w:tabs>
        <w:ind w:start="5100" w:hanging="360"/>
      </w:pPr>
      <w:rPr>
        <w:rFonts w:ascii="Symbol" w:hAnsi="Symbol" w:cs="Symbol" w:hint="default"/>
      </w:rPr>
    </w:lvl>
    <w:lvl w:ilvl="7">
      <w:start w:val="1"/>
      <w:numFmt w:val="bullet"/>
      <w:lvlText w:val="o"/>
      <w:lvlJc w:val="start"/>
      <w:pPr>
        <w:tabs>
          <w:tab w:val="num" w:pos="0"/>
        </w:tabs>
        <w:ind w:start="5820" w:hanging="360"/>
      </w:pPr>
      <w:rPr>
        <w:rFonts w:ascii="Courier New" w:hAnsi="Courier New" w:cs="Courier New" w:hint="default"/>
      </w:rPr>
    </w:lvl>
    <w:lvl w:ilvl="8">
      <w:start w:val="1"/>
      <w:numFmt w:val="bullet"/>
      <w:lvlText w:val=""/>
      <w:lvlJc w:val="start"/>
      <w:pPr>
        <w:tabs>
          <w:tab w:val="num" w:pos="0"/>
        </w:tabs>
        <w:ind w:start="6540" w:hanging="360"/>
      </w:pPr>
      <w:rPr>
        <w:rFonts w:ascii="Wingdings" w:hAnsi="Wingdings" w:cs="Wingdings" w:hint="default"/>
      </w:rPr>
    </w:lvl>
  </w:abstractNum>
  <w:abstractNum w:abstractNumId="3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3">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3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5">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36">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3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8">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39">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40">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41">
    <w:lvl w:ilvl="0">
      <w:start w:val="1"/>
      <w:numFmt w:val="decimal"/>
      <w:lvlText w:val="%1."/>
      <w:lvlJc w:val="start"/>
      <w:pPr>
        <w:tabs>
          <w:tab w:val="num" w:pos="0"/>
        </w:tabs>
        <w:ind w:start="360" w:hanging="360"/>
      </w:pPr>
      <w:rPr/>
    </w:lvl>
    <w:lvl w:ilvl="1">
      <w:start w:val="1"/>
      <w:numFmt w:val="lowerLetter"/>
      <w:lvlText w:val="%2."/>
      <w:lvlJc w:val="start"/>
      <w:pPr>
        <w:tabs>
          <w:tab w:val="num" w:pos="0"/>
        </w:tabs>
        <w:ind w:start="1080" w:hanging="360"/>
      </w:pPr>
      <w:rPr/>
    </w:lvl>
    <w:lvl w:ilvl="2">
      <w:start w:val="1"/>
      <w:numFmt w:val="lowerRoman"/>
      <w:lvlText w:val="%3."/>
      <w:lvlJc w:val="end"/>
      <w:pPr>
        <w:tabs>
          <w:tab w:val="num" w:pos="0"/>
        </w:tabs>
        <w:ind w:start="1800" w:hanging="180"/>
      </w:pPr>
      <w:rPr/>
    </w:lvl>
    <w:lvl w:ilvl="3">
      <w:start w:val="1"/>
      <w:numFmt w:val="decimal"/>
      <w:lvlText w:val="%4."/>
      <w:lvlJc w:val="start"/>
      <w:pPr>
        <w:tabs>
          <w:tab w:val="num" w:pos="0"/>
        </w:tabs>
        <w:ind w:start="2520" w:hanging="360"/>
      </w:pPr>
      <w:rPr/>
    </w:lvl>
    <w:lvl w:ilvl="4">
      <w:start w:val="1"/>
      <w:numFmt w:val="lowerLetter"/>
      <w:lvlText w:val="%5."/>
      <w:lvlJc w:val="start"/>
      <w:pPr>
        <w:tabs>
          <w:tab w:val="num" w:pos="0"/>
        </w:tabs>
        <w:ind w:start="3240" w:hanging="360"/>
      </w:pPr>
      <w:rPr/>
    </w:lvl>
    <w:lvl w:ilvl="5">
      <w:start w:val="1"/>
      <w:numFmt w:val="lowerRoman"/>
      <w:lvlText w:val="%6."/>
      <w:lvlJc w:val="end"/>
      <w:pPr>
        <w:tabs>
          <w:tab w:val="num" w:pos="0"/>
        </w:tabs>
        <w:ind w:start="3960" w:hanging="180"/>
      </w:pPr>
      <w:rPr/>
    </w:lvl>
    <w:lvl w:ilvl="6">
      <w:start w:val="1"/>
      <w:numFmt w:val="decimal"/>
      <w:lvlText w:val="%7."/>
      <w:lvlJc w:val="start"/>
      <w:pPr>
        <w:tabs>
          <w:tab w:val="num" w:pos="0"/>
        </w:tabs>
        <w:ind w:start="4680" w:hanging="360"/>
      </w:pPr>
      <w:rPr/>
    </w:lvl>
    <w:lvl w:ilvl="7">
      <w:start w:val="1"/>
      <w:numFmt w:val="lowerLetter"/>
      <w:lvlText w:val="%8."/>
      <w:lvlJc w:val="start"/>
      <w:pPr>
        <w:tabs>
          <w:tab w:val="num" w:pos="0"/>
        </w:tabs>
        <w:ind w:start="5400" w:hanging="360"/>
      </w:pPr>
      <w:rPr/>
    </w:lvl>
    <w:lvl w:ilvl="8">
      <w:start w:val="1"/>
      <w:numFmt w:val="lowerRoman"/>
      <w:lvlText w:val="%9."/>
      <w:lvlJc w:val="end"/>
      <w:pPr>
        <w:tabs>
          <w:tab w:val="num" w:pos="0"/>
        </w:tabs>
        <w:ind w:start="6120" w:hanging="180"/>
      </w:pPr>
      <w:rPr/>
    </w:lvl>
  </w:abstractNum>
  <w:abstractNum w:abstractNumId="4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4">
    <w:lvl w:ilvl="0">
      <w:start w:val="1"/>
      <w:numFmt w:val="bullet"/>
      <w:lvlText w:val=""/>
      <w:lvlJc w:val="start"/>
      <w:pPr>
        <w:tabs>
          <w:tab w:val="num" w:pos="720"/>
        </w:tabs>
        <w:ind w:start="720"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45">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46">
    <w:lvl w:ilvl="0">
      <w:start w:val="1"/>
      <w:numFmt w:val="bullet"/>
      <w:lvlText w:val=""/>
      <w:lvlJc w:val="start"/>
      <w:pPr>
        <w:tabs>
          <w:tab w:val="num" w:pos="360"/>
        </w:tabs>
        <w:ind w:start="36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o"/>
      <w:lvlJc w:val="start"/>
      <w:pPr>
        <w:tabs>
          <w:tab w:val="num" w:pos="1800"/>
        </w:tabs>
        <w:ind w:start="1800" w:hanging="360"/>
      </w:pPr>
      <w:rPr>
        <w:rFonts w:ascii="Courier New" w:hAnsi="Courier New" w:cs="Courier New" w:hint="default"/>
      </w:rPr>
    </w:lvl>
    <w:lvl w:ilvl="3">
      <w:start w:val="1"/>
      <w:numFmt w:val="bullet"/>
      <w:lvlText w:val=""/>
      <w:lvlJc w:val="start"/>
      <w:pPr>
        <w:tabs>
          <w:tab w:val="num" w:pos="2520"/>
        </w:tabs>
        <w:ind w:start="2520" w:hanging="360"/>
      </w:pPr>
      <w:rPr>
        <w:rFonts w:ascii="Symbol" w:hAnsi="Symbol" w:cs="Symbol" w:hint="default"/>
      </w:rPr>
    </w:lvl>
    <w:lvl w:ilvl="4">
      <w:start w:val="1"/>
      <w:numFmt w:val="bullet"/>
      <w:lvlText w:val="o"/>
      <w:lvlJc w:val="start"/>
      <w:pPr>
        <w:tabs>
          <w:tab w:val="num" w:pos="3240"/>
        </w:tabs>
        <w:ind w:start="3240" w:hanging="360"/>
      </w:pPr>
      <w:rPr>
        <w:rFonts w:ascii="Courier New" w:hAnsi="Courier New" w:cs="Courier New" w:hint="default"/>
      </w:rPr>
    </w:lvl>
    <w:lvl w:ilvl="5">
      <w:start w:val="1"/>
      <w:numFmt w:val="bullet"/>
      <w:lvlText w:val=""/>
      <w:lvlJc w:val="start"/>
      <w:pPr>
        <w:tabs>
          <w:tab w:val="num" w:pos="3960"/>
        </w:tabs>
        <w:ind w:start="3960" w:hanging="360"/>
      </w:pPr>
      <w:rPr>
        <w:rFonts w:ascii="Wingdings" w:hAnsi="Wingdings" w:cs="Wingdings" w:hint="default"/>
      </w:rPr>
    </w:lvl>
    <w:lvl w:ilvl="6">
      <w:start w:val="1"/>
      <w:numFmt w:val="bullet"/>
      <w:lvlText w:val=""/>
      <w:lvlJc w:val="start"/>
      <w:pPr>
        <w:tabs>
          <w:tab w:val="num" w:pos="4680"/>
        </w:tabs>
        <w:ind w:start="4680" w:hanging="360"/>
      </w:pPr>
      <w:rPr>
        <w:rFonts w:ascii="Symbol" w:hAnsi="Symbol" w:cs="Symbol" w:hint="default"/>
      </w:rPr>
    </w:lvl>
    <w:lvl w:ilvl="7">
      <w:start w:val="1"/>
      <w:numFmt w:val="bullet"/>
      <w:lvlText w:val="o"/>
      <w:lvlJc w:val="start"/>
      <w:pPr>
        <w:tabs>
          <w:tab w:val="num" w:pos="5400"/>
        </w:tabs>
        <w:ind w:start="5400" w:hanging="360"/>
      </w:pPr>
      <w:rPr>
        <w:rFonts w:ascii="Courier New" w:hAnsi="Courier New" w:cs="Courier New" w:hint="default"/>
      </w:rPr>
    </w:lvl>
    <w:lvl w:ilvl="8">
      <w:start w:val="1"/>
      <w:numFmt w:val="bullet"/>
      <w:lvlText w:val=""/>
      <w:lvlJc w:val="start"/>
      <w:pPr>
        <w:tabs>
          <w:tab w:val="num" w:pos="6120"/>
        </w:tabs>
        <w:ind w:start="6120" w:hanging="360"/>
      </w:pPr>
      <w:rPr>
        <w:rFonts w:ascii="Wingdings" w:hAnsi="Wingdings" w:cs="Wingdings" w:hint="default"/>
      </w:rPr>
    </w:lvl>
  </w:abstractNum>
  <w:abstractNum w:abstractNumId="47">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48">
    <w:lvl w:ilvl="0">
      <w:start w:val="1"/>
      <w:numFmt w:val="bullet"/>
      <w:lvlText w:val=""/>
      <w:lvlJc w:val="start"/>
      <w:pPr>
        <w:tabs>
          <w:tab w:val="num" w:pos="0"/>
        </w:tabs>
        <w:ind w:start="1800" w:hanging="360"/>
      </w:pPr>
      <w:rPr>
        <w:rFonts w:ascii="Symbol" w:hAnsi="Symbol" w:cs="Symbol" w:hint="default"/>
      </w:rPr>
    </w:lvl>
    <w:lvl w:ilvl="1">
      <w:start w:val="1"/>
      <w:numFmt w:val="bullet"/>
      <w:lvlText w:val="o"/>
      <w:lvlJc w:val="start"/>
      <w:pPr>
        <w:tabs>
          <w:tab w:val="num" w:pos="0"/>
        </w:tabs>
        <w:ind w:start="2520" w:hanging="360"/>
      </w:pPr>
      <w:rPr>
        <w:rFonts w:ascii="Courier New" w:hAnsi="Courier New" w:cs="Courier New" w:hint="default"/>
      </w:rPr>
    </w:lvl>
    <w:lvl w:ilvl="2">
      <w:start w:val="1"/>
      <w:numFmt w:val="bullet"/>
      <w:lvlText w:val=""/>
      <w:lvlJc w:val="start"/>
      <w:pPr>
        <w:tabs>
          <w:tab w:val="num" w:pos="0"/>
        </w:tabs>
        <w:ind w:start="3240" w:hanging="360"/>
      </w:pPr>
      <w:rPr>
        <w:rFonts w:ascii="Wingdings" w:hAnsi="Wingdings" w:cs="Wingdings" w:hint="default"/>
      </w:rPr>
    </w:lvl>
    <w:lvl w:ilvl="3">
      <w:start w:val="1"/>
      <w:numFmt w:val="bullet"/>
      <w:lvlText w:val=""/>
      <w:lvlJc w:val="start"/>
      <w:pPr>
        <w:tabs>
          <w:tab w:val="num" w:pos="0"/>
        </w:tabs>
        <w:ind w:start="3960" w:hanging="360"/>
      </w:pPr>
      <w:rPr>
        <w:rFonts w:ascii="Symbol" w:hAnsi="Symbol" w:cs="Symbol" w:hint="default"/>
      </w:rPr>
    </w:lvl>
    <w:lvl w:ilvl="4">
      <w:start w:val="1"/>
      <w:numFmt w:val="bullet"/>
      <w:lvlText w:val="o"/>
      <w:lvlJc w:val="start"/>
      <w:pPr>
        <w:tabs>
          <w:tab w:val="num" w:pos="0"/>
        </w:tabs>
        <w:ind w:start="4680" w:hanging="360"/>
      </w:pPr>
      <w:rPr>
        <w:rFonts w:ascii="Courier New" w:hAnsi="Courier New" w:cs="Courier New" w:hint="default"/>
      </w:rPr>
    </w:lvl>
    <w:lvl w:ilvl="5">
      <w:start w:val="1"/>
      <w:numFmt w:val="bullet"/>
      <w:lvlText w:val=""/>
      <w:lvlJc w:val="start"/>
      <w:pPr>
        <w:tabs>
          <w:tab w:val="num" w:pos="0"/>
        </w:tabs>
        <w:ind w:start="5400" w:hanging="360"/>
      </w:pPr>
      <w:rPr>
        <w:rFonts w:ascii="Wingdings" w:hAnsi="Wingdings" w:cs="Wingdings" w:hint="default"/>
      </w:rPr>
    </w:lvl>
    <w:lvl w:ilvl="6">
      <w:start w:val="1"/>
      <w:numFmt w:val="bullet"/>
      <w:lvlText w:val=""/>
      <w:lvlJc w:val="start"/>
      <w:pPr>
        <w:tabs>
          <w:tab w:val="num" w:pos="0"/>
        </w:tabs>
        <w:ind w:start="6120" w:hanging="360"/>
      </w:pPr>
      <w:rPr>
        <w:rFonts w:ascii="Symbol" w:hAnsi="Symbol" w:cs="Symbol" w:hint="default"/>
      </w:rPr>
    </w:lvl>
    <w:lvl w:ilvl="7">
      <w:start w:val="1"/>
      <w:numFmt w:val="bullet"/>
      <w:lvlText w:val="o"/>
      <w:lvlJc w:val="start"/>
      <w:pPr>
        <w:tabs>
          <w:tab w:val="num" w:pos="0"/>
        </w:tabs>
        <w:ind w:start="6840" w:hanging="360"/>
      </w:pPr>
      <w:rPr>
        <w:rFonts w:ascii="Courier New" w:hAnsi="Courier New" w:cs="Courier New" w:hint="default"/>
      </w:rPr>
    </w:lvl>
    <w:lvl w:ilvl="8">
      <w:start w:val="1"/>
      <w:numFmt w:val="bullet"/>
      <w:lvlText w:val=""/>
      <w:lvlJc w:val="start"/>
      <w:pPr>
        <w:tabs>
          <w:tab w:val="num" w:pos="0"/>
        </w:tabs>
        <w:ind w:start="7560" w:hanging="360"/>
      </w:pPr>
      <w:rPr>
        <w:rFonts w:ascii="Wingdings" w:hAnsi="Wingdings" w:cs="Wingdings" w:hint="default"/>
      </w:rPr>
    </w:lvl>
  </w:abstractNum>
  <w:abstractNum w:abstractNumId="49">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0">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1">
    <w:lvl w:ilvl="0">
      <w:start w:val="1"/>
      <w:numFmt w:val="bullet"/>
      <w:lvlText w:val=""/>
      <w:lvlJc w:val="start"/>
      <w:pPr>
        <w:tabs>
          <w:tab w:val="num" w:pos="0"/>
        </w:tabs>
        <w:ind w:start="1440" w:hanging="360"/>
      </w:pPr>
      <w:rPr>
        <w:rFonts w:ascii="Symbol" w:hAnsi="Symbol" w:cs="Symbol"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Wingdings" w:hAnsi="Wingdings" w:cs="Wingdings" w:hint="default"/>
      </w:rPr>
    </w:lvl>
    <w:lvl w:ilvl="3">
      <w:start w:val="1"/>
      <w:numFmt w:val="bullet"/>
      <w:lvlText w:val=""/>
      <w:lvlJc w:val="start"/>
      <w:pPr>
        <w:tabs>
          <w:tab w:val="num" w:pos="0"/>
        </w:tabs>
        <w:ind w:start="3600" w:hanging="360"/>
      </w:pPr>
      <w:rPr>
        <w:rFonts w:ascii="Symbol" w:hAnsi="Symbol" w:cs="Symbol"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Wingdings" w:hAnsi="Wingdings" w:cs="Wingdings" w:hint="default"/>
      </w:rPr>
    </w:lvl>
    <w:lvl w:ilvl="6">
      <w:start w:val="1"/>
      <w:numFmt w:val="bullet"/>
      <w:lvlText w:val=""/>
      <w:lvlJc w:val="start"/>
      <w:pPr>
        <w:tabs>
          <w:tab w:val="num" w:pos="0"/>
        </w:tabs>
        <w:ind w:start="5760" w:hanging="360"/>
      </w:pPr>
      <w:rPr>
        <w:rFonts w:ascii="Symbol" w:hAnsi="Symbol" w:cs="Symbol"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Wingdings" w:hAnsi="Wingdings" w:cs="Wingdings" w:hint="default"/>
      </w:rPr>
    </w:lvl>
  </w:abstractNum>
  <w:abstractNum w:abstractNumId="52">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3">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4">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5">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6">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7">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58">
    <w:lvl w:ilvl="0">
      <w:start w:val="1"/>
      <w:numFmt w:val="bullet"/>
      <w:lvlText w:val="·"/>
      <w:lvlJc w:val="start"/>
      <w:pPr>
        <w:tabs>
          <w:tab w:val="num" w:pos="360"/>
        </w:tabs>
        <w:ind w:start="360" w:hanging="36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0">
    <w:lvl w:ilvl="0">
      <w:start w:val="1"/>
      <w:numFmt w:val="decimal"/>
      <w:lvlText w:val="%1."/>
      <w:lvlJc w:val="start"/>
      <w:pPr>
        <w:tabs>
          <w:tab w:val="num" w:pos="360"/>
        </w:tabs>
        <w:ind w:start="360" w:hanging="360"/>
      </w:pPr>
      <w:rPr/>
    </w:lvl>
    <w:lvl w:ilvl="1">
      <w:start w:val="1"/>
      <w:numFmt w:val="lowerLetter"/>
      <w:lvlText w:val="%2."/>
      <w:lvlJc w:val="start"/>
      <w:pPr>
        <w:tabs>
          <w:tab w:val="num" w:pos="1080"/>
        </w:tabs>
        <w:ind w:start="1080" w:hanging="360"/>
      </w:pPr>
      <w:rPr/>
    </w:lvl>
    <w:lvl w:ilvl="2">
      <w:start w:val="1"/>
      <w:numFmt w:val="lowerRoman"/>
      <w:lvlText w:val="%3."/>
      <w:lvlJc w:val="end"/>
      <w:pPr>
        <w:tabs>
          <w:tab w:val="num" w:pos="1800"/>
        </w:tabs>
        <w:ind w:start="1800" w:hanging="180"/>
      </w:pPr>
      <w:rPr/>
    </w:lvl>
    <w:lvl w:ilvl="3">
      <w:start w:val="1"/>
      <w:numFmt w:val="decimal"/>
      <w:lvlText w:val="%4."/>
      <w:lvlJc w:val="start"/>
      <w:pPr>
        <w:tabs>
          <w:tab w:val="num" w:pos="2520"/>
        </w:tabs>
        <w:ind w:start="2520" w:hanging="360"/>
      </w:pPr>
      <w:rPr/>
    </w:lvl>
    <w:lvl w:ilvl="4">
      <w:start w:val="1"/>
      <w:numFmt w:val="lowerLetter"/>
      <w:lvlText w:val="%5."/>
      <w:lvlJc w:val="start"/>
      <w:pPr>
        <w:tabs>
          <w:tab w:val="num" w:pos="3240"/>
        </w:tabs>
        <w:ind w:start="3240" w:hanging="360"/>
      </w:pPr>
      <w:rPr/>
    </w:lvl>
    <w:lvl w:ilvl="5">
      <w:start w:val="1"/>
      <w:numFmt w:val="lowerRoman"/>
      <w:lvlText w:val="%6."/>
      <w:lvlJc w:val="end"/>
      <w:pPr>
        <w:tabs>
          <w:tab w:val="num" w:pos="3960"/>
        </w:tabs>
        <w:ind w:start="3960" w:hanging="180"/>
      </w:pPr>
      <w:rPr/>
    </w:lvl>
    <w:lvl w:ilvl="6">
      <w:start w:val="1"/>
      <w:numFmt w:val="decimal"/>
      <w:lvlText w:val="%7."/>
      <w:lvlJc w:val="start"/>
      <w:pPr>
        <w:tabs>
          <w:tab w:val="num" w:pos="4680"/>
        </w:tabs>
        <w:ind w:start="4680" w:hanging="360"/>
      </w:pPr>
      <w:rPr/>
    </w:lvl>
    <w:lvl w:ilvl="7">
      <w:start w:val="1"/>
      <w:numFmt w:val="lowerLetter"/>
      <w:lvlText w:val="%8."/>
      <w:lvlJc w:val="start"/>
      <w:pPr>
        <w:tabs>
          <w:tab w:val="num" w:pos="5400"/>
        </w:tabs>
        <w:ind w:start="5400" w:hanging="360"/>
      </w:pPr>
      <w:rPr/>
    </w:lvl>
    <w:lvl w:ilvl="8">
      <w:start w:val="1"/>
      <w:numFmt w:val="lowerRoman"/>
      <w:lvlText w:val="%9."/>
      <w:lvlJc w:val="end"/>
      <w:pPr>
        <w:tabs>
          <w:tab w:val="num" w:pos="6120"/>
        </w:tabs>
        <w:ind w:start="6120" w:hanging="180"/>
      </w:pPr>
      <w:rPr/>
    </w:lvl>
  </w:abstractNum>
  <w:abstractNum w:abstractNumId="6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w="http://schemas.openxmlformats.org/wordprocessingml/2006/main">
  <w:zoom w:percent="47"/>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Songti SC" w:cs="Arial Unicode MS"/>
      <w:color w:val="auto"/>
      <w:kern w:val="2"/>
      <w:sz w:val="24"/>
      <w:szCs w:val="24"/>
      <w:lang w:val="en-GB" w:eastAsia="zh-CN" w:bidi="hi-IN"/>
    </w:rPr>
  </w:style>
  <w:style w:type="paragraph" w:styleId="Heading1">
    <w:name w:val="Heading 1"/>
    <w:basedOn w:val="Normal"/>
    <w:next w:val="Normal"/>
    <w:qFormat/>
    <w:pPr>
      <w:keepNext w:val="true"/>
      <w:numPr>
        <w:ilvl w:val="0"/>
        <w:numId w:val="25"/>
      </w:numPr>
      <w:spacing w:before="240" w:after="120"/>
      <w:outlineLvl w:val="0"/>
    </w:pPr>
    <w:rPr>
      <w:rFonts w:ascii="Times New Roman Bold" w:hAnsi="Times New Roman Bold"/>
      <w:b/>
      <w:caps/>
    </w:rPr>
  </w:style>
  <w:style w:type="paragraph" w:styleId="Heading2">
    <w:name w:val="Heading 2"/>
    <w:basedOn w:val="Normal"/>
    <w:next w:val="Normal"/>
    <w:qFormat/>
    <w:pPr>
      <w:keepNext w:val="true"/>
      <w:numPr>
        <w:ilvl w:val="1"/>
        <w:numId w:val="1"/>
      </w:numPr>
      <w:spacing w:before="240" w:after="120"/>
      <w:outlineLvl w:val="1"/>
    </w:pPr>
    <w:rPr>
      <w:rFonts w:ascii="Times New Roman Bold" w:hAnsi="Times New Roman Bold"/>
      <w:b/>
      <w:smallCaps/>
    </w:rPr>
  </w:style>
  <w:style w:type="paragraph" w:styleId="Heading3">
    <w:name w:val="Heading 3"/>
    <w:basedOn w:val="Normal"/>
    <w:next w:val="Normal"/>
    <w:qFormat/>
    <w:pPr>
      <w:keepNext w:val="true"/>
      <w:numPr>
        <w:ilvl w:val="2"/>
        <w:numId w:val="1"/>
      </w:numPr>
      <w:tabs>
        <w:tab w:val="clear" w:pos="709"/>
        <w:tab w:val="left" w:pos="1134" w:leader="none"/>
      </w:tabs>
      <w:spacing w:before="240" w:after="120"/>
      <w:outlineLvl w:val="2"/>
    </w:pPr>
    <w:rPr>
      <w:rFonts w:ascii="Times New Roman Bold" w:hAnsi="Times New Roman Bold"/>
      <w:b/>
      <w:i/>
    </w:rPr>
  </w:style>
  <w:style w:type="paragraph" w:styleId="Heading4">
    <w:name w:val="Heading 4"/>
    <w:basedOn w:val="WW-Heading"/>
    <w:next w:val="TextBody"/>
    <w:qFormat/>
    <w:pPr>
      <w:numPr>
        <w:ilvl w:val="3"/>
        <w:numId w:val="1"/>
      </w:numPr>
      <w:outlineLvl w:val="3"/>
    </w:pPr>
    <w:rPr>
      <w:rFonts w:ascii="Times New Roman Bold" w:hAnsi="Times New Roman Bold"/>
      <w:b/>
      <w:bCs/>
      <w:iCs/>
      <w:szCs w:val="24"/>
    </w:rPr>
  </w:style>
  <w:style w:type="character" w:styleId="BookTitle">
    <w:name w:val="Book Title"/>
    <w:qFormat/>
    <w:rPr>
      <w:rFonts w:ascii="Times New Roman Bold" w:hAnsi="Times New Roman Bold"/>
      <w:b/>
      <w:bCs/>
      <w:smallCaps/>
      <w:spacing w:val="5"/>
      <w:sz w:val="28"/>
      <w:u w:val="single"/>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Heading2Char1">
    <w:name w:val="Heading 2 Char1"/>
    <w:qFormat/>
    <w:rPr>
      <w:rFonts w:eastAsia="SimSun"/>
      <w:b/>
      <w:bCs/>
      <w:iCs/>
      <w:sz w:val="24"/>
      <w:szCs w:val="28"/>
      <w:lang w:val="x-none" w:eastAsia="ar-SA"/>
    </w:rPr>
  </w:style>
  <w:style w:type="character" w:styleId="CharChar6">
    <w:name w:val="Char Char6"/>
    <w:qFormat/>
    <w:rPr>
      <w:sz w:val="28"/>
      <w:lang w:val="en-GB" w:eastAsia="ar-SA" w:bidi="ar-SA"/>
    </w:rPr>
  </w:style>
  <w:style w:type="character" w:styleId="A1t5ne">
    <w:name w:val="a1t5ne"/>
    <w:qFormat/>
    <w:rPr>
      <w:rFonts w:ascii="Times New Roman" w:hAnsi="Times New Roman" w:eastAsia="Times New Roman" w:cs="Times New Roman"/>
      <w:color w:val="000000"/>
      <w:sz w:val="24"/>
      <w:szCs w:val="24"/>
    </w:rPr>
  </w:style>
  <w:style w:type="character" w:styleId="CharChar21">
    <w:name w:val="Char Char21"/>
    <w:qFormat/>
    <w:rPr>
      <w:rFonts w:ascii="Times New Roman Bold" w:hAnsi="Times New Roman Bold"/>
      <w:b/>
      <w:i/>
      <w:sz w:val="28"/>
      <w:lang w:val="en-GB" w:eastAsia="en-GB" w:bidi="ar-SA"/>
    </w:rPr>
  </w:style>
  <w:style w:type="character" w:styleId="A6">
    <w:name w:val="A6"/>
    <w:qFormat/>
    <w:rPr>
      <w:rFonts w:cs="Times"/>
      <w:b/>
      <w:bCs/>
      <w:color w:val="000000"/>
      <w:sz w:val="36"/>
      <w:szCs w:val="36"/>
    </w:rPr>
  </w:style>
  <w:style w:type="character" w:styleId="A5">
    <w:name w:val="A5"/>
    <w:qFormat/>
    <w:rPr>
      <w:rFonts w:cs="Times"/>
      <w:b/>
      <w:bCs/>
      <w:color w:val="000000"/>
      <w:sz w:val="29"/>
      <w:szCs w:val="29"/>
    </w:rPr>
  </w:style>
  <w:style w:type="character" w:styleId="A1">
    <w:name w:val="A1"/>
    <w:qFormat/>
    <w:rPr>
      <w:rFonts w:cs="Times"/>
      <w:b/>
      <w:bCs/>
      <w:color w:val="000000"/>
      <w:sz w:val="20"/>
      <w:szCs w:val="20"/>
    </w:rPr>
  </w:style>
  <w:style w:type="character" w:styleId="A2">
    <w:name w:val="A2"/>
    <w:qFormat/>
    <w:rPr>
      <w:rFonts w:cs="Times"/>
      <w:color w:val="000000"/>
    </w:rPr>
  </w:style>
  <w:style w:type="character" w:styleId="A3">
    <w:name w:val="A3"/>
    <w:qFormat/>
    <w:rPr>
      <w:rFonts w:cs="Times"/>
      <w:color w:val="000000"/>
      <w:sz w:val="28"/>
      <w:szCs w:val="28"/>
    </w:rPr>
  </w:style>
  <w:style w:type="character" w:styleId="QuickFormat1">
    <w:name w:val="QuickFormat1"/>
    <w:qFormat/>
    <w:rPr>
      <w:rFonts w:ascii="Arial Terminal" w:hAnsi="Arial Terminal"/>
      <w:color w:val="000000"/>
      <w:sz w:val="24"/>
    </w:rPr>
  </w:style>
  <w:style w:type="character" w:styleId="BodyTextIndent3Char">
    <w:name w:val="Body Text Indent 3 Char"/>
    <w:qFormat/>
    <w:rPr>
      <w:color w:val="000000"/>
      <w:sz w:val="16"/>
      <w:szCs w:val="16"/>
      <w:lang w:eastAsia="ar-SA"/>
    </w:rPr>
  </w:style>
  <w:style w:type="character" w:styleId="CharCharChar">
    <w:name w:val="Char Char Char"/>
    <w:qFormat/>
    <w:rPr>
      <w:sz w:val="24"/>
      <w:szCs w:val="24"/>
      <w:lang w:val="en-IE" w:eastAsia="en-IE" w:bidi="ar-SA"/>
    </w:rPr>
  </w:style>
  <w:style w:type="character" w:styleId="Minusone">
    <w:name w:val="minusone"/>
    <w:qFormat/>
    <w:rPr>
      <w:rFonts w:cs="Times New Roman"/>
    </w:rPr>
  </w:style>
  <w:style w:type="character" w:styleId="HTMLPreformattedChar">
    <w:name w:val="HTML Preformatted Char"/>
    <w:qFormat/>
    <w:rPr>
      <w:rFonts w:ascii="Courier New" w:hAnsi="Courier New"/>
      <w:color w:val="000000"/>
      <w:sz w:val="20"/>
      <w:lang w:eastAsia="en-GB"/>
    </w:rPr>
  </w:style>
  <w:style w:type="character" w:styleId="NormalWebChar">
    <w:name w:val="Normal (Web) Char"/>
    <w:qFormat/>
    <w:rPr>
      <w:rFonts w:ascii="Times New Roman" w:hAnsi="Times New Roman" w:eastAsia="Times New Roman" w:cs="Times New Roman"/>
      <w:sz w:val="24"/>
      <w:szCs w:val="24"/>
      <w:lang w:val="en-GB" w:eastAsia="en-GB"/>
    </w:rPr>
  </w:style>
  <w:style w:type="character" w:styleId="FooterChar1">
    <w:name w:val="Footer Char1"/>
    <w:qFormat/>
    <w:rPr>
      <w:sz w:val="24"/>
      <w:szCs w:val="24"/>
      <w:lang w:val="en-GB" w:eastAsia="en-GB"/>
    </w:rPr>
  </w:style>
  <w:style w:type="character" w:styleId="IntenseReference">
    <w:name w:val="Intense Reference"/>
    <w:qFormat/>
    <w:rPr>
      <w:b/>
      <w:bCs/>
      <w:smallCaps/>
      <w:color w:val="C0504D"/>
      <w:spacing w:val="5"/>
      <w:u w:val="single"/>
    </w:rPr>
  </w:style>
  <w:style w:type="character" w:styleId="FootnoteTextChar">
    <w:name w:val="Footnote Text Char"/>
    <w:qFormat/>
    <w:rPr>
      <w:rFonts w:ascii="Thorndale" w:hAnsi="Thorndale" w:eastAsia="Andale Sans UI"/>
      <w:color w:val="000000"/>
      <w:sz w:val="20"/>
    </w:rPr>
  </w:style>
  <w:style w:type="character" w:styleId="RTFNum2310">
    <w:name w:val="RTF_Num 23 10"/>
    <w:qFormat/>
    <w:rPr>
      <w:rFonts w:ascii="StarSymbol" w:hAnsi="StarSymbol" w:eastAsia="StarSymbol" w:cs="StarSymbol"/>
      <w:sz w:val="18"/>
      <w:szCs w:val="18"/>
    </w:rPr>
  </w:style>
  <w:style w:type="character" w:styleId="RTFNum239">
    <w:name w:val="RTF_Num 23 9"/>
    <w:qFormat/>
    <w:rPr>
      <w:rFonts w:ascii="StarSymbol" w:hAnsi="StarSymbol" w:eastAsia="StarSymbol" w:cs="StarSymbol"/>
      <w:sz w:val="18"/>
      <w:szCs w:val="18"/>
    </w:rPr>
  </w:style>
  <w:style w:type="character" w:styleId="RTFNum238">
    <w:name w:val="RTF_Num 23 8"/>
    <w:qFormat/>
    <w:rPr>
      <w:rFonts w:ascii="StarSymbol" w:hAnsi="StarSymbol" w:eastAsia="StarSymbol" w:cs="StarSymbol"/>
      <w:sz w:val="18"/>
      <w:szCs w:val="18"/>
    </w:rPr>
  </w:style>
  <w:style w:type="character" w:styleId="RTFNum237">
    <w:name w:val="RTF_Num 23 7"/>
    <w:qFormat/>
    <w:rPr>
      <w:rFonts w:ascii="StarSymbol" w:hAnsi="StarSymbol" w:eastAsia="StarSymbol" w:cs="StarSymbol"/>
      <w:sz w:val="18"/>
      <w:szCs w:val="18"/>
    </w:rPr>
  </w:style>
  <w:style w:type="character" w:styleId="RTFNum236">
    <w:name w:val="RTF_Num 23 6"/>
    <w:qFormat/>
    <w:rPr>
      <w:rFonts w:ascii="StarSymbol" w:hAnsi="StarSymbol" w:eastAsia="StarSymbol" w:cs="StarSymbol"/>
      <w:sz w:val="18"/>
      <w:szCs w:val="18"/>
    </w:rPr>
  </w:style>
  <w:style w:type="character" w:styleId="RTFNum235">
    <w:name w:val="RTF_Num 23 5"/>
    <w:qFormat/>
    <w:rPr>
      <w:rFonts w:ascii="StarSymbol" w:hAnsi="StarSymbol" w:eastAsia="StarSymbol" w:cs="StarSymbol"/>
      <w:sz w:val="18"/>
      <w:szCs w:val="18"/>
    </w:rPr>
  </w:style>
  <w:style w:type="character" w:styleId="RTFNum234">
    <w:name w:val="RTF_Num 23 4"/>
    <w:qFormat/>
    <w:rPr>
      <w:rFonts w:ascii="StarSymbol" w:hAnsi="StarSymbol" w:eastAsia="StarSymbol" w:cs="StarSymbol"/>
      <w:sz w:val="18"/>
      <w:szCs w:val="18"/>
    </w:rPr>
  </w:style>
  <w:style w:type="character" w:styleId="RTFNum233">
    <w:name w:val="RTF_Num 23 3"/>
    <w:qFormat/>
    <w:rPr>
      <w:rFonts w:ascii="StarSymbol" w:hAnsi="StarSymbol" w:eastAsia="StarSymbol" w:cs="StarSymbol"/>
      <w:sz w:val="18"/>
      <w:szCs w:val="18"/>
    </w:rPr>
  </w:style>
  <w:style w:type="character" w:styleId="RTFNum232">
    <w:name w:val="RTF_Num 23 2"/>
    <w:qFormat/>
    <w:rPr>
      <w:rFonts w:ascii="StarSymbol" w:hAnsi="StarSymbol" w:eastAsia="StarSymbol" w:cs="StarSymbol"/>
      <w:sz w:val="18"/>
      <w:szCs w:val="18"/>
    </w:rPr>
  </w:style>
  <w:style w:type="character" w:styleId="RTFNum231">
    <w:name w:val="RTF_Num 23 1"/>
    <w:qFormat/>
    <w:rPr>
      <w:rFonts w:ascii="StarSymbol" w:hAnsi="StarSymbol" w:eastAsia="StarSymbol" w:cs="StarSymbol"/>
      <w:sz w:val="18"/>
      <w:szCs w:val="18"/>
    </w:rPr>
  </w:style>
  <w:style w:type="character" w:styleId="RTFNum2210">
    <w:name w:val="RTF_Num 22 10"/>
    <w:qFormat/>
    <w:rPr>
      <w:rFonts w:ascii="StarSymbol" w:hAnsi="StarSymbol" w:eastAsia="StarSymbol" w:cs="StarSymbol"/>
      <w:sz w:val="18"/>
      <w:szCs w:val="18"/>
    </w:rPr>
  </w:style>
  <w:style w:type="character" w:styleId="RTFNum229">
    <w:name w:val="RTF_Num 22 9"/>
    <w:qFormat/>
    <w:rPr>
      <w:rFonts w:ascii="StarSymbol" w:hAnsi="StarSymbol" w:eastAsia="StarSymbol" w:cs="StarSymbol"/>
      <w:sz w:val="18"/>
      <w:szCs w:val="18"/>
    </w:rPr>
  </w:style>
  <w:style w:type="character" w:styleId="RTFNum228">
    <w:name w:val="RTF_Num 22 8"/>
    <w:qFormat/>
    <w:rPr>
      <w:rFonts w:ascii="StarSymbol" w:hAnsi="StarSymbol" w:eastAsia="StarSymbol" w:cs="StarSymbol"/>
      <w:sz w:val="18"/>
      <w:szCs w:val="18"/>
    </w:rPr>
  </w:style>
  <w:style w:type="character" w:styleId="RTFNum227">
    <w:name w:val="RTF_Num 22 7"/>
    <w:qFormat/>
    <w:rPr>
      <w:rFonts w:ascii="StarSymbol" w:hAnsi="StarSymbol" w:eastAsia="StarSymbol" w:cs="StarSymbol"/>
      <w:sz w:val="18"/>
      <w:szCs w:val="18"/>
    </w:rPr>
  </w:style>
  <w:style w:type="character" w:styleId="RTFNum226">
    <w:name w:val="RTF_Num 22 6"/>
    <w:qFormat/>
    <w:rPr>
      <w:rFonts w:ascii="StarSymbol" w:hAnsi="StarSymbol" w:eastAsia="StarSymbol" w:cs="StarSymbol"/>
      <w:sz w:val="18"/>
      <w:szCs w:val="18"/>
    </w:rPr>
  </w:style>
  <w:style w:type="character" w:styleId="RTFNum225">
    <w:name w:val="RTF_Num 22 5"/>
    <w:qFormat/>
    <w:rPr>
      <w:rFonts w:ascii="StarSymbol" w:hAnsi="StarSymbol" w:eastAsia="StarSymbol" w:cs="StarSymbol"/>
      <w:sz w:val="18"/>
      <w:szCs w:val="18"/>
    </w:rPr>
  </w:style>
  <w:style w:type="character" w:styleId="RTFNum224">
    <w:name w:val="RTF_Num 22 4"/>
    <w:qFormat/>
    <w:rPr>
      <w:rFonts w:ascii="StarSymbol" w:hAnsi="StarSymbol" w:eastAsia="StarSymbol" w:cs="StarSymbol"/>
      <w:sz w:val="18"/>
      <w:szCs w:val="18"/>
    </w:rPr>
  </w:style>
  <w:style w:type="character" w:styleId="RTFNum223">
    <w:name w:val="RTF_Num 22 3"/>
    <w:qFormat/>
    <w:rPr>
      <w:rFonts w:ascii="StarSymbol" w:hAnsi="StarSymbol" w:eastAsia="StarSymbol" w:cs="StarSymbol"/>
      <w:sz w:val="18"/>
      <w:szCs w:val="18"/>
    </w:rPr>
  </w:style>
  <w:style w:type="character" w:styleId="RTFNum222">
    <w:name w:val="RTF_Num 22 2"/>
    <w:qFormat/>
    <w:rPr>
      <w:rFonts w:ascii="StarSymbol" w:hAnsi="StarSymbol" w:eastAsia="StarSymbol" w:cs="StarSymbol"/>
      <w:sz w:val="18"/>
      <w:szCs w:val="18"/>
    </w:rPr>
  </w:style>
  <w:style w:type="character" w:styleId="RTFNum221">
    <w:name w:val="RTF_Num 22 1"/>
    <w:qFormat/>
    <w:rPr>
      <w:rFonts w:ascii="StarSymbol" w:hAnsi="StarSymbol" w:eastAsia="StarSymbol" w:cs="StarSymbol"/>
      <w:sz w:val="18"/>
      <w:szCs w:val="18"/>
    </w:rPr>
  </w:style>
  <w:style w:type="character" w:styleId="RTFNum2110">
    <w:name w:val="RTF_Num 21 10"/>
    <w:qFormat/>
    <w:rPr>
      <w:rFonts w:ascii="StarSymbol" w:hAnsi="StarSymbol" w:eastAsia="StarSymbol" w:cs="StarSymbol"/>
      <w:sz w:val="18"/>
      <w:szCs w:val="18"/>
    </w:rPr>
  </w:style>
  <w:style w:type="character" w:styleId="RTFNum219">
    <w:name w:val="RTF_Num 21 9"/>
    <w:qFormat/>
    <w:rPr>
      <w:rFonts w:ascii="StarSymbol" w:hAnsi="StarSymbol" w:eastAsia="StarSymbol" w:cs="StarSymbol"/>
      <w:sz w:val="18"/>
      <w:szCs w:val="18"/>
    </w:rPr>
  </w:style>
  <w:style w:type="character" w:styleId="RTFNum218">
    <w:name w:val="RTF_Num 21 8"/>
    <w:qFormat/>
    <w:rPr>
      <w:rFonts w:ascii="StarSymbol" w:hAnsi="StarSymbol" w:eastAsia="StarSymbol" w:cs="StarSymbol"/>
      <w:sz w:val="18"/>
      <w:szCs w:val="18"/>
    </w:rPr>
  </w:style>
  <w:style w:type="character" w:styleId="RTFNum217">
    <w:name w:val="RTF_Num 21 7"/>
    <w:qFormat/>
    <w:rPr>
      <w:rFonts w:ascii="StarSymbol" w:hAnsi="StarSymbol" w:eastAsia="StarSymbol" w:cs="StarSymbol"/>
      <w:sz w:val="18"/>
      <w:szCs w:val="18"/>
    </w:rPr>
  </w:style>
  <w:style w:type="character" w:styleId="RTFNum216">
    <w:name w:val="RTF_Num 21 6"/>
    <w:qFormat/>
    <w:rPr>
      <w:rFonts w:ascii="StarSymbol" w:hAnsi="StarSymbol" w:eastAsia="StarSymbol" w:cs="StarSymbol"/>
      <w:sz w:val="18"/>
      <w:szCs w:val="18"/>
    </w:rPr>
  </w:style>
  <w:style w:type="character" w:styleId="RTFNum215">
    <w:name w:val="RTF_Num 21 5"/>
    <w:qFormat/>
    <w:rPr>
      <w:rFonts w:ascii="StarSymbol" w:hAnsi="StarSymbol" w:eastAsia="StarSymbol" w:cs="StarSymbol"/>
      <w:sz w:val="18"/>
      <w:szCs w:val="18"/>
    </w:rPr>
  </w:style>
  <w:style w:type="character" w:styleId="RTFNum214">
    <w:name w:val="RTF_Num 21 4"/>
    <w:qFormat/>
    <w:rPr>
      <w:rFonts w:ascii="StarSymbol" w:hAnsi="StarSymbol" w:eastAsia="StarSymbol" w:cs="StarSymbol"/>
      <w:sz w:val="18"/>
      <w:szCs w:val="18"/>
    </w:rPr>
  </w:style>
  <w:style w:type="character" w:styleId="RTFNum213">
    <w:name w:val="RTF_Num 21 3"/>
    <w:qFormat/>
    <w:rPr>
      <w:rFonts w:ascii="StarSymbol" w:hAnsi="StarSymbol" w:eastAsia="StarSymbol" w:cs="StarSymbol"/>
      <w:sz w:val="18"/>
      <w:szCs w:val="18"/>
    </w:rPr>
  </w:style>
  <w:style w:type="character" w:styleId="RTFNum212">
    <w:name w:val="RTF_Num 21 2"/>
    <w:qFormat/>
    <w:rPr>
      <w:rFonts w:ascii="StarSymbol" w:hAnsi="StarSymbol" w:eastAsia="StarSymbol" w:cs="StarSymbol"/>
      <w:sz w:val="18"/>
      <w:szCs w:val="18"/>
    </w:rPr>
  </w:style>
  <w:style w:type="character" w:styleId="RTFNum211">
    <w:name w:val="RTF_Num 21 1"/>
    <w:qFormat/>
    <w:rPr>
      <w:rFonts w:ascii="StarSymbol" w:hAnsi="StarSymbol" w:eastAsia="StarSymbol" w:cs="StarSymbol"/>
      <w:sz w:val="18"/>
      <w:szCs w:val="18"/>
    </w:rPr>
  </w:style>
  <w:style w:type="character" w:styleId="RTFNum2010">
    <w:name w:val="RTF_Num 20 10"/>
    <w:qFormat/>
    <w:rPr>
      <w:rFonts w:ascii="StarSymbol" w:hAnsi="StarSymbol" w:eastAsia="StarSymbol" w:cs="StarSymbol"/>
      <w:sz w:val="18"/>
      <w:szCs w:val="18"/>
    </w:rPr>
  </w:style>
  <w:style w:type="character" w:styleId="RTFNum209">
    <w:name w:val="RTF_Num 20 9"/>
    <w:qFormat/>
    <w:rPr>
      <w:rFonts w:ascii="StarSymbol" w:hAnsi="StarSymbol" w:eastAsia="StarSymbol" w:cs="StarSymbol"/>
      <w:sz w:val="18"/>
      <w:szCs w:val="18"/>
    </w:rPr>
  </w:style>
  <w:style w:type="character" w:styleId="RTFNum208">
    <w:name w:val="RTF_Num 20 8"/>
    <w:qFormat/>
    <w:rPr>
      <w:rFonts w:ascii="StarSymbol" w:hAnsi="StarSymbol" w:eastAsia="StarSymbol" w:cs="StarSymbol"/>
      <w:sz w:val="18"/>
      <w:szCs w:val="18"/>
    </w:rPr>
  </w:style>
  <w:style w:type="character" w:styleId="RTFNum207">
    <w:name w:val="RTF_Num 20 7"/>
    <w:qFormat/>
    <w:rPr>
      <w:rFonts w:ascii="StarSymbol" w:hAnsi="StarSymbol" w:eastAsia="StarSymbol" w:cs="StarSymbol"/>
      <w:sz w:val="18"/>
      <w:szCs w:val="18"/>
    </w:rPr>
  </w:style>
  <w:style w:type="character" w:styleId="RTFNum206">
    <w:name w:val="RTF_Num 20 6"/>
    <w:qFormat/>
    <w:rPr>
      <w:rFonts w:ascii="StarSymbol" w:hAnsi="StarSymbol" w:eastAsia="StarSymbol" w:cs="StarSymbol"/>
      <w:sz w:val="18"/>
      <w:szCs w:val="18"/>
    </w:rPr>
  </w:style>
  <w:style w:type="character" w:styleId="RTFNum205">
    <w:name w:val="RTF_Num 20 5"/>
    <w:qFormat/>
    <w:rPr>
      <w:rFonts w:ascii="StarSymbol" w:hAnsi="StarSymbol" w:eastAsia="StarSymbol" w:cs="StarSymbol"/>
      <w:sz w:val="18"/>
      <w:szCs w:val="18"/>
    </w:rPr>
  </w:style>
  <w:style w:type="character" w:styleId="RTFNum204">
    <w:name w:val="RTF_Num 20 4"/>
    <w:qFormat/>
    <w:rPr>
      <w:rFonts w:ascii="StarSymbol" w:hAnsi="StarSymbol" w:eastAsia="StarSymbol" w:cs="StarSymbol"/>
      <w:sz w:val="18"/>
      <w:szCs w:val="18"/>
    </w:rPr>
  </w:style>
  <w:style w:type="character" w:styleId="RTFNum203">
    <w:name w:val="RTF_Num 20 3"/>
    <w:qFormat/>
    <w:rPr>
      <w:rFonts w:ascii="StarSymbol" w:hAnsi="StarSymbol" w:eastAsia="StarSymbol" w:cs="StarSymbol"/>
      <w:sz w:val="18"/>
      <w:szCs w:val="18"/>
    </w:rPr>
  </w:style>
  <w:style w:type="character" w:styleId="RTFNum202">
    <w:name w:val="RTF_Num 20 2"/>
    <w:qFormat/>
    <w:rPr>
      <w:rFonts w:ascii="StarSymbol" w:hAnsi="StarSymbol" w:eastAsia="StarSymbol" w:cs="StarSymbol"/>
      <w:sz w:val="18"/>
      <w:szCs w:val="18"/>
    </w:rPr>
  </w:style>
  <w:style w:type="character" w:styleId="RTFNum201">
    <w:name w:val="RTF_Num 20 1"/>
    <w:qFormat/>
    <w:rPr>
      <w:rFonts w:ascii="StarSymbol" w:hAnsi="StarSymbol" w:eastAsia="StarSymbol" w:cs="StarSymbol"/>
      <w:sz w:val="18"/>
      <w:szCs w:val="18"/>
    </w:rPr>
  </w:style>
  <w:style w:type="character" w:styleId="RTFNum1910">
    <w:name w:val="RTF_Num 19 10"/>
    <w:qFormat/>
    <w:rPr>
      <w:rFonts w:ascii="StarSymbol" w:hAnsi="StarSymbol" w:eastAsia="StarSymbol" w:cs="StarSymbol"/>
      <w:sz w:val="18"/>
      <w:szCs w:val="18"/>
    </w:rPr>
  </w:style>
  <w:style w:type="character" w:styleId="RTFNum199">
    <w:name w:val="RTF_Num 19 9"/>
    <w:qFormat/>
    <w:rPr>
      <w:rFonts w:ascii="StarSymbol" w:hAnsi="StarSymbol" w:eastAsia="StarSymbol" w:cs="StarSymbol"/>
      <w:sz w:val="18"/>
      <w:szCs w:val="18"/>
    </w:rPr>
  </w:style>
  <w:style w:type="character" w:styleId="RTFNum198">
    <w:name w:val="RTF_Num 19 8"/>
    <w:qFormat/>
    <w:rPr>
      <w:rFonts w:ascii="StarSymbol" w:hAnsi="StarSymbol" w:eastAsia="StarSymbol" w:cs="StarSymbol"/>
      <w:sz w:val="18"/>
      <w:szCs w:val="18"/>
    </w:rPr>
  </w:style>
  <w:style w:type="character" w:styleId="RTFNum197">
    <w:name w:val="RTF_Num 19 7"/>
    <w:qFormat/>
    <w:rPr>
      <w:rFonts w:ascii="StarSymbol" w:hAnsi="StarSymbol" w:eastAsia="StarSymbol" w:cs="StarSymbol"/>
      <w:sz w:val="18"/>
      <w:szCs w:val="18"/>
    </w:rPr>
  </w:style>
  <w:style w:type="character" w:styleId="RTFNum196">
    <w:name w:val="RTF_Num 19 6"/>
    <w:qFormat/>
    <w:rPr>
      <w:rFonts w:ascii="StarSymbol" w:hAnsi="StarSymbol" w:eastAsia="StarSymbol" w:cs="StarSymbol"/>
      <w:sz w:val="18"/>
      <w:szCs w:val="18"/>
    </w:rPr>
  </w:style>
  <w:style w:type="character" w:styleId="RTFNum195">
    <w:name w:val="RTF_Num 19 5"/>
    <w:qFormat/>
    <w:rPr>
      <w:rFonts w:ascii="StarSymbol" w:hAnsi="StarSymbol" w:eastAsia="StarSymbol" w:cs="StarSymbol"/>
      <w:sz w:val="18"/>
      <w:szCs w:val="18"/>
    </w:rPr>
  </w:style>
  <w:style w:type="character" w:styleId="RTFNum194">
    <w:name w:val="RTF_Num 19 4"/>
    <w:qFormat/>
    <w:rPr>
      <w:rFonts w:ascii="StarSymbol" w:hAnsi="StarSymbol" w:eastAsia="StarSymbol" w:cs="StarSymbol"/>
      <w:sz w:val="18"/>
      <w:szCs w:val="18"/>
    </w:rPr>
  </w:style>
  <w:style w:type="character" w:styleId="RTFNum193">
    <w:name w:val="RTF_Num 19 3"/>
    <w:qFormat/>
    <w:rPr>
      <w:rFonts w:ascii="StarSymbol" w:hAnsi="StarSymbol" w:eastAsia="StarSymbol" w:cs="StarSymbol"/>
      <w:sz w:val="18"/>
      <w:szCs w:val="18"/>
    </w:rPr>
  </w:style>
  <w:style w:type="character" w:styleId="RTFNum192">
    <w:name w:val="RTF_Num 19 2"/>
    <w:qFormat/>
    <w:rPr>
      <w:rFonts w:ascii="StarSymbol" w:hAnsi="StarSymbol" w:eastAsia="StarSymbol" w:cs="StarSymbol"/>
      <w:sz w:val="18"/>
      <w:szCs w:val="18"/>
    </w:rPr>
  </w:style>
  <w:style w:type="character" w:styleId="RTFNum191">
    <w:name w:val="RTF_Num 19 1"/>
    <w:qFormat/>
    <w:rPr>
      <w:rFonts w:ascii="StarSymbol" w:hAnsi="StarSymbol" w:eastAsia="StarSymbol" w:cs="StarSymbol"/>
      <w:sz w:val="18"/>
      <w:szCs w:val="18"/>
    </w:rPr>
  </w:style>
  <w:style w:type="character" w:styleId="RTFNum1810">
    <w:name w:val="RTF_Num 18 10"/>
    <w:qFormat/>
    <w:rPr>
      <w:rFonts w:ascii="StarSymbol" w:hAnsi="StarSymbol" w:eastAsia="StarSymbol" w:cs="StarSymbol"/>
      <w:sz w:val="18"/>
      <w:szCs w:val="18"/>
    </w:rPr>
  </w:style>
  <w:style w:type="character" w:styleId="RTFNum189">
    <w:name w:val="RTF_Num 18 9"/>
    <w:qFormat/>
    <w:rPr>
      <w:rFonts w:ascii="StarSymbol" w:hAnsi="StarSymbol" w:eastAsia="StarSymbol" w:cs="StarSymbol"/>
      <w:sz w:val="18"/>
      <w:szCs w:val="18"/>
    </w:rPr>
  </w:style>
  <w:style w:type="character" w:styleId="RTFNum188">
    <w:name w:val="RTF_Num 18 8"/>
    <w:qFormat/>
    <w:rPr>
      <w:rFonts w:ascii="StarSymbol" w:hAnsi="StarSymbol" w:eastAsia="StarSymbol" w:cs="StarSymbol"/>
      <w:sz w:val="18"/>
      <w:szCs w:val="18"/>
    </w:rPr>
  </w:style>
  <w:style w:type="character" w:styleId="RTFNum187">
    <w:name w:val="RTF_Num 18 7"/>
    <w:qFormat/>
    <w:rPr>
      <w:rFonts w:ascii="StarSymbol" w:hAnsi="StarSymbol" w:eastAsia="StarSymbol" w:cs="StarSymbol"/>
      <w:sz w:val="18"/>
      <w:szCs w:val="18"/>
    </w:rPr>
  </w:style>
  <w:style w:type="character" w:styleId="RTFNum186">
    <w:name w:val="RTF_Num 18 6"/>
    <w:qFormat/>
    <w:rPr>
      <w:rFonts w:ascii="StarSymbol" w:hAnsi="StarSymbol" w:eastAsia="StarSymbol" w:cs="StarSymbol"/>
      <w:sz w:val="18"/>
      <w:szCs w:val="18"/>
    </w:rPr>
  </w:style>
  <w:style w:type="character" w:styleId="RTFNum185">
    <w:name w:val="RTF_Num 18 5"/>
    <w:qFormat/>
    <w:rPr>
      <w:rFonts w:ascii="StarSymbol" w:hAnsi="StarSymbol" w:eastAsia="StarSymbol" w:cs="StarSymbol"/>
      <w:sz w:val="18"/>
      <w:szCs w:val="18"/>
    </w:rPr>
  </w:style>
  <w:style w:type="character" w:styleId="RTFNum184">
    <w:name w:val="RTF_Num 18 4"/>
    <w:qFormat/>
    <w:rPr>
      <w:rFonts w:ascii="StarSymbol" w:hAnsi="StarSymbol" w:eastAsia="StarSymbol" w:cs="StarSymbol"/>
      <w:sz w:val="18"/>
      <w:szCs w:val="18"/>
    </w:rPr>
  </w:style>
  <w:style w:type="character" w:styleId="RTFNum183">
    <w:name w:val="RTF_Num 18 3"/>
    <w:qFormat/>
    <w:rPr>
      <w:rFonts w:ascii="StarSymbol" w:hAnsi="StarSymbol" w:eastAsia="StarSymbol" w:cs="StarSymbol"/>
      <w:sz w:val="18"/>
      <w:szCs w:val="18"/>
    </w:rPr>
  </w:style>
  <w:style w:type="character" w:styleId="RTFNum182">
    <w:name w:val="RTF_Num 18 2"/>
    <w:qFormat/>
    <w:rPr>
      <w:rFonts w:ascii="StarSymbol" w:hAnsi="StarSymbol" w:eastAsia="StarSymbol" w:cs="StarSymbol"/>
      <w:sz w:val="18"/>
      <w:szCs w:val="18"/>
    </w:rPr>
  </w:style>
  <w:style w:type="character" w:styleId="RTFNum181">
    <w:name w:val="RTF_Num 18 1"/>
    <w:qFormat/>
    <w:rPr>
      <w:rFonts w:ascii="StarSymbol" w:hAnsi="StarSymbol" w:eastAsia="StarSymbol" w:cs="StarSymbol"/>
      <w:sz w:val="18"/>
      <w:szCs w:val="18"/>
    </w:rPr>
  </w:style>
  <w:style w:type="character" w:styleId="RTFNum1710">
    <w:name w:val="RTF_Num 17 10"/>
    <w:qFormat/>
    <w:rPr>
      <w:rFonts w:ascii="StarSymbol" w:hAnsi="StarSymbol" w:eastAsia="StarSymbol" w:cs="StarSymbol"/>
      <w:sz w:val="18"/>
      <w:szCs w:val="18"/>
    </w:rPr>
  </w:style>
  <w:style w:type="character" w:styleId="RTFNum179">
    <w:name w:val="RTF_Num 17 9"/>
    <w:qFormat/>
    <w:rPr>
      <w:rFonts w:ascii="StarSymbol" w:hAnsi="StarSymbol" w:eastAsia="StarSymbol" w:cs="StarSymbol"/>
      <w:sz w:val="18"/>
      <w:szCs w:val="18"/>
    </w:rPr>
  </w:style>
  <w:style w:type="character" w:styleId="RTFNum178">
    <w:name w:val="RTF_Num 17 8"/>
    <w:qFormat/>
    <w:rPr>
      <w:rFonts w:ascii="StarSymbol" w:hAnsi="StarSymbol" w:eastAsia="StarSymbol" w:cs="StarSymbol"/>
      <w:sz w:val="18"/>
      <w:szCs w:val="18"/>
    </w:rPr>
  </w:style>
  <w:style w:type="character" w:styleId="RTFNum177">
    <w:name w:val="RTF_Num 17 7"/>
    <w:qFormat/>
    <w:rPr>
      <w:rFonts w:ascii="StarSymbol" w:hAnsi="StarSymbol" w:eastAsia="StarSymbol" w:cs="StarSymbol"/>
      <w:sz w:val="18"/>
      <w:szCs w:val="18"/>
    </w:rPr>
  </w:style>
  <w:style w:type="character" w:styleId="RTFNum176">
    <w:name w:val="RTF_Num 17 6"/>
    <w:qFormat/>
    <w:rPr>
      <w:rFonts w:ascii="StarSymbol" w:hAnsi="StarSymbol" w:eastAsia="StarSymbol" w:cs="StarSymbol"/>
      <w:sz w:val="18"/>
      <w:szCs w:val="18"/>
    </w:rPr>
  </w:style>
  <w:style w:type="character" w:styleId="RTFNum175">
    <w:name w:val="RTF_Num 17 5"/>
    <w:qFormat/>
    <w:rPr>
      <w:rFonts w:ascii="StarSymbol" w:hAnsi="StarSymbol" w:eastAsia="StarSymbol" w:cs="StarSymbol"/>
      <w:sz w:val="18"/>
      <w:szCs w:val="18"/>
    </w:rPr>
  </w:style>
  <w:style w:type="character" w:styleId="RTFNum174">
    <w:name w:val="RTF_Num 17 4"/>
    <w:qFormat/>
    <w:rPr>
      <w:rFonts w:ascii="StarSymbol" w:hAnsi="StarSymbol" w:eastAsia="StarSymbol" w:cs="StarSymbol"/>
      <w:sz w:val="18"/>
      <w:szCs w:val="18"/>
    </w:rPr>
  </w:style>
  <w:style w:type="character" w:styleId="RTFNum173">
    <w:name w:val="RTF_Num 17 3"/>
    <w:qFormat/>
    <w:rPr>
      <w:rFonts w:ascii="StarSymbol" w:hAnsi="StarSymbol" w:eastAsia="StarSymbol" w:cs="StarSymbol"/>
      <w:sz w:val="18"/>
      <w:szCs w:val="18"/>
    </w:rPr>
  </w:style>
  <w:style w:type="character" w:styleId="RTFNum172">
    <w:name w:val="RTF_Num 17 2"/>
    <w:qFormat/>
    <w:rPr>
      <w:rFonts w:ascii="StarSymbol" w:hAnsi="StarSymbol" w:eastAsia="StarSymbol" w:cs="StarSymbol"/>
      <w:sz w:val="18"/>
      <w:szCs w:val="18"/>
    </w:rPr>
  </w:style>
  <w:style w:type="character" w:styleId="RTFNum171">
    <w:name w:val="RTF_Num 17 1"/>
    <w:qFormat/>
    <w:rPr>
      <w:rFonts w:ascii="StarSymbol" w:hAnsi="StarSymbol" w:eastAsia="StarSymbol" w:cs="StarSymbol"/>
      <w:sz w:val="18"/>
      <w:szCs w:val="18"/>
    </w:rPr>
  </w:style>
  <w:style w:type="character" w:styleId="RTFNum1610">
    <w:name w:val="RTF_Num 16 10"/>
    <w:qFormat/>
    <w:rPr>
      <w:rFonts w:ascii="StarSymbol" w:hAnsi="StarSymbol" w:eastAsia="StarSymbol" w:cs="StarSymbol"/>
      <w:sz w:val="18"/>
      <w:szCs w:val="18"/>
    </w:rPr>
  </w:style>
  <w:style w:type="character" w:styleId="RTFNum169">
    <w:name w:val="RTF_Num 16 9"/>
    <w:qFormat/>
    <w:rPr>
      <w:rFonts w:ascii="StarSymbol" w:hAnsi="StarSymbol" w:eastAsia="StarSymbol" w:cs="StarSymbol"/>
      <w:sz w:val="18"/>
      <w:szCs w:val="18"/>
    </w:rPr>
  </w:style>
  <w:style w:type="character" w:styleId="RTFNum168">
    <w:name w:val="RTF_Num 16 8"/>
    <w:qFormat/>
    <w:rPr>
      <w:rFonts w:ascii="StarSymbol" w:hAnsi="StarSymbol" w:eastAsia="StarSymbol" w:cs="StarSymbol"/>
      <w:sz w:val="18"/>
      <w:szCs w:val="18"/>
    </w:rPr>
  </w:style>
  <w:style w:type="character" w:styleId="RTFNum167">
    <w:name w:val="RTF_Num 16 7"/>
    <w:qFormat/>
    <w:rPr>
      <w:rFonts w:ascii="StarSymbol" w:hAnsi="StarSymbol" w:eastAsia="StarSymbol" w:cs="StarSymbol"/>
      <w:sz w:val="18"/>
      <w:szCs w:val="18"/>
    </w:rPr>
  </w:style>
  <w:style w:type="character" w:styleId="RTFNum166">
    <w:name w:val="RTF_Num 16 6"/>
    <w:qFormat/>
    <w:rPr>
      <w:rFonts w:ascii="StarSymbol" w:hAnsi="StarSymbol" w:eastAsia="StarSymbol" w:cs="StarSymbol"/>
      <w:sz w:val="18"/>
      <w:szCs w:val="18"/>
    </w:rPr>
  </w:style>
  <w:style w:type="character" w:styleId="RTFNum165">
    <w:name w:val="RTF_Num 16 5"/>
    <w:qFormat/>
    <w:rPr>
      <w:rFonts w:ascii="StarSymbol" w:hAnsi="StarSymbol" w:eastAsia="StarSymbol" w:cs="StarSymbol"/>
      <w:sz w:val="18"/>
      <w:szCs w:val="18"/>
    </w:rPr>
  </w:style>
  <w:style w:type="character" w:styleId="RTFNum164">
    <w:name w:val="RTF_Num 16 4"/>
    <w:qFormat/>
    <w:rPr>
      <w:rFonts w:ascii="StarSymbol" w:hAnsi="StarSymbol" w:eastAsia="StarSymbol" w:cs="StarSymbol"/>
      <w:sz w:val="18"/>
      <w:szCs w:val="18"/>
    </w:rPr>
  </w:style>
  <w:style w:type="character" w:styleId="RTFNum163">
    <w:name w:val="RTF_Num 16 3"/>
    <w:qFormat/>
    <w:rPr>
      <w:rFonts w:ascii="StarSymbol" w:hAnsi="StarSymbol" w:eastAsia="StarSymbol" w:cs="StarSymbol"/>
      <w:sz w:val="18"/>
      <w:szCs w:val="18"/>
    </w:rPr>
  </w:style>
  <w:style w:type="character" w:styleId="RTFNum162">
    <w:name w:val="RTF_Num 16 2"/>
    <w:qFormat/>
    <w:rPr>
      <w:rFonts w:ascii="StarSymbol" w:hAnsi="StarSymbol" w:eastAsia="StarSymbol" w:cs="StarSymbol"/>
      <w:sz w:val="18"/>
      <w:szCs w:val="18"/>
    </w:rPr>
  </w:style>
  <w:style w:type="character" w:styleId="RTFNum161">
    <w:name w:val="RTF_Num 16 1"/>
    <w:qFormat/>
    <w:rPr>
      <w:rFonts w:ascii="StarSymbol" w:hAnsi="StarSymbol" w:eastAsia="StarSymbol" w:cs="StarSymbol"/>
      <w:sz w:val="18"/>
      <w:szCs w:val="18"/>
    </w:rPr>
  </w:style>
  <w:style w:type="character" w:styleId="RTFNum1510">
    <w:name w:val="RTF_Num 15 10"/>
    <w:qFormat/>
    <w:rPr>
      <w:rFonts w:ascii="StarSymbol" w:hAnsi="StarSymbol" w:eastAsia="StarSymbol" w:cs="StarSymbol"/>
      <w:sz w:val="18"/>
      <w:szCs w:val="18"/>
    </w:rPr>
  </w:style>
  <w:style w:type="character" w:styleId="RTFNum159">
    <w:name w:val="RTF_Num 15 9"/>
    <w:qFormat/>
    <w:rPr>
      <w:rFonts w:ascii="StarSymbol" w:hAnsi="StarSymbol" w:eastAsia="StarSymbol" w:cs="StarSymbol"/>
      <w:sz w:val="18"/>
      <w:szCs w:val="18"/>
    </w:rPr>
  </w:style>
  <w:style w:type="character" w:styleId="RTFNum158">
    <w:name w:val="RTF_Num 15 8"/>
    <w:qFormat/>
    <w:rPr>
      <w:rFonts w:ascii="StarSymbol" w:hAnsi="StarSymbol" w:eastAsia="StarSymbol" w:cs="StarSymbol"/>
      <w:sz w:val="18"/>
      <w:szCs w:val="18"/>
    </w:rPr>
  </w:style>
  <w:style w:type="character" w:styleId="RTFNum157">
    <w:name w:val="RTF_Num 15 7"/>
    <w:qFormat/>
    <w:rPr>
      <w:rFonts w:ascii="StarSymbol" w:hAnsi="StarSymbol" w:eastAsia="StarSymbol" w:cs="StarSymbol"/>
      <w:sz w:val="18"/>
      <w:szCs w:val="18"/>
    </w:rPr>
  </w:style>
  <w:style w:type="character" w:styleId="RTFNum156">
    <w:name w:val="RTF_Num 15 6"/>
    <w:qFormat/>
    <w:rPr>
      <w:rFonts w:ascii="StarSymbol" w:hAnsi="StarSymbol" w:eastAsia="StarSymbol" w:cs="StarSymbol"/>
      <w:sz w:val="18"/>
      <w:szCs w:val="18"/>
    </w:rPr>
  </w:style>
  <w:style w:type="character" w:styleId="RTFNum155">
    <w:name w:val="RTF_Num 15 5"/>
    <w:qFormat/>
    <w:rPr>
      <w:rFonts w:ascii="StarSymbol" w:hAnsi="StarSymbol" w:eastAsia="StarSymbol" w:cs="StarSymbol"/>
      <w:sz w:val="18"/>
      <w:szCs w:val="18"/>
    </w:rPr>
  </w:style>
  <w:style w:type="character" w:styleId="RTFNum154">
    <w:name w:val="RTF_Num 15 4"/>
    <w:qFormat/>
    <w:rPr>
      <w:rFonts w:ascii="StarSymbol" w:hAnsi="StarSymbol" w:eastAsia="StarSymbol" w:cs="StarSymbol"/>
      <w:sz w:val="18"/>
      <w:szCs w:val="18"/>
    </w:rPr>
  </w:style>
  <w:style w:type="character" w:styleId="RTFNum153">
    <w:name w:val="RTF_Num 15 3"/>
    <w:qFormat/>
    <w:rPr>
      <w:rFonts w:ascii="StarSymbol" w:hAnsi="StarSymbol" w:eastAsia="StarSymbol" w:cs="StarSymbol"/>
      <w:sz w:val="18"/>
      <w:szCs w:val="18"/>
    </w:rPr>
  </w:style>
  <w:style w:type="character" w:styleId="RTFNum152">
    <w:name w:val="RTF_Num 15 2"/>
    <w:qFormat/>
    <w:rPr>
      <w:rFonts w:ascii="StarSymbol" w:hAnsi="StarSymbol" w:eastAsia="StarSymbol" w:cs="StarSymbol"/>
      <w:sz w:val="18"/>
      <w:szCs w:val="18"/>
    </w:rPr>
  </w:style>
  <w:style w:type="character" w:styleId="RTFNum151">
    <w:name w:val="RTF_Num 15 1"/>
    <w:qFormat/>
    <w:rPr>
      <w:rFonts w:ascii="StarSymbol" w:hAnsi="StarSymbol" w:eastAsia="StarSymbol" w:cs="StarSymbol"/>
      <w:sz w:val="18"/>
      <w:szCs w:val="18"/>
    </w:rPr>
  </w:style>
  <w:style w:type="character" w:styleId="RTFNum1410">
    <w:name w:val="RTF_Num 14 10"/>
    <w:qFormat/>
    <w:rPr>
      <w:rFonts w:ascii="StarSymbol" w:hAnsi="StarSymbol" w:eastAsia="StarSymbol" w:cs="StarSymbol"/>
      <w:sz w:val="18"/>
      <w:szCs w:val="18"/>
    </w:rPr>
  </w:style>
  <w:style w:type="character" w:styleId="RTFNum149">
    <w:name w:val="RTF_Num 14 9"/>
    <w:qFormat/>
    <w:rPr>
      <w:rFonts w:ascii="StarSymbol" w:hAnsi="StarSymbol" w:eastAsia="StarSymbol" w:cs="StarSymbol"/>
      <w:sz w:val="18"/>
      <w:szCs w:val="18"/>
    </w:rPr>
  </w:style>
  <w:style w:type="character" w:styleId="RTFNum148">
    <w:name w:val="RTF_Num 14 8"/>
    <w:qFormat/>
    <w:rPr>
      <w:rFonts w:ascii="StarSymbol" w:hAnsi="StarSymbol" w:eastAsia="StarSymbol" w:cs="StarSymbol"/>
      <w:sz w:val="18"/>
      <w:szCs w:val="18"/>
    </w:rPr>
  </w:style>
  <w:style w:type="character" w:styleId="RTFNum147">
    <w:name w:val="RTF_Num 14 7"/>
    <w:qFormat/>
    <w:rPr>
      <w:rFonts w:ascii="StarSymbol" w:hAnsi="StarSymbol" w:eastAsia="StarSymbol" w:cs="StarSymbol"/>
      <w:sz w:val="18"/>
      <w:szCs w:val="18"/>
    </w:rPr>
  </w:style>
  <w:style w:type="character" w:styleId="RTFNum146">
    <w:name w:val="RTF_Num 14 6"/>
    <w:qFormat/>
    <w:rPr>
      <w:rFonts w:ascii="StarSymbol" w:hAnsi="StarSymbol" w:eastAsia="StarSymbol" w:cs="StarSymbol"/>
      <w:sz w:val="18"/>
      <w:szCs w:val="18"/>
    </w:rPr>
  </w:style>
  <w:style w:type="character" w:styleId="RTFNum145">
    <w:name w:val="RTF_Num 14 5"/>
    <w:qFormat/>
    <w:rPr>
      <w:rFonts w:ascii="StarSymbol" w:hAnsi="StarSymbol" w:eastAsia="StarSymbol" w:cs="StarSymbol"/>
      <w:sz w:val="18"/>
      <w:szCs w:val="18"/>
    </w:rPr>
  </w:style>
  <w:style w:type="character" w:styleId="RTFNum144">
    <w:name w:val="RTF_Num 14 4"/>
    <w:qFormat/>
    <w:rPr>
      <w:rFonts w:ascii="StarSymbol" w:hAnsi="StarSymbol" w:eastAsia="StarSymbol" w:cs="StarSymbol"/>
      <w:sz w:val="18"/>
      <w:szCs w:val="18"/>
    </w:rPr>
  </w:style>
  <w:style w:type="character" w:styleId="RTFNum143">
    <w:name w:val="RTF_Num 14 3"/>
    <w:qFormat/>
    <w:rPr>
      <w:rFonts w:ascii="StarSymbol" w:hAnsi="StarSymbol" w:eastAsia="StarSymbol" w:cs="StarSymbol"/>
      <w:sz w:val="18"/>
      <w:szCs w:val="18"/>
    </w:rPr>
  </w:style>
  <w:style w:type="character" w:styleId="RTFNum142">
    <w:name w:val="RTF_Num 14 2"/>
    <w:qFormat/>
    <w:rPr>
      <w:rFonts w:ascii="StarSymbol" w:hAnsi="StarSymbol" w:eastAsia="StarSymbol" w:cs="StarSymbol"/>
      <w:sz w:val="18"/>
      <w:szCs w:val="18"/>
    </w:rPr>
  </w:style>
  <w:style w:type="character" w:styleId="RTFNum141">
    <w:name w:val="RTF_Num 14 1"/>
    <w:qFormat/>
    <w:rPr>
      <w:rFonts w:ascii="StarSymbol" w:hAnsi="StarSymbol" w:eastAsia="StarSymbol" w:cs="StarSymbol"/>
      <w:sz w:val="18"/>
      <w:szCs w:val="18"/>
    </w:rPr>
  </w:style>
  <w:style w:type="character" w:styleId="RTFNum1310">
    <w:name w:val="RTF_Num 13 10"/>
    <w:qFormat/>
    <w:rPr>
      <w:rFonts w:ascii="StarSymbol" w:hAnsi="StarSymbol" w:eastAsia="StarSymbol" w:cs="StarSymbol"/>
      <w:sz w:val="18"/>
      <w:szCs w:val="18"/>
    </w:rPr>
  </w:style>
  <w:style w:type="character" w:styleId="RTFNum139">
    <w:name w:val="RTF_Num 13 9"/>
    <w:qFormat/>
    <w:rPr>
      <w:rFonts w:ascii="StarSymbol" w:hAnsi="StarSymbol" w:eastAsia="StarSymbol" w:cs="StarSymbol"/>
      <w:sz w:val="18"/>
      <w:szCs w:val="18"/>
    </w:rPr>
  </w:style>
  <w:style w:type="character" w:styleId="RTFNum138">
    <w:name w:val="RTF_Num 13 8"/>
    <w:qFormat/>
    <w:rPr>
      <w:rFonts w:ascii="StarSymbol" w:hAnsi="StarSymbol" w:eastAsia="StarSymbol" w:cs="StarSymbol"/>
      <w:sz w:val="18"/>
      <w:szCs w:val="18"/>
    </w:rPr>
  </w:style>
  <w:style w:type="character" w:styleId="RTFNum137">
    <w:name w:val="RTF_Num 13 7"/>
    <w:qFormat/>
    <w:rPr>
      <w:rFonts w:ascii="StarSymbol" w:hAnsi="StarSymbol" w:eastAsia="StarSymbol" w:cs="StarSymbol"/>
      <w:sz w:val="18"/>
      <w:szCs w:val="18"/>
    </w:rPr>
  </w:style>
  <w:style w:type="character" w:styleId="RTFNum136">
    <w:name w:val="RTF_Num 13 6"/>
    <w:qFormat/>
    <w:rPr>
      <w:rFonts w:ascii="StarSymbol" w:hAnsi="StarSymbol" w:eastAsia="StarSymbol" w:cs="StarSymbol"/>
      <w:sz w:val="18"/>
      <w:szCs w:val="18"/>
    </w:rPr>
  </w:style>
  <w:style w:type="character" w:styleId="RTFNum135">
    <w:name w:val="RTF_Num 13 5"/>
    <w:qFormat/>
    <w:rPr>
      <w:rFonts w:ascii="StarSymbol" w:hAnsi="StarSymbol" w:eastAsia="StarSymbol" w:cs="StarSymbol"/>
      <w:sz w:val="18"/>
      <w:szCs w:val="18"/>
    </w:rPr>
  </w:style>
  <w:style w:type="character" w:styleId="RTFNum134">
    <w:name w:val="RTF_Num 13 4"/>
    <w:qFormat/>
    <w:rPr>
      <w:rFonts w:ascii="StarSymbol" w:hAnsi="StarSymbol" w:eastAsia="StarSymbol" w:cs="StarSymbol"/>
      <w:sz w:val="18"/>
      <w:szCs w:val="18"/>
    </w:rPr>
  </w:style>
  <w:style w:type="character" w:styleId="RTFNum133">
    <w:name w:val="RTF_Num 13 3"/>
    <w:qFormat/>
    <w:rPr>
      <w:rFonts w:ascii="StarSymbol" w:hAnsi="StarSymbol" w:eastAsia="StarSymbol" w:cs="StarSymbol"/>
      <w:sz w:val="18"/>
      <w:szCs w:val="18"/>
    </w:rPr>
  </w:style>
  <w:style w:type="character" w:styleId="RTFNum132">
    <w:name w:val="RTF_Num 13 2"/>
    <w:qFormat/>
    <w:rPr>
      <w:rFonts w:ascii="StarSymbol" w:hAnsi="StarSymbol" w:eastAsia="StarSymbol" w:cs="StarSymbol"/>
      <w:sz w:val="18"/>
      <w:szCs w:val="18"/>
    </w:rPr>
  </w:style>
  <w:style w:type="character" w:styleId="RTFNum131">
    <w:name w:val="RTF_Num 13 1"/>
    <w:qFormat/>
    <w:rPr>
      <w:rFonts w:ascii="StarSymbol" w:hAnsi="StarSymbol" w:eastAsia="StarSymbol" w:cs="StarSymbol"/>
      <w:sz w:val="18"/>
      <w:szCs w:val="18"/>
    </w:rPr>
  </w:style>
  <w:style w:type="character" w:styleId="RTFNum1210">
    <w:name w:val="RTF_Num 12 10"/>
    <w:qFormat/>
    <w:rPr>
      <w:rFonts w:ascii="StarSymbol" w:hAnsi="StarSymbol" w:eastAsia="StarSymbol" w:cs="StarSymbol"/>
      <w:sz w:val="18"/>
      <w:szCs w:val="18"/>
    </w:rPr>
  </w:style>
  <w:style w:type="character" w:styleId="RTFNum129">
    <w:name w:val="RTF_Num 12 9"/>
    <w:qFormat/>
    <w:rPr>
      <w:rFonts w:ascii="StarSymbol" w:hAnsi="StarSymbol" w:eastAsia="StarSymbol" w:cs="StarSymbol"/>
      <w:sz w:val="18"/>
      <w:szCs w:val="18"/>
    </w:rPr>
  </w:style>
  <w:style w:type="character" w:styleId="RTFNum128">
    <w:name w:val="RTF_Num 12 8"/>
    <w:qFormat/>
    <w:rPr>
      <w:rFonts w:ascii="StarSymbol" w:hAnsi="StarSymbol" w:eastAsia="StarSymbol" w:cs="StarSymbol"/>
      <w:sz w:val="18"/>
      <w:szCs w:val="18"/>
    </w:rPr>
  </w:style>
  <w:style w:type="character" w:styleId="RTFNum127">
    <w:name w:val="RTF_Num 12 7"/>
    <w:qFormat/>
    <w:rPr>
      <w:rFonts w:ascii="StarSymbol" w:hAnsi="StarSymbol" w:eastAsia="StarSymbol" w:cs="StarSymbol"/>
      <w:sz w:val="18"/>
      <w:szCs w:val="18"/>
    </w:rPr>
  </w:style>
  <w:style w:type="character" w:styleId="RTFNum126">
    <w:name w:val="RTF_Num 12 6"/>
    <w:qFormat/>
    <w:rPr>
      <w:rFonts w:ascii="StarSymbol" w:hAnsi="StarSymbol" w:eastAsia="StarSymbol" w:cs="StarSymbol"/>
      <w:sz w:val="18"/>
      <w:szCs w:val="18"/>
    </w:rPr>
  </w:style>
  <w:style w:type="character" w:styleId="RTFNum125">
    <w:name w:val="RTF_Num 12 5"/>
    <w:qFormat/>
    <w:rPr>
      <w:rFonts w:ascii="StarSymbol" w:hAnsi="StarSymbol" w:eastAsia="StarSymbol" w:cs="StarSymbol"/>
      <w:sz w:val="18"/>
      <w:szCs w:val="18"/>
    </w:rPr>
  </w:style>
  <w:style w:type="character" w:styleId="RTFNum124">
    <w:name w:val="RTF_Num 12 4"/>
    <w:qFormat/>
    <w:rPr>
      <w:rFonts w:ascii="StarSymbol" w:hAnsi="StarSymbol" w:eastAsia="StarSymbol" w:cs="StarSymbol"/>
      <w:sz w:val="18"/>
      <w:szCs w:val="18"/>
    </w:rPr>
  </w:style>
  <w:style w:type="character" w:styleId="RTFNum123">
    <w:name w:val="RTF_Num 12 3"/>
    <w:qFormat/>
    <w:rPr>
      <w:rFonts w:ascii="StarSymbol" w:hAnsi="StarSymbol" w:eastAsia="StarSymbol" w:cs="StarSymbol"/>
      <w:sz w:val="18"/>
      <w:szCs w:val="18"/>
    </w:rPr>
  </w:style>
  <w:style w:type="character" w:styleId="RTFNum122">
    <w:name w:val="RTF_Num 12 2"/>
    <w:qFormat/>
    <w:rPr>
      <w:rFonts w:ascii="StarSymbol" w:hAnsi="StarSymbol" w:eastAsia="StarSymbol" w:cs="StarSymbol"/>
      <w:sz w:val="18"/>
      <w:szCs w:val="18"/>
    </w:rPr>
  </w:style>
  <w:style w:type="character" w:styleId="RTFNum121">
    <w:name w:val="RTF_Num 12 1"/>
    <w:qFormat/>
    <w:rPr>
      <w:rFonts w:ascii="StarSymbol" w:hAnsi="StarSymbol" w:eastAsia="StarSymbol" w:cs="StarSymbol"/>
      <w:sz w:val="18"/>
      <w:szCs w:val="18"/>
    </w:rPr>
  </w:style>
  <w:style w:type="character" w:styleId="RTFNum1110">
    <w:name w:val="RTF_Num 11 10"/>
    <w:qFormat/>
    <w:rPr>
      <w:rFonts w:ascii="StarSymbol" w:hAnsi="StarSymbol" w:eastAsia="StarSymbol" w:cs="StarSymbol"/>
      <w:sz w:val="18"/>
      <w:szCs w:val="18"/>
    </w:rPr>
  </w:style>
  <w:style w:type="character" w:styleId="RTFNum119">
    <w:name w:val="RTF_Num 11 9"/>
    <w:qFormat/>
    <w:rPr>
      <w:rFonts w:ascii="StarSymbol" w:hAnsi="StarSymbol" w:eastAsia="StarSymbol" w:cs="StarSymbol"/>
      <w:sz w:val="18"/>
      <w:szCs w:val="18"/>
    </w:rPr>
  </w:style>
  <w:style w:type="character" w:styleId="RTFNum118">
    <w:name w:val="RTF_Num 11 8"/>
    <w:qFormat/>
    <w:rPr>
      <w:rFonts w:ascii="StarSymbol" w:hAnsi="StarSymbol" w:eastAsia="StarSymbol" w:cs="StarSymbol"/>
      <w:sz w:val="18"/>
      <w:szCs w:val="18"/>
    </w:rPr>
  </w:style>
  <w:style w:type="character" w:styleId="RTFNum117">
    <w:name w:val="RTF_Num 11 7"/>
    <w:qFormat/>
    <w:rPr>
      <w:rFonts w:ascii="StarSymbol" w:hAnsi="StarSymbol" w:eastAsia="StarSymbol" w:cs="StarSymbol"/>
      <w:sz w:val="18"/>
      <w:szCs w:val="18"/>
    </w:rPr>
  </w:style>
  <w:style w:type="character" w:styleId="RTFNum116">
    <w:name w:val="RTF_Num 11 6"/>
    <w:qFormat/>
    <w:rPr>
      <w:rFonts w:ascii="StarSymbol" w:hAnsi="StarSymbol" w:eastAsia="StarSymbol" w:cs="StarSymbol"/>
      <w:sz w:val="18"/>
      <w:szCs w:val="18"/>
    </w:rPr>
  </w:style>
  <w:style w:type="character" w:styleId="RTFNum115">
    <w:name w:val="RTF_Num 11 5"/>
    <w:qFormat/>
    <w:rPr>
      <w:rFonts w:ascii="StarSymbol" w:hAnsi="StarSymbol" w:eastAsia="StarSymbol" w:cs="StarSymbol"/>
      <w:sz w:val="18"/>
      <w:szCs w:val="18"/>
    </w:rPr>
  </w:style>
  <w:style w:type="character" w:styleId="RTFNum114">
    <w:name w:val="RTF_Num 11 4"/>
    <w:qFormat/>
    <w:rPr>
      <w:rFonts w:ascii="StarSymbol" w:hAnsi="StarSymbol" w:eastAsia="StarSymbol" w:cs="StarSymbol"/>
      <w:sz w:val="18"/>
      <w:szCs w:val="18"/>
    </w:rPr>
  </w:style>
  <w:style w:type="character" w:styleId="RTFNum113">
    <w:name w:val="RTF_Num 11 3"/>
    <w:qFormat/>
    <w:rPr>
      <w:rFonts w:ascii="StarSymbol" w:hAnsi="StarSymbol" w:eastAsia="StarSymbol" w:cs="StarSymbol"/>
      <w:sz w:val="18"/>
      <w:szCs w:val="18"/>
    </w:rPr>
  </w:style>
  <w:style w:type="character" w:styleId="RTFNum112">
    <w:name w:val="RTF_Num 11 2"/>
    <w:qFormat/>
    <w:rPr>
      <w:rFonts w:ascii="StarSymbol" w:hAnsi="StarSymbol" w:eastAsia="StarSymbol" w:cs="StarSymbol"/>
      <w:sz w:val="18"/>
      <w:szCs w:val="18"/>
    </w:rPr>
  </w:style>
  <w:style w:type="character" w:styleId="RTFNum111">
    <w:name w:val="RTF_Num 11 1"/>
    <w:qFormat/>
    <w:rPr>
      <w:rFonts w:ascii="StarSymbol" w:hAnsi="StarSymbol" w:eastAsia="StarSymbol" w:cs="StarSymbol"/>
      <w:sz w:val="18"/>
      <w:szCs w:val="18"/>
    </w:rPr>
  </w:style>
  <w:style w:type="character" w:styleId="RTFNum1010">
    <w:name w:val="RTF_Num 10 10"/>
    <w:qFormat/>
    <w:rPr>
      <w:rFonts w:ascii="StarSymbol" w:hAnsi="StarSymbol" w:eastAsia="StarSymbol" w:cs="StarSymbol"/>
      <w:sz w:val="18"/>
      <w:szCs w:val="18"/>
    </w:rPr>
  </w:style>
  <w:style w:type="character" w:styleId="RTFNum109">
    <w:name w:val="RTF_Num 10 9"/>
    <w:qFormat/>
    <w:rPr>
      <w:rFonts w:ascii="StarSymbol" w:hAnsi="StarSymbol" w:eastAsia="StarSymbol" w:cs="StarSymbol"/>
      <w:sz w:val="18"/>
      <w:szCs w:val="18"/>
    </w:rPr>
  </w:style>
  <w:style w:type="character" w:styleId="RTFNum108">
    <w:name w:val="RTF_Num 10 8"/>
    <w:qFormat/>
    <w:rPr>
      <w:rFonts w:ascii="StarSymbol" w:hAnsi="StarSymbol" w:eastAsia="StarSymbol" w:cs="StarSymbol"/>
      <w:sz w:val="18"/>
      <w:szCs w:val="18"/>
    </w:rPr>
  </w:style>
  <w:style w:type="character" w:styleId="RTFNum107">
    <w:name w:val="RTF_Num 10 7"/>
    <w:qFormat/>
    <w:rPr>
      <w:rFonts w:ascii="StarSymbol" w:hAnsi="StarSymbol" w:eastAsia="StarSymbol" w:cs="StarSymbol"/>
      <w:sz w:val="18"/>
      <w:szCs w:val="18"/>
    </w:rPr>
  </w:style>
  <w:style w:type="character" w:styleId="RTFNum106">
    <w:name w:val="RTF_Num 10 6"/>
    <w:qFormat/>
    <w:rPr>
      <w:rFonts w:ascii="StarSymbol" w:hAnsi="StarSymbol" w:eastAsia="StarSymbol" w:cs="StarSymbol"/>
      <w:sz w:val="18"/>
      <w:szCs w:val="18"/>
    </w:rPr>
  </w:style>
  <w:style w:type="character" w:styleId="RTFNum105">
    <w:name w:val="RTF_Num 10 5"/>
    <w:qFormat/>
    <w:rPr>
      <w:rFonts w:ascii="StarSymbol" w:hAnsi="StarSymbol" w:eastAsia="StarSymbol" w:cs="StarSymbol"/>
      <w:sz w:val="18"/>
      <w:szCs w:val="18"/>
    </w:rPr>
  </w:style>
  <w:style w:type="character" w:styleId="RTFNum104">
    <w:name w:val="RTF_Num 10 4"/>
    <w:qFormat/>
    <w:rPr>
      <w:rFonts w:ascii="StarSymbol" w:hAnsi="StarSymbol" w:eastAsia="StarSymbol" w:cs="StarSymbol"/>
      <w:sz w:val="18"/>
      <w:szCs w:val="18"/>
    </w:rPr>
  </w:style>
  <w:style w:type="character" w:styleId="RTFNum103">
    <w:name w:val="RTF_Num 10 3"/>
    <w:qFormat/>
    <w:rPr>
      <w:rFonts w:ascii="StarSymbol" w:hAnsi="StarSymbol" w:eastAsia="StarSymbol" w:cs="StarSymbol"/>
      <w:sz w:val="18"/>
      <w:szCs w:val="18"/>
    </w:rPr>
  </w:style>
  <w:style w:type="character" w:styleId="RTFNum102">
    <w:name w:val="RTF_Num 10 2"/>
    <w:qFormat/>
    <w:rPr>
      <w:rFonts w:ascii="StarSymbol" w:hAnsi="StarSymbol" w:eastAsia="StarSymbol" w:cs="StarSymbol"/>
      <w:sz w:val="18"/>
      <w:szCs w:val="18"/>
    </w:rPr>
  </w:style>
  <w:style w:type="character" w:styleId="RTFNum101">
    <w:name w:val="RTF_Num 10 1"/>
    <w:qFormat/>
    <w:rPr>
      <w:rFonts w:ascii="StarSymbol" w:hAnsi="StarSymbol" w:eastAsia="StarSymbol" w:cs="StarSymbol"/>
      <w:sz w:val="18"/>
      <w:szCs w:val="18"/>
    </w:rPr>
  </w:style>
  <w:style w:type="character" w:styleId="RTFNum910">
    <w:name w:val="RTF_Num 9 10"/>
    <w:qFormat/>
    <w:rPr>
      <w:rFonts w:ascii="StarSymbol" w:hAnsi="StarSymbol" w:eastAsia="StarSymbol" w:cs="StarSymbol"/>
      <w:sz w:val="18"/>
      <w:szCs w:val="18"/>
    </w:rPr>
  </w:style>
  <w:style w:type="character" w:styleId="RTFNum99">
    <w:name w:val="RTF_Num 9 9"/>
    <w:qFormat/>
    <w:rPr>
      <w:rFonts w:ascii="StarSymbol" w:hAnsi="StarSymbol" w:eastAsia="StarSymbol" w:cs="StarSymbol"/>
      <w:sz w:val="18"/>
      <w:szCs w:val="18"/>
    </w:rPr>
  </w:style>
  <w:style w:type="character" w:styleId="RTFNum98">
    <w:name w:val="RTF_Num 9 8"/>
    <w:qFormat/>
    <w:rPr>
      <w:rFonts w:ascii="StarSymbol" w:hAnsi="StarSymbol" w:eastAsia="StarSymbol" w:cs="StarSymbol"/>
      <w:sz w:val="18"/>
      <w:szCs w:val="18"/>
    </w:rPr>
  </w:style>
  <w:style w:type="character" w:styleId="RTFNum97">
    <w:name w:val="RTF_Num 9 7"/>
    <w:qFormat/>
    <w:rPr>
      <w:rFonts w:ascii="StarSymbol" w:hAnsi="StarSymbol" w:eastAsia="StarSymbol" w:cs="StarSymbol"/>
      <w:sz w:val="18"/>
      <w:szCs w:val="18"/>
    </w:rPr>
  </w:style>
  <w:style w:type="character" w:styleId="RTFNum96">
    <w:name w:val="RTF_Num 9 6"/>
    <w:qFormat/>
    <w:rPr>
      <w:rFonts w:ascii="StarSymbol" w:hAnsi="StarSymbol" w:eastAsia="StarSymbol" w:cs="StarSymbol"/>
      <w:sz w:val="18"/>
      <w:szCs w:val="18"/>
    </w:rPr>
  </w:style>
  <w:style w:type="character" w:styleId="RTFNum95">
    <w:name w:val="RTF_Num 9 5"/>
    <w:qFormat/>
    <w:rPr>
      <w:rFonts w:ascii="StarSymbol" w:hAnsi="StarSymbol" w:eastAsia="StarSymbol" w:cs="StarSymbol"/>
      <w:sz w:val="18"/>
      <w:szCs w:val="18"/>
    </w:rPr>
  </w:style>
  <w:style w:type="character" w:styleId="RTFNum94">
    <w:name w:val="RTF_Num 9 4"/>
    <w:qFormat/>
    <w:rPr>
      <w:rFonts w:ascii="StarSymbol" w:hAnsi="StarSymbol" w:eastAsia="StarSymbol" w:cs="StarSymbol"/>
      <w:sz w:val="18"/>
      <w:szCs w:val="18"/>
    </w:rPr>
  </w:style>
  <w:style w:type="character" w:styleId="RTFNum93">
    <w:name w:val="RTF_Num 9 3"/>
    <w:qFormat/>
    <w:rPr>
      <w:rFonts w:ascii="StarSymbol" w:hAnsi="StarSymbol" w:eastAsia="StarSymbol" w:cs="StarSymbol"/>
      <w:sz w:val="18"/>
      <w:szCs w:val="18"/>
    </w:rPr>
  </w:style>
  <w:style w:type="character" w:styleId="RTFNum92">
    <w:name w:val="RTF_Num 9 2"/>
    <w:qFormat/>
    <w:rPr>
      <w:rFonts w:ascii="StarSymbol" w:hAnsi="StarSymbol" w:eastAsia="StarSymbol" w:cs="StarSymbol"/>
      <w:sz w:val="18"/>
      <w:szCs w:val="18"/>
    </w:rPr>
  </w:style>
  <w:style w:type="character" w:styleId="RTFNum91">
    <w:name w:val="RTF_Num 9 1"/>
    <w:qFormat/>
    <w:rPr>
      <w:rFonts w:ascii="StarSymbol" w:hAnsi="StarSymbol" w:eastAsia="StarSymbol" w:cs="StarSymbol"/>
      <w:sz w:val="18"/>
      <w:szCs w:val="18"/>
    </w:rPr>
  </w:style>
  <w:style w:type="character" w:styleId="RTFNum810">
    <w:name w:val="RTF_Num 8 10"/>
    <w:qFormat/>
    <w:rPr>
      <w:rFonts w:ascii="StarSymbol" w:hAnsi="StarSymbol" w:eastAsia="StarSymbol" w:cs="StarSymbol"/>
      <w:sz w:val="18"/>
      <w:szCs w:val="18"/>
    </w:rPr>
  </w:style>
  <w:style w:type="character" w:styleId="RTFNum89">
    <w:name w:val="RTF_Num 8 9"/>
    <w:qFormat/>
    <w:rPr>
      <w:rFonts w:ascii="StarSymbol" w:hAnsi="StarSymbol" w:eastAsia="StarSymbol" w:cs="StarSymbol"/>
      <w:sz w:val="18"/>
      <w:szCs w:val="18"/>
    </w:rPr>
  </w:style>
  <w:style w:type="character" w:styleId="RTFNum88">
    <w:name w:val="RTF_Num 8 8"/>
    <w:qFormat/>
    <w:rPr>
      <w:rFonts w:ascii="StarSymbol" w:hAnsi="StarSymbol" w:eastAsia="StarSymbol" w:cs="StarSymbol"/>
      <w:sz w:val="18"/>
      <w:szCs w:val="18"/>
    </w:rPr>
  </w:style>
  <w:style w:type="character" w:styleId="RTFNum87">
    <w:name w:val="RTF_Num 8 7"/>
    <w:qFormat/>
    <w:rPr>
      <w:rFonts w:ascii="StarSymbol" w:hAnsi="StarSymbol" w:eastAsia="StarSymbol" w:cs="StarSymbol"/>
      <w:sz w:val="18"/>
      <w:szCs w:val="18"/>
    </w:rPr>
  </w:style>
  <w:style w:type="character" w:styleId="RTFNum86">
    <w:name w:val="RTF_Num 8 6"/>
    <w:qFormat/>
    <w:rPr>
      <w:rFonts w:ascii="StarSymbol" w:hAnsi="StarSymbol" w:eastAsia="StarSymbol" w:cs="StarSymbol"/>
      <w:sz w:val="18"/>
      <w:szCs w:val="18"/>
    </w:rPr>
  </w:style>
  <w:style w:type="character" w:styleId="RTFNum85">
    <w:name w:val="RTF_Num 8 5"/>
    <w:qFormat/>
    <w:rPr>
      <w:rFonts w:ascii="StarSymbol" w:hAnsi="StarSymbol" w:eastAsia="StarSymbol" w:cs="StarSymbol"/>
      <w:sz w:val="18"/>
      <w:szCs w:val="18"/>
    </w:rPr>
  </w:style>
  <w:style w:type="character" w:styleId="RTFNum84">
    <w:name w:val="RTF_Num 8 4"/>
    <w:qFormat/>
    <w:rPr>
      <w:rFonts w:ascii="StarSymbol" w:hAnsi="StarSymbol" w:eastAsia="StarSymbol" w:cs="StarSymbol"/>
      <w:sz w:val="18"/>
      <w:szCs w:val="18"/>
    </w:rPr>
  </w:style>
  <w:style w:type="character" w:styleId="RTFNum83">
    <w:name w:val="RTF_Num 8 3"/>
    <w:qFormat/>
    <w:rPr>
      <w:rFonts w:ascii="StarSymbol" w:hAnsi="StarSymbol" w:eastAsia="StarSymbol" w:cs="StarSymbol"/>
      <w:sz w:val="18"/>
      <w:szCs w:val="18"/>
    </w:rPr>
  </w:style>
  <w:style w:type="character" w:styleId="RTFNum82">
    <w:name w:val="RTF_Num 8 2"/>
    <w:qFormat/>
    <w:rPr>
      <w:rFonts w:ascii="StarSymbol" w:hAnsi="StarSymbol" w:eastAsia="StarSymbol" w:cs="StarSymbol"/>
      <w:sz w:val="18"/>
      <w:szCs w:val="18"/>
    </w:rPr>
  </w:style>
  <w:style w:type="character" w:styleId="RTFNum81">
    <w:name w:val="RTF_Num 8 1"/>
    <w:qFormat/>
    <w:rPr>
      <w:rFonts w:ascii="StarSymbol" w:hAnsi="StarSymbol" w:eastAsia="StarSymbol" w:cs="StarSymbol"/>
      <w:sz w:val="18"/>
      <w:szCs w:val="18"/>
    </w:rPr>
  </w:style>
  <w:style w:type="character" w:styleId="RTFNum710">
    <w:name w:val="RTF_Num 7 10"/>
    <w:qFormat/>
    <w:rPr>
      <w:rFonts w:ascii="StarSymbol" w:hAnsi="StarSymbol" w:eastAsia="StarSymbol" w:cs="StarSymbol"/>
      <w:sz w:val="18"/>
      <w:szCs w:val="18"/>
    </w:rPr>
  </w:style>
  <w:style w:type="character" w:styleId="RTFNum79">
    <w:name w:val="RTF_Num 7 9"/>
    <w:qFormat/>
    <w:rPr>
      <w:rFonts w:ascii="StarSymbol" w:hAnsi="StarSymbol" w:eastAsia="StarSymbol" w:cs="StarSymbol"/>
      <w:sz w:val="18"/>
      <w:szCs w:val="18"/>
    </w:rPr>
  </w:style>
  <w:style w:type="character" w:styleId="RTFNum78">
    <w:name w:val="RTF_Num 7 8"/>
    <w:qFormat/>
    <w:rPr>
      <w:rFonts w:ascii="StarSymbol" w:hAnsi="StarSymbol" w:eastAsia="StarSymbol" w:cs="StarSymbol"/>
      <w:sz w:val="18"/>
      <w:szCs w:val="18"/>
    </w:rPr>
  </w:style>
  <w:style w:type="character" w:styleId="RTFNum77">
    <w:name w:val="RTF_Num 7 7"/>
    <w:qFormat/>
    <w:rPr>
      <w:rFonts w:ascii="StarSymbol" w:hAnsi="StarSymbol" w:eastAsia="StarSymbol" w:cs="StarSymbol"/>
      <w:sz w:val="18"/>
      <w:szCs w:val="18"/>
    </w:rPr>
  </w:style>
  <w:style w:type="character" w:styleId="RTFNum76">
    <w:name w:val="RTF_Num 7 6"/>
    <w:qFormat/>
    <w:rPr>
      <w:rFonts w:ascii="StarSymbol" w:hAnsi="StarSymbol" w:eastAsia="StarSymbol" w:cs="StarSymbol"/>
      <w:sz w:val="18"/>
      <w:szCs w:val="18"/>
    </w:rPr>
  </w:style>
  <w:style w:type="character" w:styleId="RTFNum75">
    <w:name w:val="RTF_Num 7 5"/>
    <w:qFormat/>
    <w:rPr>
      <w:rFonts w:ascii="StarSymbol" w:hAnsi="StarSymbol" w:eastAsia="StarSymbol" w:cs="StarSymbol"/>
      <w:sz w:val="18"/>
      <w:szCs w:val="18"/>
    </w:rPr>
  </w:style>
  <w:style w:type="character" w:styleId="RTFNum74">
    <w:name w:val="RTF_Num 7 4"/>
    <w:qFormat/>
    <w:rPr>
      <w:rFonts w:ascii="StarSymbol" w:hAnsi="StarSymbol" w:eastAsia="StarSymbol" w:cs="StarSymbol"/>
      <w:sz w:val="18"/>
      <w:szCs w:val="18"/>
    </w:rPr>
  </w:style>
  <w:style w:type="character" w:styleId="RTFNum73">
    <w:name w:val="RTF_Num 7 3"/>
    <w:qFormat/>
    <w:rPr>
      <w:rFonts w:ascii="StarSymbol" w:hAnsi="StarSymbol" w:eastAsia="StarSymbol" w:cs="StarSymbol"/>
      <w:sz w:val="18"/>
      <w:szCs w:val="18"/>
    </w:rPr>
  </w:style>
  <w:style w:type="character" w:styleId="RTFNum72">
    <w:name w:val="RTF_Num 7 2"/>
    <w:qFormat/>
    <w:rPr>
      <w:rFonts w:ascii="StarSymbol" w:hAnsi="StarSymbol" w:eastAsia="StarSymbol" w:cs="StarSymbol"/>
      <w:sz w:val="18"/>
      <w:szCs w:val="18"/>
    </w:rPr>
  </w:style>
  <w:style w:type="character" w:styleId="RTFNum71">
    <w:name w:val="RTF_Num 7 1"/>
    <w:qFormat/>
    <w:rPr>
      <w:rFonts w:ascii="StarSymbol" w:hAnsi="StarSymbol" w:eastAsia="StarSymbol" w:cs="StarSymbol"/>
      <w:sz w:val="18"/>
      <w:szCs w:val="18"/>
    </w:rPr>
  </w:style>
  <w:style w:type="character" w:styleId="RTFNum610">
    <w:name w:val="RTF_Num 6 10"/>
    <w:qFormat/>
    <w:rPr>
      <w:rFonts w:ascii="StarSymbol" w:hAnsi="StarSymbol" w:eastAsia="StarSymbol" w:cs="StarSymbol"/>
      <w:sz w:val="18"/>
      <w:szCs w:val="18"/>
    </w:rPr>
  </w:style>
  <w:style w:type="character" w:styleId="RTFNum69">
    <w:name w:val="RTF_Num 6 9"/>
    <w:qFormat/>
    <w:rPr>
      <w:rFonts w:ascii="StarSymbol" w:hAnsi="StarSymbol" w:eastAsia="StarSymbol" w:cs="StarSymbol"/>
      <w:sz w:val="18"/>
      <w:szCs w:val="18"/>
    </w:rPr>
  </w:style>
  <w:style w:type="character" w:styleId="RTFNum68">
    <w:name w:val="RTF_Num 6 8"/>
    <w:qFormat/>
    <w:rPr>
      <w:rFonts w:ascii="StarSymbol" w:hAnsi="StarSymbol" w:eastAsia="StarSymbol" w:cs="StarSymbol"/>
      <w:sz w:val="18"/>
      <w:szCs w:val="18"/>
    </w:rPr>
  </w:style>
  <w:style w:type="character" w:styleId="RTFNum67">
    <w:name w:val="RTF_Num 6 7"/>
    <w:qFormat/>
    <w:rPr>
      <w:rFonts w:ascii="StarSymbol" w:hAnsi="StarSymbol" w:eastAsia="StarSymbol" w:cs="StarSymbol"/>
      <w:sz w:val="18"/>
      <w:szCs w:val="18"/>
    </w:rPr>
  </w:style>
  <w:style w:type="character" w:styleId="RTFNum66">
    <w:name w:val="RTF_Num 6 6"/>
    <w:qFormat/>
    <w:rPr>
      <w:rFonts w:ascii="StarSymbol" w:hAnsi="StarSymbol" w:eastAsia="StarSymbol" w:cs="StarSymbol"/>
      <w:sz w:val="18"/>
      <w:szCs w:val="18"/>
    </w:rPr>
  </w:style>
  <w:style w:type="character" w:styleId="RTFNum65">
    <w:name w:val="RTF_Num 6 5"/>
    <w:qFormat/>
    <w:rPr>
      <w:rFonts w:ascii="StarSymbol" w:hAnsi="StarSymbol" w:eastAsia="StarSymbol" w:cs="StarSymbol"/>
      <w:sz w:val="18"/>
      <w:szCs w:val="18"/>
    </w:rPr>
  </w:style>
  <w:style w:type="character" w:styleId="RTFNum64">
    <w:name w:val="RTF_Num 6 4"/>
    <w:qFormat/>
    <w:rPr>
      <w:rFonts w:ascii="StarSymbol" w:hAnsi="StarSymbol" w:eastAsia="StarSymbol" w:cs="StarSymbol"/>
      <w:sz w:val="18"/>
      <w:szCs w:val="18"/>
    </w:rPr>
  </w:style>
  <w:style w:type="character" w:styleId="RTFNum63">
    <w:name w:val="RTF_Num 6 3"/>
    <w:qFormat/>
    <w:rPr>
      <w:rFonts w:ascii="StarSymbol" w:hAnsi="StarSymbol" w:eastAsia="StarSymbol" w:cs="StarSymbol"/>
      <w:sz w:val="18"/>
      <w:szCs w:val="18"/>
    </w:rPr>
  </w:style>
  <w:style w:type="character" w:styleId="RTFNum62">
    <w:name w:val="RTF_Num 6 2"/>
    <w:qFormat/>
    <w:rPr>
      <w:rFonts w:ascii="StarSymbol" w:hAnsi="StarSymbol" w:eastAsia="StarSymbol" w:cs="StarSymbol"/>
      <w:sz w:val="18"/>
      <w:szCs w:val="18"/>
    </w:rPr>
  </w:style>
  <w:style w:type="character" w:styleId="RTFNum61">
    <w:name w:val="RTF_Num 6 1"/>
    <w:qFormat/>
    <w:rPr>
      <w:rFonts w:ascii="StarSymbol" w:hAnsi="StarSymbol" w:eastAsia="StarSymbol" w:cs="StarSymbol"/>
      <w:sz w:val="18"/>
      <w:szCs w:val="18"/>
    </w:rPr>
  </w:style>
  <w:style w:type="character" w:styleId="RTFNum510">
    <w:name w:val="RTF_Num 5 10"/>
    <w:qFormat/>
    <w:rPr>
      <w:rFonts w:ascii="StarSymbol" w:hAnsi="StarSymbol" w:eastAsia="StarSymbol" w:cs="StarSymbol"/>
      <w:sz w:val="18"/>
      <w:szCs w:val="18"/>
    </w:rPr>
  </w:style>
  <w:style w:type="character" w:styleId="RTFNum59">
    <w:name w:val="RTF_Num 5 9"/>
    <w:qFormat/>
    <w:rPr>
      <w:rFonts w:ascii="StarSymbol" w:hAnsi="StarSymbol" w:eastAsia="StarSymbol" w:cs="StarSymbol"/>
      <w:sz w:val="18"/>
      <w:szCs w:val="18"/>
    </w:rPr>
  </w:style>
  <w:style w:type="character" w:styleId="RTFNum58">
    <w:name w:val="RTF_Num 5 8"/>
    <w:qFormat/>
    <w:rPr>
      <w:rFonts w:ascii="StarSymbol" w:hAnsi="StarSymbol" w:eastAsia="StarSymbol" w:cs="StarSymbol"/>
      <w:sz w:val="18"/>
      <w:szCs w:val="18"/>
    </w:rPr>
  </w:style>
  <w:style w:type="character" w:styleId="RTFNum57">
    <w:name w:val="RTF_Num 5 7"/>
    <w:qFormat/>
    <w:rPr>
      <w:rFonts w:ascii="StarSymbol" w:hAnsi="StarSymbol" w:eastAsia="StarSymbol" w:cs="StarSymbol"/>
      <w:sz w:val="18"/>
      <w:szCs w:val="18"/>
    </w:rPr>
  </w:style>
  <w:style w:type="character" w:styleId="RTFNum56">
    <w:name w:val="RTF_Num 5 6"/>
    <w:qFormat/>
    <w:rPr>
      <w:rFonts w:ascii="StarSymbol" w:hAnsi="StarSymbol" w:eastAsia="StarSymbol" w:cs="StarSymbol"/>
      <w:sz w:val="18"/>
      <w:szCs w:val="18"/>
    </w:rPr>
  </w:style>
  <w:style w:type="character" w:styleId="RTFNum55">
    <w:name w:val="RTF_Num 5 5"/>
    <w:qFormat/>
    <w:rPr>
      <w:rFonts w:ascii="StarSymbol" w:hAnsi="StarSymbol" w:eastAsia="StarSymbol" w:cs="StarSymbol"/>
      <w:sz w:val="18"/>
      <w:szCs w:val="18"/>
    </w:rPr>
  </w:style>
  <w:style w:type="character" w:styleId="RTFNum54">
    <w:name w:val="RTF_Num 5 4"/>
    <w:qFormat/>
    <w:rPr>
      <w:rFonts w:ascii="StarSymbol" w:hAnsi="StarSymbol" w:eastAsia="StarSymbol" w:cs="StarSymbol"/>
      <w:sz w:val="18"/>
      <w:szCs w:val="18"/>
    </w:rPr>
  </w:style>
  <w:style w:type="character" w:styleId="RTFNum53">
    <w:name w:val="RTF_Num 5 3"/>
    <w:qFormat/>
    <w:rPr>
      <w:rFonts w:ascii="StarSymbol" w:hAnsi="StarSymbol" w:eastAsia="StarSymbol" w:cs="StarSymbol"/>
      <w:sz w:val="18"/>
      <w:szCs w:val="18"/>
    </w:rPr>
  </w:style>
  <w:style w:type="character" w:styleId="RTFNum52">
    <w:name w:val="RTF_Num 5 2"/>
    <w:qFormat/>
    <w:rPr>
      <w:rFonts w:ascii="StarSymbol" w:hAnsi="StarSymbol" w:eastAsia="StarSymbol" w:cs="StarSymbol"/>
      <w:sz w:val="18"/>
      <w:szCs w:val="18"/>
    </w:rPr>
  </w:style>
  <w:style w:type="character" w:styleId="RTFNum51">
    <w:name w:val="RTF_Num 5 1"/>
    <w:qFormat/>
    <w:rPr>
      <w:rFonts w:ascii="StarSymbol" w:hAnsi="StarSymbol" w:eastAsia="StarSymbol" w:cs="StarSymbol"/>
      <w:sz w:val="18"/>
      <w:szCs w:val="18"/>
    </w:rPr>
  </w:style>
  <w:style w:type="character" w:styleId="RTFNum410">
    <w:name w:val="RTF_Num 4 10"/>
    <w:qFormat/>
    <w:rPr>
      <w:rFonts w:ascii="StarSymbol" w:hAnsi="StarSymbol" w:eastAsia="StarSymbol" w:cs="StarSymbol"/>
      <w:sz w:val="18"/>
      <w:szCs w:val="18"/>
    </w:rPr>
  </w:style>
  <w:style w:type="character" w:styleId="RTFNum49">
    <w:name w:val="RTF_Num 4 9"/>
    <w:qFormat/>
    <w:rPr>
      <w:rFonts w:ascii="StarSymbol" w:hAnsi="StarSymbol" w:eastAsia="StarSymbol" w:cs="StarSymbol"/>
      <w:sz w:val="18"/>
      <w:szCs w:val="18"/>
    </w:rPr>
  </w:style>
  <w:style w:type="character" w:styleId="RTFNum48">
    <w:name w:val="RTF_Num 4 8"/>
    <w:qFormat/>
    <w:rPr>
      <w:rFonts w:ascii="StarSymbol" w:hAnsi="StarSymbol" w:eastAsia="StarSymbol" w:cs="StarSymbol"/>
      <w:sz w:val="18"/>
      <w:szCs w:val="18"/>
    </w:rPr>
  </w:style>
  <w:style w:type="character" w:styleId="RTFNum47">
    <w:name w:val="RTF_Num 4 7"/>
    <w:qFormat/>
    <w:rPr>
      <w:rFonts w:ascii="StarSymbol" w:hAnsi="StarSymbol" w:eastAsia="StarSymbol" w:cs="StarSymbol"/>
      <w:sz w:val="18"/>
      <w:szCs w:val="18"/>
    </w:rPr>
  </w:style>
  <w:style w:type="character" w:styleId="RTFNum46">
    <w:name w:val="RTF_Num 4 6"/>
    <w:qFormat/>
    <w:rPr>
      <w:rFonts w:ascii="StarSymbol" w:hAnsi="StarSymbol" w:eastAsia="StarSymbol" w:cs="StarSymbol"/>
      <w:sz w:val="18"/>
      <w:szCs w:val="18"/>
    </w:rPr>
  </w:style>
  <w:style w:type="character" w:styleId="RTFNum45">
    <w:name w:val="RTF_Num 4 5"/>
    <w:qFormat/>
    <w:rPr>
      <w:rFonts w:ascii="StarSymbol" w:hAnsi="StarSymbol" w:eastAsia="StarSymbol" w:cs="StarSymbol"/>
      <w:sz w:val="18"/>
      <w:szCs w:val="18"/>
    </w:rPr>
  </w:style>
  <w:style w:type="character" w:styleId="RTFNum44">
    <w:name w:val="RTF_Num 4 4"/>
    <w:qFormat/>
    <w:rPr>
      <w:rFonts w:ascii="StarSymbol" w:hAnsi="StarSymbol" w:eastAsia="StarSymbol" w:cs="StarSymbol"/>
      <w:sz w:val="18"/>
      <w:szCs w:val="18"/>
    </w:rPr>
  </w:style>
  <w:style w:type="character" w:styleId="RTFNum43">
    <w:name w:val="RTF_Num 4 3"/>
    <w:qFormat/>
    <w:rPr>
      <w:rFonts w:ascii="StarSymbol" w:hAnsi="StarSymbol" w:eastAsia="StarSymbol" w:cs="StarSymbol"/>
      <w:sz w:val="18"/>
      <w:szCs w:val="18"/>
    </w:rPr>
  </w:style>
  <w:style w:type="character" w:styleId="RTFNum42">
    <w:name w:val="RTF_Num 4 2"/>
    <w:qFormat/>
    <w:rPr>
      <w:rFonts w:ascii="StarSymbol" w:hAnsi="StarSymbol" w:eastAsia="StarSymbol" w:cs="StarSymbol"/>
      <w:sz w:val="18"/>
      <w:szCs w:val="18"/>
    </w:rPr>
  </w:style>
  <w:style w:type="character" w:styleId="RTFNum41">
    <w:name w:val="RTF_Num 4 1"/>
    <w:qFormat/>
    <w:rPr>
      <w:rFonts w:ascii="StarSymbol" w:hAnsi="StarSymbol" w:eastAsia="StarSymbol" w:cs="StarSymbol"/>
      <w:sz w:val="18"/>
      <w:szCs w:val="18"/>
    </w:rPr>
  </w:style>
  <w:style w:type="character" w:styleId="RTFNum310">
    <w:name w:val="RTF_Num 3 10"/>
    <w:qFormat/>
    <w:rPr>
      <w:rFonts w:ascii="StarSymbol" w:hAnsi="StarSymbol" w:eastAsia="StarSymbol" w:cs="StarSymbol"/>
      <w:sz w:val="18"/>
      <w:szCs w:val="18"/>
    </w:rPr>
  </w:style>
  <w:style w:type="character" w:styleId="RTFNum39">
    <w:name w:val="RTF_Num 3 9"/>
    <w:qFormat/>
    <w:rPr>
      <w:rFonts w:ascii="StarSymbol" w:hAnsi="StarSymbol" w:eastAsia="StarSymbol" w:cs="StarSymbol"/>
      <w:sz w:val="18"/>
      <w:szCs w:val="18"/>
    </w:rPr>
  </w:style>
  <w:style w:type="character" w:styleId="RTFNum38">
    <w:name w:val="RTF_Num 3 8"/>
    <w:qFormat/>
    <w:rPr>
      <w:rFonts w:ascii="StarSymbol" w:hAnsi="StarSymbol" w:eastAsia="StarSymbol" w:cs="StarSymbol"/>
      <w:sz w:val="18"/>
      <w:szCs w:val="18"/>
    </w:rPr>
  </w:style>
  <w:style w:type="character" w:styleId="RTFNum37">
    <w:name w:val="RTF_Num 3 7"/>
    <w:qFormat/>
    <w:rPr>
      <w:rFonts w:ascii="StarSymbol" w:hAnsi="StarSymbol" w:eastAsia="StarSymbol" w:cs="StarSymbol"/>
      <w:sz w:val="18"/>
      <w:szCs w:val="18"/>
    </w:rPr>
  </w:style>
  <w:style w:type="character" w:styleId="RTFNum36">
    <w:name w:val="RTF_Num 3 6"/>
    <w:qFormat/>
    <w:rPr>
      <w:rFonts w:ascii="StarSymbol" w:hAnsi="StarSymbol" w:eastAsia="StarSymbol" w:cs="StarSymbol"/>
      <w:sz w:val="18"/>
      <w:szCs w:val="18"/>
    </w:rPr>
  </w:style>
  <w:style w:type="character" w:styleId="RTFNum35">
    <w:name w:val="RTF_Num 3 5"/>
    <w:qFormat/>
    <w:rPr>
      <w:rFonts w:ascii="StarSymbol" w:hAnsi="StarSymbol" w:eastAsia="StarSymbol" w:cs="StarSymbol"/>
      <w:sz w:val="18"/>
      <w:szCs w:val="18"/>
    </w:rPr>
  </w:style>
  <w:style w:type="character" w:styleId="RTFNum34">
    <w:name w:val="RTF_Num 3 4"/>
    <w:qFormat/>
    <w:rPr>
      <w:rFonts w:ascii="StarSymbol" w:hAnsi="StarSymbol" w:eastAsia="StarSymbol" w:cs="StarSymbol"/>
      <w:sz w:val="18"/>
      <w:szCs w:val="18"/>
    </w:rPr>
  </w:style>
  <w:style w:type="character" w:styleId="RTFNum33">
    <w:name w:val="RTF_Num 3 3"/>
    <w:qFormat/>
    <w:rPr>
      <w:rFonts w:ascii="StarSymbol" w:hAnsi="StarSymbol" w:eastAsia="StarSymbol" w:cs="StarSymbol"/>
      <w:sz w:val="18"/>
      <w:szCs w:val="18"/>
    </w:rPr>
  </w:style>
  <w:style w:type="character" w:styleId="RTFNum32">
    <w:name w:val="RTF_Num 3 2"/>
    <w:qFormat/>
    <w:rPr>
      <w:rFonts w:ascii="StarSymbol" w:hAnsi="StarSymbol" w:eastAsia="StarSymbol" w:cs="StarSymbol"/>
      <w:sz w:val="18"/>
      <w:szCs w:val="18"/>
    </w:rPr>
  </w:style>
  <w:style w:type="character" w:styleId="RTFNum31">
    <w:name w:val="RTF_Num 3 1"/>
    <w:qFormat/>
    <w:rPr>
      <w:rFonts w:ascii="StarSymbol" w:hAnsi="StarSymbol" w:eastAsia="StarSymbol" w:cs="StarSymbol"/>
      <w:sz w:val="18"/>
      <w:szCs w:val="18"/>
    </w:rPr>
  </w:style>
  <w:style w:type="character" w:styleId="RTFNum210">
    <w:name w:val="RTF_Num 2 10"/>
    <w:qFormat/>
    <w:rPr>
      <w:rFonts w:ascii="StarSymbol" w:hAnsi="StarSymbol" w:eastAsia="StarSymbol" w:cs="StarSymbol"/>
      <w:sz w:val="18"/>
      <w:szCs w:val="18"/>
    </w:rPr>
  </w:style>
  <w:style w:type="character" w:styleId="RTFNum29">
    <w:name w:val="RTF_Num 2 9"/>
    <w:qFormat/>
    <w:rPr>
      <w:rFonts w:ascii="StarSymbol" w:hAnsi="StarSymbol" w:eastAsia="StarSymbol" w:cs="StarSymbol"/>
      <w:sz w:val="18"/>
      <w:szCs w:val="18"/>
    </w:rPr>
  </w:style>
  <w:style w:type="character" w:styleId="RTFNum28">
    <w:name w:val="RTF_Num 2 8"/>
    <w:qFormat/>
    <w:rPr>
      <w:rFonts w:ascii="StarSymbol" w:hAnsi="StarSymbol" w:eastAsia="StarSymbol" w:cs="StarSymbol"/>
      <w:sz w:val="18"/>
      <w:szCs w:val="18"/>
    </w:rPr>
  </w:style>
  <w:style w:type="character" w:styleId="RTFNum27">
    <w:name w:val="RTF_Num 2 7"/>
    <w:qFormat/>
    <w:rPr>
      <w:rFonts w:ascii="StarSymbol" w:hAnsi="StarSymbol" w:eastAsia="StarSymbol" w:cs="StarSymbol"/>
      <w:sz w:val="18"/>
      <w:szCs w:val="18"/>
    </w:rPr>
  </w:style>
  <w:style w:type="character" w:styleId="RTFNum26">
    <w:name w:val="RTF_Num 2 6"/>
    <w:qFormat/>
    <w:rPr>
      <w:rFonts w:ascii="StarSymbol" w:hAnsi="StarSymbol" w:eastAsia="StarSymbol" w:cs="StarSymbol"/>
      <w:sz w:val="18"/>
      <w:szCs w:val="18"/>
    </w:rPr>
  </w:style>
  <w:style w:type="character" w:styleId="RTFNum25">
    <w:name w:val="RTF_Num 2 5"/>
    <w:qFormat/>
    <w:rPr>
      <w:rFonts w:ascii="StarSymbol" w:hAnsi="StarSymbol" w:eastAsia="StarSymbol" w:cs="StarSymbol"/>
      <w:sz w:val="18"/>
      <w:szCs w:val="18"/>
    </w:rPr>
  </w:style>
  <w:style w:type="character" w:styleId="RTFNum24">
    <w:name w:val="RTF_Num 2 4"/>
    <w:qFormat/>
    <w:rPr>
      <w:rFonts w:ascii="StarSymbol" w:hAnsi="StarSymbol" w:eastAsia="StarSymbol" w:cs="StarSymbol"/>
      <w:sz w:val="18"/>
      <w:szCs w:val="18"/>
    </w:rPr>
  </w:style>
  <w:style w:type="character" w:styleId="RTFNum23">
    <w:name w:val="RTF_Num 2 3"/>
    <w:qFormat/>
    <w:rPr>
      <w:rFonts w:ascii="StarSymbol" w:hAnsi="StarSymbol" w:eastAsia="StarSymbol" w:cs="StarSymbol"/>
      <w:sz w:val="18"/>
      <w:szCs w:val="18"/>
    </w:rPr>
  </w:style>
  <w:style w:type="character" w:styleId="RTFNum22">
    <w:name w:val="RTF_Num 2 2"/>
    <w:qFormat/>
    <w:rPr>
      <w:rFonts w:ascii="StarSymbol" w:hAnsi="StarSymbol" w:eastAsia="StarSymbol" w:cs="StarSymbol"/>
      <w:sz w:val="18"/>
      <w:szCs w:val="18"/>
    </w:rPr>
  </w:style>
  <w:style w:type="character" w:styleId="RTFNum21">
    <w:name w:val="RTF_Num 2 1"/>
    <w:qFormat/>
    <w:rPr>
      <w:rFonts w:ascii="StarSymbol" w:hAnsi="StarSymbol" w:eastAsia="StarSymbol" w:cs="StarSymbol"/>
      <w:sz w:val="18"/>
      <w:szCs w:val="18"/>
    </w:rPr>
  </w:style>
  <w:style w:type="character" w:styleId="WW-EndnoteCharacters">
    <w:name w:val="WW-Endnote Characters"/>
    <w:qFormat/>
    <w:rPr/>
  </w:style>
  <w:style w:type="character" w:styleId="WW-Bullets">
    <w:name w:val="WW-Bullets"/>
    <w:qFormat/>
    <w:rPr>
      <w:rFonts w:ascii="StarSymbol" w:hAnsi="StarSymbol" w:eastAsia="StarSymbol" w:cs="StarSymbol"/>
      <w:sz w:val="18"/>
      <w:szCs w:val="18"/>
    </w:rPr>
  </w:style>
  <w:style w:type="character" w:styleId="WW-FootnoteCharacters">
    <w:name w:val="WW-Footnote Characters"/>
    <w:qFormat/>
    <w:rPr/>
  </w:style>
  <w:style w:type="character" w:styleId="WW8Num11z0">
    <w:name w:val="WW8Num11z0"/>
    <w:qFormat/>
    <w:rPr>
      <w:rFonts w:ascii="Symbol" w:hAnsi="Symbol" w:cs="StarSymbol"/>
      <w:sz w:val="18"/>
      <w:szCs w:val="18"/>
    </w:rPr>
  </w:style>
  <w:style w:type="character" w:styleId="Strong">
    <w:name w:val="Strong"/>
    <w:qFormat/>
    <w:rPr>
      <w:b/>
      <w:bCs/>
    </w:rPr>
  </w:style>
  <w:style w:type="character" w:styleId="CommentSubjectChar">
    <w:name w:val="Comment Subject Char"/>
    <w:qFormat/>
    <w:rPr>
      <w:b/>
      <w:bCs/>
      <w:color w:val="000000"/>
      <w:sz w:val="20"/>
      <w:lang w:eastAsia="ar-SA"/>
    </w:rPr>
  </w:style>
  <w:style w:type="character" w:styleId="CommentTextChar">
    <w:name w:val="Comment Text Char"/>
    <w:qFormat/>
    <w:rPr>
      <w:color w:val="000000"/>
      <w:sz w:val="20"/>
      <w:lang w:eastAsia="ar-SA"/>
    </w:rPr>
  </w:style>
  <w:style w:type="character" w:styleId="Annotationreference">
    <w:name w:val="annotation reference"/>
    <w:qFormat/>
    <w:rPr>
      <w:sz w:val="16"/>
      <w:szCs w:val="16"/>
    </w:rPr>
  </w:style>
  <w:style w:type="character" w:styleId="BalloonTextChar">
    <w:name w:val="Balloon Text Char"/>
    <w:qFormat/>
    <w:rPr>
      <w:rFonts w:ascii="Tahoma" w:hAnsi="Tahoma"/>
      <w:color w:val="000000"/>
      <w:sz w:val="16"/>
      <w:szCs w:val="16"/>
      <w:lang w:eastAsia="ar-SA"/>
    </w:rPr>
  </w:style>
  <w:style w:type="character" w:styleId="DocumentMapChar">
    <w:name w:val="Document Map Char"/>
    <w:qFormat/>
    <w:rPr>
      <w:rFonts w:ascii="Tahoma" w:hAnsi="Tahoma"/>
      <w:color w:val="000000"/>
      <w:sz w:val="20"/>
      <w:shd w:fill="000080" w:val="clear"/>
      <w:lang w:eastAsia="ar-SA"/>
    </w:rPr>
  </w:style>
  <w:style w:type="character" w:styleId="Pagenumber">
    <w:name w:val="page number"/>
    <w:qFormat/>
    <w:rPr>
      <w:rFonts w:ascii="Times New Roman" w:hAnsi="Times New Roman" w:eastAsia="Times New Roman" w:cs="Times New Roman"/>
      <w:color w:val="000000"/>
      <w:sz w:val="24"/>
      <w:szCs w:val="24"/>
    </w:rPr>
  </w:style>
  <w:style w:type="character" w:styleId="TitleChar">
    <w:name w:val="Title Char"/>
    <w:qFormat/>
    <w:rPr>
      <w:b/>
      <w:color w:val="000000"/>
      <w:lang w:eastAsia="ar-SA"/>
    </w:rPr>
  </w:style>
  <w:style w:type="character" w:styleId="SubtitleChar">
    <w:name w:val="Subtitle Char"/>
    <w:qFormat/>
    <w:rPr>
      <w:rFonts w:ascii="Arial" w:hAnsi="Arial"/>
      <w:color w:val="000000"/>
      <w:sz w:val="24"/>
      <w:szCs w:val="24"/>
      <w:lang w:eastAsia="ar-SA"/>
    </w:rPr>
  </w:style>
  <w:style w:type="character" w:styleId="WW8Num40z2">
    <w:name w:val="WW8Num40z2"/>
    <w:qFormat/>
    <w:rPr>
      <w:rFonts w:ascii="Wingdings" w:hAnsi="Wingdings"/>
    </w:rPr>
  </w:style>
  <w:style w:type="character" w:styleId="WW8Num40z1">
    <w:name w:val="WW8Num40z1"/>
    <w:qFormat/>
    <w:rPr>
      <w:rFonts w:ascii="Courier New" w:hAnsi="Courier New" w:cs="Courier New"/>
    </w:rPr>
  </w:style>
  <w:style w:type="character" w:styleId="WW8Num40z0">
    <w:name w:val="WW8Num40z0"/>
    <w:qFormat/>
    <w:rPr>
      <w:rFonts w:ascii="Symbol" w:hAnsi="Symbol"/>
    </w:rPr>
  </w:style>
  <w:style w:type="character" w:styleId="WW8Num39z2">
    <w:name w:val="WW8Num39z2"/>
    <w:qFormat/>
    <w:rPr>
      <w:rFonts w:ascii="Wingdings" w:hAnsi="Wingdings"/>
    </w:rPr>
  </w:style>
  <w:style w:type="character" w:styleId="WW8Num39z1">
    <w:name w:val="WW8Num39z1"/>
    <w:qFormat/>
    <w:rPr>
      <w:rFonts w:ascii="Courier New" w:hAnsi="Courier New" w:cs="Courier New"/>
    </w:rPr>
  </w:style>
  <w:style w:type="character" w:styleId="WW8Num39z0">
    <w:name w:val="WW8Num39z0"/>
    <w:qFormat/>
    <w:rPr>
      <w:rFonts w:ascii="Symbol" w:hAnsi="Symbol"/>
    </w:rPr>
  </w:style>
  <w:style w:type="character" w:styleId="WW8Num38z2">
    <w:name w:val="WW8Num38z2"/>
    <w:qFormat/>
    <w:rPr>
      <w:rFonts w:ascii="Wingdings" w:hAnsi="Wingdings"/>
    </w:rPr>
  </w:style>
  <w:style w:type="character" w:styleId="WW8Num38z1">
    <w:name w:val="WW8Num38z1"/>
    <w:qFormat/>
    <w:rPr>
      <w:rFonts w:ascii="Courier New" w:hAnsi="Courier New" w:cs="Courier New"/>
    </w:rPr>
  </w:style>
  <w:style w:type="character" w:styleId="WW8Num38z0">
    <w:name w:val="WW8Num38z0"/>
    <w:qFormat/>
    <w:rPr>
      <w:rFonts w:ascii="Symbol" w:hAnsi="Symbol"/>
    </w:rPr>
  </w:style>
  <w:style w:type="character" w:styleId="WW8Num37z2">
    <w:name w:val="WW8Num37z2"/>
    <w:qFormat/>
    <w:rPr>
      <w:rFonts w:ascii="Wingdings" w:hAnsi="Wingdings"/>
    </w:rPr>
  </w:style>
  <w:style w:type="character" w:styleId="WW8Num37z1">
    <w:name w:val="WW8Num37z1"/>
    <w:qFormat/>
    <w:rPr>
      <w:rFonts w:ascii="Courier New" w:hAnsi="Courier New" w:cs="Courier New"/>
    </w:rPr>
  </w:style>
  <w:style w:type="character" w:styleId="WW8Num37z0">
    <w:name w:val="WW8Num37z0"/>
    <w:qFormat/>
    <w:rPr>
      <w:rFonts w:ascii="Symbol" w:hAnsi="Symbol"/>
    </w:rPr>
  </w:style>
  <w:style w:type="character" w:styleId="WW8Num36z2">
    <w:name w:val="WW8Num36z2"/>
    <w:qFormat/>
    <w:rPr>
      <w:rFonts w:ascii="Wingdings" w:hAnsi="Wingdings"/>
    </w:rPr>
  </w:style>
  <w:style w:type="character" w:styleId="WW8Num36z1">
    <w:name w:val="WW8Num36z1"/>
    <w:qFormat/>
    <w:rPr>
      <w:rFonts w:ascii="Courier New" w:hAnsi="Courier New" w:cs="Courier New"/>
    </w:rPr>
  </w:style>
  <w:style w:type="character" w:styleId="WW8Num36z0">
    <w:name w:val="WW8Num36z0"/>
    <w:qFormat/>
    <w:rPr>
      <w:rFonts w:ascii="Symbol" w:hAnsi="Symbol"/>
    </w:rPr>
  </w:style>
  <w:style w:type="character" w:styleId="WW8Num35z2">
    <w:name w:val="WW8Num35z2"/>
    <w:qFormat/>
    <w:rPr>
      <w:rFonts w:ascii="Wingdings" w:hAnsi="Wingdings"/>
    </w:rPr>
  </w:style>
  <w:style w:type="character" w:styleId="WW8Num35z1">
    <w:name w:val="WW8Num35z1"/>
    <w:qFormat/>
    <w:rPr>
      <w:rFonts w:ascii="Courier New" w:hAnsi="Courier New" w:cs="Courier New"/>
    </w:rPr>
  </w:style>
  <w:style w:type="character" w:styleId="WW8Num35z0">
    <w:name w:val="WW8Num35z0"/>
    <w:qFormat/>
    <w:rPr>
      <w:rFonts w:ascii="Symbol" w:hAnsi="Symbol"/>
    </w:rPr>
  </w:style>
  <w:style w:type="character" w:styleId="WW8Num34z2">
    <w:name w:val="WW8Num34z2"/>
    <w:qFormat/>
    <w:rPr>
      <w:rFonts w:ascii="Wingdings" w:hAnsi="Wingdings"/>
    </w:rPr>
  </w:style>
  <w:style w:type="character" w:styleId="WW8Num34z1">
    <w:name w:val="WW8Num34z1"/>
    <w:qFormat/>
    <w:rPr>
      <w:rFonts w:ascii="Courier New" w:hAnsi="Courier New" w:cs="Courier New"/>
    </w:rPr>
  </w:style>
  <w:style w:type="character" w:styleId="WW8Num34z0">
    <w:name w:val="WW8Num34z0"/>
    <w:qFormat/>
    <w:rPr>
      <w:rFonts w:ascii="Symbol" w:hAnsi="Symbol"/>
    </w:rPr>
  </w:style>
  <w:style w:type="character" w:styleId="WW8Num33z2">
    <w:name w:val="WW8Num33z2"/>
    <w:qFormat/>
    <w:rPr>
      <w:rFonts w:ascii="Wingdings" w:hAnsi="Wingdings"/>
    </w:rPr>
  </w:style>
  <w:style w:type="character" w:styleId="WW8Num33z1">
    <w:name w:val="WW8Num33z1"/>
    <w:qFormat/>
    <w:rPr>
      <w:rFonts w:ascii="Courier New" w:hAnsi="Courier New" w:cs="Courier New"/>
    </w:rPr>
  </w:style>
  <w:style w:type="character" w:styleId="WW8Num33z0">
    <w:name w:val="WW8Num33z0"/>
    <w:qFormat/>
    <w:rPr>
      <w:rFonts w:ascii="Symbol" w:hAnsi="Symbol"/>
    </w:rPr>
  </w:style>
  <w:style w:type="character" w:styleId="WW8Num32z2">
    <w:name w:val="WW8Num32z2"/>
    <w:qFormat/>
    <w:rPr>
      <w:rFonts w:ascii="Wingdings" w:hAnsi="Wingdings"/>
    </w:rPr>
  </w:style>
  <w:style w:type="character" w:styleId="WW8Num32z1">
    <w:name w:val="WW8Num32z1"/>
    <w:qFormat/>
    <w:rPr>
      <w:rFonts w:ascii="Courier New" w:hAnsi="Courier New" w:cs="Courier New"/>
    </w:rPr>
  </w:style>
  <w:style w:type="character" w:styleId="WW8Num32z0">
    <w:name w:val="WW8Num32z0"/>
    <w:qFormat/>
    <w:rPr>
      <w:rFonts w:ascii="Symbol" w:hAnsi="Symbol"/>
    </w:rPr>
  </w:style>
  <w:style w:type="character" w:styleId="WW8Num30z3">
    <w:name w:val="WW8Num30z3"/>
    <w:qFormat/>
    <w:rPr>
      <w:rFonts w:ascii="Symbol" w:hAnsi="Symbol"/>
    </w:rPr>
  </w:style>
  <w:style w:type="character" w:styleId="WW8Num30z2">
    <w:name w:val="WW8Num30z2"/>
    <w:qFormat/>
    <w:rPr>
      <w:rFonts w:ascii="Wingdings" w:hAnsi="Wingdings"/>
    </w:rPr>
  </w:style>
  <w:style w:type="character" w:styleId="WW8Num30z1">
    <w:name w:val="WW8Num30z1"/>
    <w:qFormat/>
    <w:rPr>
      <w:rFonts w:ascii="Courier New" w:hAnsi="Courier New"/>
    </w:rPr>
  </w:style>
  <w:style w:type="character" w:styleId="WW8Num30z0">
    <w:name w:val="WW8Num30z0"/>
    <w:qFormat/>
    <w:rPr>
      <w:rFonts w:ascii="Symbol" w:hAnsi="Symbol"/>
      <w:color w:val="800080"/>
    </w:rPr>
  </w:style>
  <w:style w:type="character" w:styleId="WW8Num29z2">
    <w:name w:val="WW8Num29z2"/>
    <w:qFormat/>
    <w:rPr>
      <w:rFonts w:ascii="Wingdings" w:hAnsi="Wingdings"/>
    </w:rPr>
  </w:style>
  <w:style w:type="character" w:styleId="WW8Num29z1">
    <w:name w:val="WW8Num29z1"/>
    <w:qFormat/>
    <w:rPr>
      <w:rFonts w:ascii="Courier New" w:hAnsi="Courier New" w:cs="Courier New"/>
    </w:rPr>
  </w:style>
  <w:style w:type="character" w:styleId="WW8Num29z0">
    <w:name w:val="WW8Num29z0"/>
    <w:qFormat/>
    <w:rPr>
      <w:rFonts w:ascii="Symbol" w:hAnsi="Symbol"/>
    </w:rPr>
  </w:style>
  <w:style w:type="character" w:styleId="WW8Num28z2">
    <w:name w:val="WW8Num28z2"/>
    <w:qFormat/>
    <w:rPr>
      <w:rFonts w:ascii="Wingdings" w:hAnsi="Wingdings"/>
    </w:rPr>
  </w:style>
  <w:style w:type="character" w:styleId="WW8Num28z1">
    <w:name w:val="WW8Num28z1"/>
    <w:qFormat/>
    <w:rPr>
      <w:rFonts w:ascii="Courier New" w:hAnsi="Courier New" w:cs="Courier New"/>
    </w:rPr>
  </w:style>
  <w:style w:type="character" w:styleId="WW8Num28z0">
    <w:name w:val="WW8Num28z0"/>
    <w:qFormat/>
    <w:rPr>
      <w:rFonts w:ascii="Symbol" w:hAnsi="Symbol"/>
    </w:rPr>
  </w:style>
  <w:style w:type="character" w:styleId="WW8Num27z2">
    <w:name w:val="WW8Num27z2"/>
    <w:qFormat/>
    <w:rPr>
      <w:rFonts w:ascii="Wingdings" w:hAnsi="Wingdings"/>
    </w:rPr>
  </w:style>
  <w:style w:type="character" w:styleId="WW8Num27z1">
    <w:name w:val="WW8Num27z1"/>
    <w:qFormat/>
    <w:rPr>
      <w:rFonts w:ascii="Courier New" w:hAnsi="Courier New" w:cs="Courier New"/>
    </w:rPr>
  </w:style>
  <w:style w:type="character" w:styleId="WW8Num27z0">
    <w:name w:val="WW8Num27z0"/>
    <w:qFormat/>
    <w:rPr>
      <w:rFonts w:ascii="Symbol" w:hAnsi="Symbol"/>
    </w:rPr>
  </w:style>
  <w:style w:type="character" w:styleId="WW8Num26z4">
    <w:name w:val="WW8Num26z4"/>
    <w:qFormat/>
    <w:rPr>
      <w:rFonts w:ascii="Courier New" w:hAnsi="Courier New" w:cs="Courier New"/>
    </w:rPr>
  </w:style>
  <w:style w:type="character" w:styleId="WW8Num26z2">
    <w:name w:val="WW8Num26z2"/>
    <w:qFormat/>
    <w:rPr>
      <w:rFonts w:ascii="Wingdings" w:hAnsi="Wingdings"/>
    </w:rPr>
  </w:style>
  <w:style w:type="character" w:styleId="WW8Num26z1">
    <w:name w:val="WW8Num26z1"/>
    <w:qFormat/>
    <w:rPr>
      <w:rFonts w:ascii="Symbol" w:hAnsi="Symbol"/>
    </w:rPr>
  </w:style>
  <w:style w:type="character" w:styleId="WW8Num25z2">
    <w:name w:val="WW8Num25z2"/>
    <w:qFormat/>
    <w:rPr>
      <w:rFonts w:ascii="Wingdings" w:hAnsi="Wingdings"/>
    </w:rPr>
  </w:style>
  <w:style w:type="character" w:styleId="WW8Num25z1">
    <w:name w:val="WW8Num25z1"/>
    <w:qFormat/>
    <w:rPr>
      <w:rFonts w:ascii="Courier New" w:hAnsi="Courier New" w:cs="Courier New"/>
    </w:rPr>
  </w:style>
  <w:style w:type="character" w:styleId="WW8Num25z0">
    <w:name w:val="WW8Num25z0"/>
    <w:qFormat/>
    <w:rPr>
      <w:rFonts w:ascii="Symbol" w:hAnsi="Symbol"/>
    </w:rPr>
  </w:style>
  <w:style w:type="character" w:styleId="WW8Num24z2">
    <w:name w:val="WW8Num24z2"/>
    <w:qFormat/>
    <w:rPr>
      <w:rFonts w:ascii="Wingdings" w:hAnsi="Wingdings"/>
    </w:rPr>
  </w:style>
  <w:style w:type="character" w:styleId="WW8Num24z1">
    <w:name w:val="WW8Num24z1"/>
    <w:qFormat/>
    <w:rPr>
      <w:rFonts w:ascii="Courier New" w:hAnsi="Courier New" w:cs="Courier New"/>
    </w:rPr>
  </w:style>
  <w:style w:type="character" w:styleId="WW8Num24z0">
    <w:name w:val="WW8Num24z0"/>
    <w:qFormat/>
    <w:rPr>
      <w:rFonts w:ascii="Symbol" w:hAnsi="Symbol"/>
    </w:rPr>
  </w:style>
  <w:style w:type="character" w:styleId="WW8Num23z3">
    <w:name w:val="WW8Num23z3"/>
    <w:qFormat/>
    <w:rPr>
      <w:rFonts w:ascii="Symbol" w:hAnsi="Symbol"/>
    </w:rPr>
  </w:style>
  <w:style w:type="character" w:styleId="WW8Num23z2">
    <w:name w:val="WW8Num23z2"/>
    <w:qFormat/>
    <w:rPr>
      <w:rFonts w:ascii="Wingdings" w:hAnsi="Wingdings"/>
    </w:rPr>
  </w:style>
  <w:style w:type="character" w:styleId="WW8Num23z1">
    <w:name w:val="WW8Num23z1"/>
    <w:qFormat/>
    <w:rPr>
      <w:rFonts w:ascii="Courier New" w:hAnsi="Courier New" w:cs="Courier New"/>
    </w:rPr>
  </w:style>
  <w:style w:type="character" w:styleId="WW8Num22z2">
    <w:name w:val="WW8Num22z2"/>
    <w:qFormat/>
    <w:rPr>
      <w:rFonts w:ascii="Wingdings" w:hAnsi="Wingdings"/>
    </w:rPr>
  </w:style>
  <w:style w:type="character" w:styleId="WW8Num22z1">
    <w:name w:val="WW8Num22z1"/>
    <w:qFormat/>
    <w:rPr>
      <w:rFonts w:ascii="Courier New" w:hAnsi="Courier New" w:cs="Courier New"/>
    </w:rPr>
  </w:style>
  <w:style w:type="character" w:styleId="WW8Num22z0">
    <w:name w:val="WW8Num22z0"/>
    <w:qFormat/>
    <w:rPr>
      <w:rFonts w:ascii="Symbol" w:hAnsi="Symbol"/>
    </w:rPr>
  </w:style>
  <w:style w:type="character" w:styleId="WW8Num21z1">
    <w:name w:val="WW8Num21z1"/>
    <w:qFormat/>
    <w:rPr>
      <w:rFonts w:ascii="Symbol" w:hAnsi="Symbol"/>
    </w:rPr>
  </w:style>
  <w:style w:type="character" w:styleId="WW8Num20z2">
    <w:name w:val="WW8Num20z2"/>
    <w:qFormat/>
    <w:rPr>
      <w:rFonts w:ascii="Wingdings" w:hAnsi="Wingdings"/>
    </w:rPr>
  </w:style>
  <w:style w:type="character" w:styleId="WW8Num20z1">
    <w:name w:val="WW8Num20z1"/>
    <w:qFormat/>
    <w:rPr>
      <w:rFonts w:ascii="Courier New" w:hAnsi="Courier New" w:cs="Courier New"/>
    </w:rPr>
  </w:style>
  <w:style w:type="character" w:styleId="WW8Num20z0">
    <w:name w:val="WW8Num20z0"/>
    <w:qFormat/>
    <w:rPr>
      <w:rFonts w:ascii="Symbol" w:hAnsi="Symbol"/>
    </w:rPr>
  </w:style>
  <w:style w:type="character" w:styleId="WW8Num19z2">
    <w:name w:val="WW8Num19z2"/>
    <w:qFormat/>
    <w:rPr>
      <w:rFonts w:ascii="Wingdings" w:hAnsi="Wingdings"/>
    </w:rPr>
  </w:style>
  <w:style w:type="character" w:styleId="WW8Num19z1">
    <w:name w:val="WW8Num19z1"/>
    <w:qFormat/>
    <w:rPr>
      <w:rFonts w:ascii="Courier New" w:hAnsi="Courier New" w:cs="Courier New"/>
    </w:rPr>
  </w:style>
  <w:style w:type="character" w:styleId="WW8Num19z0">
    <w:name w:val="WW8Num19z0"/>
    <w:qFormat/>
    <w:rPr>
      <w:rFonts w:ascii="Symbol" w:hAnsi="Symbol"/>
    </w:rPr>
  </w:style>
  <w:style w:type="character" w:styleId="WW8Num18z3">
    <w:name w:val="WW8Num18z3"/>
    <w:qFormat/>
    <w:rPr>
      <w:rFonts w:ascii="Symbol" w:hAnsi="Symbol"/>
    </w:rPr>
  </w:style>
  <w:style w:type="character" w:styleId="WW8Num18z2">
    <w:name w:val="WW8Num18z2"/>
    <w:qFormat/>
    <w:rPr>
      <w:rFonts w:ascii="Wingdings" w:hAnsi="Wingdings"/>
    </w:rPr>
  </w:style>
  <w:style w:type="character" w:styleId="WW8Num18z1">
    <w:name w:val="WW8Num18z1"/>
    <w:qFormat/>
    <w:rPr>
      <w:rFonts w:ascii="Courier New" w:hAnsi="Courier New" w:cs="Courier New"/>
    </w:rPr>
  </w:style>
  <w:style w:type="character" w:styleId="WW8Num17z2">
    <w:name w:val="WW8Num17z2"/>
    <w:qFormat/>
    <w:rPr>
      <w:rFonts w:ascii="Wingdings" w:hAnsi="Wingdings"/>
    </w:rPr>
  </w:style>
  <w:style w:type="character" w:styleId="WW8Num17z1">
    <w:name w:val="WW8Num17z1"/>
    <w:qFormat/>
    <w:rPr>
      <w:rFonts w:ascii="Courier New" w:hAnsi="Courier New" w:cs="Courier New"/>
    </w:rPr>
  </w:style>
  <w:style w:type="character" w:styleId="WW8Num17z0">
    <w:name w:val="WW8Num17z0"/>
    <w:qFormat/>
    <w:rPr>
      <w:rFonts w:ascii="Symbol" w:hAnsi="Symbol"/>
    </w:rPr>
  </w:style>
  <w:style w:type="character" w:styleId="WW8Num16z2">
    <w:name w:val="WW8Num16z2"/>
    <w:qFormat/>
    <w:rPr>
      <w:rFonts w:ascii="Wingdings" w:hAnsi="Wingdings"/>
    </w:rPr>
  </w:style>
  <w:style w:type="character" w:styleId="WW8Num16z1">
    <w:name w:val="WW8Num16z1"/>
    <w:qFormat/>
    <w:rPr>
      <w:rFonts w:ascii="Courier New" w:hAnsi="Courier New" w:cs="Courier New"/>
    </w:rPr>
  </w:style>
  <w:style w:type="character" w:styleId="WW8Num16z0">
    <w:name w:val="WW8Num16z0"/>
    <w:qFormat/>
    <w:rPr>
      <w:rFonts w:ascii="Symbol" w:hAnsi="Symbol"/>
    </w:rPr>
  </w:style>
  <w:style w:type="character" w:styleId="WW8Num15z4">
    <w:name w:val="WW8Num15z4"/>
    <w:qFormat/>
    <w:rPr>
      <w:rFonts w:ascii="Courier New" w:hAnsi="Courier New"/>
    </w:rPr>
  </w:style>
  <w:style w:type="character" w:styleId="WW8Num15z3">
    <w:name w:val="WW8Num15z3"/>
    <w:qFormat/>
    <w:rPr>
      <w:rFonts w:ascii="Symbol" w:hAnsi="Symbol"/>
    </w:rPr>
  </w:style>
  <w:style w:type="character" w:styleId="WW8Num15z2">
    <w:name w:val="WW8Num15z2"/>
    <w:qFormat/>
    <w:rPr>
      <w:rFonts w:ascii="Wingdings" w:hAnsi="Wingdings"/>
    </w:rPr>
  </w:style>
  <w:style w:type="character" w:styleId="WW8Num15z0">
    <w:name w:val="WW8Num15z0"/>
    <w:qFormat/>
    <w:rPr>
      <w:rFonts w:ascii="Symbol" w:hAnsi="Symbol"/>
      <w:color w:val="800080"/>
    </w:rPr>
  </w:style>
  <w:style w:type="character" w:styleId="WW8Num14z2">
    <w:name w:val="WW8Num14z2"/>
    <w:qFormat/>
    <w:rPr>
      <w:rFonts w:ascii="Wingdings" w:hAnsi="Wingdings"/>
    </w:rPr>
  </w:style>
  <w:style w:type="character" w:styleId="WW8Num14z1">
    <w:name w:val="WW8Num14z1"/>
    <w:qFormat/>
    <w:rPr>
      <w:rFonts w:ascii="Courier New" w:hAnsi="Courier New" w:cs="Courier New"/>
    </w:rPr>
  </w:style>
  <w:style w:type="character" w:styleId="WW8Num13z2">
    <w:name w:val="WW8Num13z2"/>
    <w:qFormat/>
    <w:rPr>
      <w:rFonts w:ascii="Wingdings" w:hAnsi="Wingdings"/>
    </w:rPr>
  </w:style>
  <w:style w:type="character" w:styleId="WW8Num13z1">
    <w:name w:val="WW8Num13z1"/>
    <w:qFormat/>
    <w:rPr>
      <w:rFonts w:ascii="Courier New" w:hAnsi="Courier New" w:cs="Courier New"/>
    </w:rPr>
  </w:style>
  <w:style w:type="character" w:styleId="WW8Num12z2">
    <w:name w:val="WW8Num12z2"/>
    <w:qFormat/>
    <w:rPr>
      <w:rFonts w:ascii="Wingdings" w:hAnsi="Wingdings"/>
    </w:rPr>
  </w:style>
  <w:style w:type="character" w:styleId="WW8Num12z1">
    <w:name w:val="WW8Num12z1"/>
    <w:qFormat/>
    <w:rPr>
      <w:rFonts w:ascii="Courier New" w:hAnsi="Courier New" w:cs="Courier New"/>
    </w:rPr>
  </w:style>
  <w:style w:type="character" w:styleId="WW8Num11z4">
    <w:name w:val="WW8Num11z4"/>
    <w:qFormat/>
    <w:rPr>
      <w:rFonts w:ascii="Courier New" w:hAnsi="Courier New" w:cs="Courier New"/>
    </w:rPr>
  </w:style>
  <w:style w:type="character" w:styleId="WW8Num11z2">
    <w:name w:val="WW8Num11z2"/>
    <w:qFormat/>
    <w:rPr>
      <w:rFonts w:ascii="Wingdings" w:hAnsi="Wingdings"/>
    </w:rPr>
  </w:style>
  <w:style w:type="character" w:styleId="WW8Num11z1">
    <w:name w:val="WW8Num11z1"/>
    <w:qFormat/>
    <w:rPr>
      <w:rFonts w:ascii="Symbol" w:hAnsi="Symbol"/>
    </w:rPr>
  </w:style>
  <w:style w:type="character" w:styleId="WW8Num10z2">
    <w:name w:val="WW8Num10z2"/>
    <w:qFormat/>
    <w:rPr>
      <w:rFonts w:ascii="Wingdings" w:hAnsi="Wingdings"/>
    </w:rPr>
  </w:style>
  <w:style w:type="character" w:styleId="WW8Num10z1">
    <w:name w:val="WW8Num10z1"/>
    <w:qFormat/>
    <w:rPr>
      <w:rFonts w:ascii="Courier New" w:hAnsi="Courier New" w:cs="Courier New"/>
    </w:rPr>
  </w:style>
  <w:style w:type="character" w:styleId="WW8Num10z0">
    <w:name w:val="WW8Num10z0"/>
    <w:qFormat/>
    <w:rPr>
      <w:rFonts w:ascii="Symbol" w:hAnsi="Symbol"/>
    </w:rPr>
  </w:style>
  <w:style w:type="character" w:styleId="WW8Num9z2">
    <w:name w:val="WW8Num9z2"/>
    <w:qFormat/>
    <w:rPr>
      <w:rFonts w:ascii="Wingdings" w:hAnsi="Wingdings"/>
    </w:rPr>
  </w:style>
  <w:style w:type="character" w:styleId="WW8Num9z1">
    <w:name w:val="WW8Num9z1"/>
    <w:qFormat/>
    <w:rPr>
      <w:rFonts w:ascii="Courier New" w:hAnsi="Courier New" w:cs="Courier New"/>
    </w:rPr>
  </w:style>
  <w:style w:type="character" w:styleId="WW8Num9z0">
    <w:name w:val="WW8Num9z0"/>
    <w:qFormat/>
    <w:rPr>
      <w:rFonts w:ascii="Symbol" w:hAnsi="Symbol"/>
    </w:rPr>
  </w:style>
  <w:style w:type="character" w:styleId="WW8Num8z2">
    <w:name w:val="WW8Num8z2"/>
    <w:qFormat/>
    <w:rPr>
      <w:rFonts w:ascii="Wingdings" w:hAnsi="Wingdings"/>
    </w:rPr>
  </w:style>
  <w:style w:type="character" w:styleId="WW8Num8z1">
    <w:name w:val="WW8Num8z1"/>
    <w:qFormat/>
    <w:rPr>
      <w:rFonts w:ascii="Courier New" w:hAnsi="Courier New" w:cs="Courier New"/>
    </w:rPr>
  </w:style>
  <w:style w:type="character" w:styleId="WW8Num7z2">
    <w:name w:val="WW8Num7z2"/>
    <w:qFormat/>
    <w:rPr>
      <w:rFonts w:ascii="Wingdings" w:hAnsi="Wingdings"/>
    </w:rPr>
  </w:style>
  <w:style w:type="character" w:styleId="WW8Num7z1">
    <w:name w:val="WW8Num7z1"/>
    <w:qFormat/>
    <w:rPr>
      <w:rFonts w:ascii="Courier New" w:hAnsi="Courier New" w:cs="Courier New"/>
    </w:rPr>
  </w:style>
  <w:style w:type="character" w:styleId="WW8Num6z2">
    <w:name w:val="WW8Num6z2"/>
    <w:qFormat/>
    <w:rPr>
      <w:rFonts w:ascii="Wingdings" w:hAnsi="Wingdings"/>
    </w:rPr>
  </w:style>
  <w:style w:type="character" w:styleId="WW8Num6z1">
    <w:name w:val="WW8Num6z1"/>
    <w:qFormat/>
    <w:rPr>
      <w:rFonts w:ascii="Courier New" w:hAnsi="Courier New" w:cs="Courier New"/>
    </w:rPr>
  </w:style>
  <w:style w:type="character" w:styleId="WW8Num5z2">
    <w:name w:val="WW8Num5z2"/>
    <w:qFormat/>
    <w:rPr>
      <w:rFonts w:ascii="Wingdings" w:hAnsi="Wingdings"/>
    </w:rPr>
  </w:style>
  <w:style w:type="character" w:styleId="WW8Num5z1">
    <w:name w:val="WW8Num5z1"/>
    <w:qFormat/>
    <w:rPr>
      <w:rFonts w:ascii="Courier New" w:hAnsi="Courier New" w:cs="Courier New"/>
    </w:rPr>
  </w:style>
  <w:style w:type="character" w:styleId="WW8Num4z2">
    <w:name w:val="WW8Num4z2"/>
    <w:qFormat/>
    <w:rPr>
      <w:rFonts w:ascii="Wingdings" w:hAnsi="Wingdings"/>
    </w:rPr>
  </w:style>
  <w:style w:type="character" w:styleId="WW8Num4z1">
    <w:name w:val="WW8Num4z1"/>
    <w:qFormat/>
    <w:rPr>
      <w:rFonts w:ascii="Courier New" w:hAnsi="Courier New" w:cs="Courier New"/>
    </w:rPr>
  </w:style>
  <w:style w:type="character" w:styleId="WW8Num3z3">
    <w:name w:val="WW8Num3z3"/>
    <w:qFormat/>
    <w:rPr>
      <w:rFonts w:ascii="Symbol" w:hAnsi="Symbol"/>
    </w:rPr>
  </w:style>
  <w:style w:type="character" w:styleId="WW8Num3z2">
    <w:name w:val="WW8Num3z2"/>
    <w:qFormat/>
    <w:rPr>
      <w:rFonts w:ascii="Wingdings" w:hAnsi="Wingdings"/>
    </w:rPr>
  </w:style>
  <w:style w:type="character" w:styleId="WW8Num3z1">
    <w:name w:val="WW8Num3z1"/>
    <w:qFormat/>
    <w:rPr>
      <w:rFonts w:ascii="Courier New" w:hAnsi="Courier New" w:cs="Courier New"/>
    </w:rPr>
  </w:style>
  <w:style w:type="character" w:styleId="WW8Num2z2">
    <w:name w:val="WW8Num2z2"/>
    <w:qFormat/>
    <w:rPr>
      <w:rFonts w:ascii="Wingdings" w:hAnsi="Wingdings"/>
    </w:rPr>
  </w:style>
  <w:style w:type="character" w:styleId="WW8Num2z1">
    <w:name w:val="WW8Num2z1"/>
    <w:qFormat/>
    <w:rPr>
      <w:rFonts w:ascii="Courier New" w:hAnsi="Courier New" w:cs="Courier New"/>
    </w:rPr>
  </w:style>
  <w:style w:type="character" w:styleId="WW8Num1z3">
    <w:name w:val="WW8Num1z3"/>
    <w:qFormat/>
    <w:rPr>
      <w:rFonts w:ascii="Symbol" w:hAnsi="Symbol"/>
    </w:rPr>
  </w:style>
  <w:style w:type="character" w:styleId="WW8Num1z2">
    <w:name w:val="WW8Num1z2"/>
    <w:qFormat/>
    <w:rPr>
      <w:rFonts w:ascii="Wingdings" w:hAnsi="Wingdings"/>
    </w:rPr>
  </w:style>
  <w:style w:type="character" w:styleId="WW8Num1z1">
    <w:name w:val="WW8Num1z1"/>
    <w:qFormat/>
    <w:rPr>
      <w:rFonts w:ascii="Courier New" w:hAnsi="Courier New" w:cs="Courier New"/>
    </w:rPr>
  </w:style>
  <w:style w:type="character" w:styleId="BodyText3Char">
    <w:name w:val="Body Text 3 Char"/>
    <w:qFormat/>
    <w:rPr>
      <w:rFonts w:ascii="Comic Sans MS" w:hAnsi="Comic Sans MS"/>
      <w:color w:val="000000"/>
      <w:sz w:val="24"/>
    </w:rPr>
  </w:style>
  <w:style w:type="character" w:styleId="BodyText2Char">
    <w:name w:val="Body Text 2 Char"/>
    <w:qFormat/>
    <w:rPr>
      <w:rFonts w:ascii="Comic Sans MS" w:hAnsi="Comic Sans MS"/>
      <w:b/>
      <w:color w:val="000000"/>
      <w:sz w:val="24"/>
    </w:rPr>
  </w:style>
  <w:style w:type="character" w:styleId="BodyTextIndentChar">
    <w:name w:val="Body Text Indent Char"/>
    <w:qFormat/>
    <w:rPr>
      <w:rFonts w:ascii="Comic Sans MS" w:hAnsi="Comic Sans MS"/>
      <w:color w:val="000000"/>
      <w:sz w:val="24"/>
    </w:rPr>
  </w:style>
  <w:style w:type="character" w:styleId="FooterChar">
    <w:name w:val="Footer Char"/>
    <w:qFormat/>
    <w:rPr>
      <w:color w:val="000000"/>
      <w:sz w:val="20"/>
    </w:rPr>
  </w:style>
  <w:style w:type="character" w:styleId="HeaderChar">
    <w:name w:val="Header Char"/>
    <w:qFormat/>
    <w:rPr>
      <w:color w:val="000000"/>
      <w:sz w:val="20"/>
    </w:rPr>
  </w:style>
  <w:style w:type="character" w:styleId="WW-WW8Num13z01">
    <w:name w:val="WW-WW8Num13z01"/>
    <w:qFormat/>
    <w:rPr>
      <w:rFonts w:ascii="StarBats" w:hAnsi="StarBats"/>
      <w:sz w:val="18"/>
    </w:rPr>
  </w:style>
  <w:style w:type="character" w:styleId="WW-WW8Num6z04">
    <w:name w:val="WW-WW8Num6z04"/>
    <w:qFormat/>
    <w:rPr>
      <w:rFonts w:ascii="Symbol" w:hAnsi="Symbol"/>
    </w:rPr>
  </w:style>
  <w:style w:type="character" w:styleId="WW-WW8Num5z04">
    <w:name w:val="WW-WW8Num5z04"/>
    <w:qFormat/>
    <w:rPr>
      <w:rFonts w:ascii="Symbol" w:hAnsi="Symbol"/>
    </w:rPr>
  </w:style>
  <w:style w:type="character" w:styleId="WW-WW8Num4z04">
    <w:name w:val="WW-WW8Num4z04"/>
    <w:qFormat/>
    <w:rPr>
      <w:rFonts w:ascii="Symbol" w:hAnsi="Symbol"/>
    </w:rPr>
  </w:style>
  <w:style w:type="character" w:styleId="WW-WW8Num3z04">
    <w:name w:val="WW-WW8Num3z04"/>
    <w:qFormat/>
    <w:rPr>
      <w:rFonts w:ascii="Symbol" w:hAnsi="Symbol"/>
    </w:rPr>
  </w:style>
  <w:style w:type="character" w:styleId="WW-WW8Num2z04">
    <w:name w:val="WW-WW8Num2z04"/>
    <w:qFormat/>
    <w:rPr>
      <w:rFonts w:ascii="Symbol" w:hAnsi="Symbol"/>
    </w:rPr>
  </w:style>
  <w:style w:type="character" w:styleId="WW-WW8Num1z04">
    <w:name w:val="WW-WW8Num1z04"/>
    <w:qFormat/>
    <w:rPr>
      <w:rFonts w:ascii="Symbol" w:hAnsi="Symbol"/>
    </w:rPr>
  </w:style>
  <w:style w:type="character" w:styleId="WW-WW8Num14z01">
    <w:name w:val="WW-WW8Num14z01"/>
    <w:qFormat/>
    <w:rPr>
      <w:rFonts w:ascii="StarBats" w:hAnsi="StarBats"/>
      <w:sz w:val="18"/>
    </w:rPr>
  </w:style>
  <w:style w:type="character" w:styleId="WW-WW8Num6z03">
    <w:name w:val="WW-WW8Num6z03"/>
    <w:qFormat/>
    <w:rPr>
      <w:rFonts w:ascii="Symbol" w:hAnsi="Symbol"/>
    </w:rPr>
  </w:style>
  <w:style w:type="character" w:styleId="WW-WW8Num5z03">
    <w:name w:val="WW-WW8Num5z03"/>
    <w:qFormat/>
    <w:rPr>
      <w:rFonts w:ascii="Symbol" w:hAnsi="Symbol"/>
    </w:rPr>
  </w:style>
  <w:style w:type="character" w:styleId="WW-WW8Num4z03">
    <w:name w:val="WW-WW8Num4z03"/>
    <w:qFormat/>
    <w:rPr>
      <w:rFonts w:ascii="Symbol" w:hAnsi="Symbol"/>
    </w:rPr>
  </w:style>
  <w:style w:type="character" w:styleId="WW-WW8Num3z03">
    <w:name w:val="WW-WW8Num3z03"/>
    <w:qFormat/>
    <w:rPr>
      <w:rFonts w:ascii="Symbol" w:hAnsi="Symbol"/>
    </w:rPr>
  </w:style>
  <w:style w:type="character" w:styleId="WW-WW8Num2z03">
    <w:name w:val="WW-WW8Num2z03"/>
    <w:qFormat/>
    <w:rPr>
      <w:rFonts w:ascii="Symbol" w:hAnsi="Symbol"/>
    </w:rPr>
  </w:style>
  <w:style w:type="character" w:styleId="WW-WW8Num1z03">
    <w:name w:val="WW-WW8Num1z03"/>
    <w:qFormat/>
    <w:rPr>
      <w:rFonts w:ascii="Symbol" w:hAnsi="Symbol"/>
    </w:rPr>
  </w:style>
  <w:style w:type="character" w:styleId="WW-WW8Num14z0">
    <w:name w:val="WW-WW8Num14z0"/>
    <w:qFormat/>
    <w:rPr>
      <w:rFonts w:ascii="StarBats" w:hAnsi="StarBats"/>
      <w:sz w:val="18"/>
    </w:rPr>
  </w:style>
  <w:style w:type="character" w:styleId="WW-WW8Num6z02">
    <w:name w:val="WW-WW8Num6z02"/>
    <w:qFormat/>
    <w:rPr>
      <w:rFonts w:ascii="Symbol" w:hAnsi="Symbol"/>
    </w:rPr>
  </w:style>
  <w:style w:type="character" w:styleId="WW-WW8Num5z02">
    <w:name w:val="WW-WW8Num5z02"/>
    <w:qFormat/>
    <w:rPr>
      <w:rFonts w:ascii="Symbol" w:hAnsi="Symbol"/>
    </w:rPr>
  </w:style>
  <w:style w:type="character" w:styleId="WW-WW8Num4z02">
    <w:name w:val="WW-WW8Num4z02"/>
    <w:qFormat/>
    <w:rPr>
      <w:rFonts w:ascii="Symbol" w:hAnsi="Symbol"/>
    </w:rPr>
  </w:style>
  <w:style w:type="character" w:styleId="WW-WW8Num3z02">
    <w:name w:val="WW-WW8Num3z02"/>
    <w:qFormat/>
    <w:rPr>
      <w:rFonts w:ascii="Symbol" w:hAnsi="Symbol"/>
    </w:rPr>
  </w:style>
  <w:style w:type="character" w:styleId="WW-WW8Num2z02">
    <w:name w:val="WW-WW8Num2z02"/>
    <w:qFormat/>
    <w:rPr>
      <w:rFonts w:ascii="Symbol" w:hAnsi="Symbol"/>
    </w:rPr>
  </w:style>
  <w:style w:type="character" w:styleId="WW-WW8Num1z02">
    <w:name w:val="WW-WW8Num1z02"/>
    <w:qFormat/>
    <w:rPr>
      <w:rFonts w:ascii="Symbol" w:hAnsi="Symbol"/>
    </w:rPr>
  </w:style>
  <w:style w:type="character" w:styleId="WW8Num14z0">
    <w:name w:val="WW8Num14z0"/>
    <w:qFormat/>
    <w:rPr>
      <w:rFonts w:ascii="StarBats" w:hAnsi="StarBats"/>
      <w:sz w:val="18"/>
    </w:rPr>
  </w:style>
  <w:style w:type="character" w:styleId="WW-WW8Num6z0111">
    <w:name w:val="WW-WW8Num6z0111"/>
    <w:qFormat/>
    <w:rPr>
      <w:rFonts w:ascii="Symbol" w:hAnsi="Symbol"/>
    </w:rPr>
  </w:style>
  <w:style w:type="character" w:styleId="WW-WW8Num5z0111111111111111111111111">
    <w:name w:val="WW-WW8Num5z0111111111111111111111111"/>
    <w:qFormat/>
    <w:rPr>
      <w:rFonts w:ascii="Symbol" w:hAnsi="Symbol"/>
    </w:rPr>
  </w:style>
  <w:style w:type="character" w:styleId="WW-WW8Num4z0111111111111111111111111">
    <w:name w:val="WW-WW8Num4z0111111111111111111111111"/>
    <w:qFormat/>
    <w:rPr>
      <w:rFonts w:ascii="Symbol" w:hAnsi="Symbol"/>
    </w:rPr>
  </w:style>
  <w:style w:type="character" w:styleId="WW-WW8Num3z0111111111111111111111111">
    <w:name w:val="WW-WW8Num3z0111111111111111111111111"/>
    <w:qFormat/>
    <w:rPr>
      <w:rFonts w:ascii="Symbol" w:hAnsi="Symbol"/>
    </w:rPr>
  </w:style>
  <w:style w:type="character" w:styleId="WW-WW8Num2z0111111111111111111111111">
    <w:name w:val="WW-WW8Num2z0111111111111111111111111"/>
    <w:qFormat/>
    <w:rPr>
      <w:rFonts w:ascii="Symbol" w:hAnsi="Symbol"/>
    </w:rPr>
  </w:style>
  <w:style w:type="character" w:styleId="WW-WW8Num1z0111111111111111111111111">
    <w:name w:val="WW-WW8Num1z0111111111111111111111111"/>
    <w:qFormat/>
    <w:rPr>
      <w:rFonts w:ascii="Symbol" w:hAnsi="Symbol"/>
    </w:rPr>
  </w:style>
  <w:style w:type="character" w:styleId="WW-BulletSymbols111">
    <w:name w:val="WW-Bullet Symbols111"/>
    <w:qFormat/>
    <w:rPr>
      <w:rFonts w:ascii="StarBats" w:hAnsi="StarBats"/>
      <w:sz w:val="18"/>
    </w:rPr>
  </w:style>
  <w:style w:type="character" w:styleId="WW-BulletSymbols11">
    <w:name w:val="WW-Bullet Symbols11"/>
    <w:qFormat/>
    <w:rPr>
      <w:rFonts w:ascii="StarSymbol" w:hAnsi="StarSymbol" w:eastAsia="StarSymbol"/>
      <w:sz w:val="18"/>
    </w:rPr>
  </w:style>
  <w:style w:type="character" w:styleId="WW-BulletSymbols1">
    <w:name w:val="WW-Bullet Symbols1"/>
    <w:qFormat/>
    <w:rPr>
      <w:rFonts w:ascii="StarSymbol" w:hAnsi="StarSymbol" w:eastAsia="StarSymbol"/>
      <w:sz w:val="18"/>
    </w:rPr>
  </w:style>
  <w:style w:type="character" w:styleId="WW-BulletSymbols">
    <w:name w:val="WW-Bullet Symbols"/>
    <w:qFormat/>
    <w:rPr>
      <w:rFonts w:ascii="StarSymbol" w:hAnsi="StarSymbol" w:eastAsia="StarSymbol"/>
      <w:sz w:val="18"/>
    </w:rPr>
  </w:style>
  <w:style w:type="character" w:styleId="WW-NumberingSymbols11111111111111111111111111">
    <w:name w:val="WW-Numbering Symbols11111111111111111111111111"/>
    <w:qFormat/>
    <w:rPr/>
  </w:style>
  <w:style w:type="character" w:styleId="WW-NumberingSymbols1111111111111111111111111">
    <w:name w:val="WW-Numbering Symbols1111111111111111111111111"/>
    <w:qFormat/>
    <w:rPr/>
  </w:style>
  <w:style w:type="character" w:styleId="WW-NumberingSymbols111111111111111111111111">
    <w:name w:val="WW-Numbering Symbols111111111111111111111111"/>
    <w:qFormat/>
    <w:rPr/>
  </w:style>
  <w:style w:type="character" w:styleId="WW-NumberingSymbols11111111111111111111111">
    <w:name w:val="WW-Numbering Symbols11111111111111111111111"/>
    <w:qFormat/>
    <w:rPr/>
  </w:style>
  <w:style w:type="character" w:styleId="WW-NumberingSymbols1111111111111111111111">
    <w:name w:val="WW-Numbering Symbols1111111111111111111111"/>
    <w:qFormat/>
    <w:rPr/>
  </w:style>
  <w:style w:type="character" w:styleId="WW-NumberingSymbols111111111111111111111">
    <w:name w:val="WW-Numbering Symbols111111111111111111111"/>
    <w:qFormat/>
    <w:rPr/>
  </w:style>
  <w:style w:type="character" w:styleId="WW-NumberingSymbols11111111111111111111">
    <w:name w:val="WW-Numbering Symbols11111111111111111111"/>
    <w:qFormat/>
    <w:rPr/>
  </w:style>
  <w:style w:type="character" w:styleId="WW-NumberingSymbols1111111111111111111">
    <w:name w:val="WW-Numbering Symbols1111111111111111111"/>
    <w:qFormat/>
    <w:rPr/>
  </w:style>
  <w:style w:type="character" w:styleId="WW-NumberingSymbols111111111111111111">
    <w:name w:val="WW-Numbering Symbols111111111111111111"/>
    <w:qFormat/>
    <w:rPr/>
  </w:style>
  <w:style w:type="character" w:styleId="WW-NumberingSymbols11111111111111111">
    <w:name w:val="WW-Numbering Symbols11111111111111111"/>
    <w:qFormat/>
    <w:rPr/>
  </w:style>
  <w:style w:type="character" w:styleId="WW-NumberingSymbols1111111111111111">
    <w:name w:val="WW-Numbering Symbols1111111111111111"/>
    <w:qFormat/>
    <w:rPr/>
  </w:style>
  <w:style w:type="character" w:styleId="WW-NumberingSymbols111111111111111">
    <w:name w:val="WW-Numbering Symbols111111111111111"/>
    <w:qFormat/>
    <w:rPr/>
  </w:style>
  <w:style w:type="character" w:styleId="WW-NumberingSymbols11111111111111">
    <w:name w:val="WW-Numbering Symbols11111111111111"/>
    <w:qFormat/>
    <w:rPr/>
  </w:style>
  <w:style w:type="character" w:styleId="WW-NumberingSymbols1111111111111">
    <w:name w:val="WW-Numbering Symbols1111111111111"/>
    <w:qFormat/>
    <w:rPr/>
  </w:style>
  <w:style w:type="character" w:styleId="WW-NumberingSymbols111111111111">
    <w:name w:val="WW-Numbering Symbols111111111111"/>
    <w:qFormat/>
    <w:rPr/>
  </w:style>
  <w:style w:type="character" w:styleId="WW-NumberingSymbols11111111111">
    <w:name w:val="WW-Numbering Symbols11111111111"/>
    <w:qFormat/>
    <w:rPr/>
  </w:style>
  <w:style w:type="character" w:styleId="WW-NumberingSymbols1111111111">
    <w:name w:val="WW-Numbering Symbols1111111111"/>
    <w:qFormat/>
    <w:rPr/>
  </w:style>
  <w:style w:type="character" w:styleId="WW-NumberingSymbols111111111">
    <w:name w:val="WW-Numbering Symbols111111111"/>
    <w:qFormat/>
    <w:rPr/>
  </w:style>
  <w:style w:type="character" w:styleId="WW-NumberingSymbols11111111">
    <w:name w:val="WW-Numbering Symbols11111111"/>
    <w:qFormat/>
    <w:rPr/>
  </w:style>
  <w:style w:type="character" w:styleId="WW-NumberingSymbols1111111">
    <w:name w:val="WW-Numbering Symbols1111111"/>
    <w:qFormat/>
    <w:rPr/>
  </w:style>
  <w:style w:type="character" w:styleId="WW-NumberingSymbols111111">
    <w:name w:val="WW-Numbering Symbols111111"/>
    <w:qFormat/>
    <w:rPr/>
  </w:style>
  <w:style w:type="character" w:styleId="WW-NumberingSymbols11111">
    <w:name w:val="WW-Numbering Symbols11111"/>
    <w:qFormat/>
    <w:rPr/>
  </w:style>
  <w:style w:type="character" w:styleId="WW-NumberingSymbols1111">
    <w:name w:val="WW-Numbering Symbols1111"/>
    <w:qFormat/>
    <w:rPr/>
  </w:style>
  <w:style w:type="character" w:styleId="WW-NumberingSymbols111">
    <w:name w:val="WW-Numbering Symbols111"/>
    <w:qFormat/>
    <w:rPr/>
  </w:style>
  <w:style w:type="character" w:styleId="WW-NumberingSymbols11">
    <w:name w:val="WW-Numbering Symbols11"/>
    <w:qFormat/>
    <w:rPr/>
  </w:style>
  <w:style w:type="character" w:styleId="WW-NumberingSymbols1">
    <w:name w:val="WW-Numbering Symbols1"/>
    <w:qFormat/>
    <w:rPr/>
  </w:style>
  <w:style w:type="character" w:styleId="WW-NumberingSymbols">
    <w:name w:val="WW-Numbering Symbols"/>
    <w:qFormat/>
    <w:rPr/>
  </w:style>
  <w:style w:type="character" w:styleId="WW-WW8Num6z011">
    <w:name w:val="WW-WW8Num6z011"/>
    <w:qFormat/>
    <w:rPr>
      <w:rFonts w:ascii="Symbol" w:hAnsi="Symbol"/>
    </w:rPr>
  </w:style>
  <w:style w:type="character" w:styleId="WW-WW8Num5z011111111111111111111111">
    <w:name w:val="WW-WW8Num5z011111111111111111111111"/>
    <w:qFormat/>
    <w:rPr>
      <w:rFonts w:ascii="Symbol" w:hAnsi="Symbol"/>
    </w:rPr>
  </w:style>
  <w:style w:type="character" w:styleId="WW-WW8Num4z011111111111111111111111">
    <w:name w:val="WW-WW8Num4z011111111111111111111111"/>
    <w:qFormat/>
    <w:rPr>
      <w:rFonts w:ascii="Symbol" w:hAnsi="Symbol"/>
    </w:rPr>
  </w:style>
  <w:style w:type="character" w:styleId="WW-WW8Num3z011111111111111111111111">
    <w:name w:val="WW-WW8Num3z011111111111111111111111"/>
    <w:qFormat/>
    <w:rPr>
      <w:rFonts w:ascii="Symbol" w:hAnsi="Symbol"/>
    </w:rPr>
  </w:style>
  <w:style w:type="character" w:styleId="WW-WW8Num2z011111111111111111111111">
    <w:name w:val="WW-WW8Num2z011111111111111111111111"/>
    <w:qFormat/>
    <w:rPr>
      <w:rFonts w:ascii="Symbol" w:hAnsi="Symbol"/>
    </w:rPr>
  </w:style>
  <w:style w:type="character" w:styleId="WW-WW8Num1z011111111111111111111111">
    <w:name w:val="WW-WW8Num1z011111111111111111111111"/>
    <w:qFormat/>
    <w:rPr>
      <w:rFonts w:ascii="Symbol" w:hAnsi="Symbol"/>
    </w:rPr>
  </w:style>
  <w:style w:type="character" w:styleId="WW8Num8z0">
    <w:name w:val="WW8Num8z0"/>
    <w:qFormat/>
    <w:rPr>
      <w:rFonts w:ascii="Symbol" w:hAnsi="Symbol"/>
    </w:rPr>
  </w:style>
  <w:style w:type="character" w:styleId="WW8Num7z0">
    <w:name w:val="WW8Num7z0"/>
    <w:qFormat/>
    <w:rPr>
      <w:rFonts w:ascii="Symbol" w:hAnsi="Symbol"/>
    </w:rPr>
  </w:style>
  <w:style w:type="character" w:styleId="WW-WW8Num6z01">
    <w:name w:val="WW-WW8Num6z01"/>
    <w:qFormat/>
    <w:rPr>
      <w:rFonts w:ascii="Symbol" w:hAnsi="Symbol"/>
    </w:rPr>
  </w:style>
  <w:style w:type="character" w:styleId="WW-WW8Num5z01111111111111111111111">
    <w:name w:val="WW-WW8Num5z01111111111111111111111"/>
    <w:qFormat/>
    <w:rPr>
      <w:rFonts w:ascii="Symbol" w:hAnsi="Symbol"/>
    </w:rPr>
  </w:style>
  <w:style w:type="character" w:styleId="WW-WW8Num4z01111111111111111111111">
    <w:name w:val="WW-WW8Num4z01111111111111111111111"/>
    <w:qFormat/>
    <w:rPr>
      <w:rFonts w:ascii="Symbol" w:hAnsi="Symbol"/>
    </w:rPr>
  </w:style>
  <w:style w:type="character" w:styleId="WW-WW8Num3z01111111111111111111111">
    <w:name w:val="WW-WW8Num3z01111111111111111111111"/>
    <w:qFormat/>
    <w:rPr>
      <w:rFonts w:ascii="Symbol" w:hAnsi="Symbol"/>
    </w:rPr>
  </w:style>
  <w:style w:type="character" w:styleId="WW-WW8Num2z01111111111111111111111">
    <w:name w:val="WW-WW8Num2z01111111111111111111111"/>
    <w:qFormat/>
    <w:rPr>
      <w:rFonts w:ascii="Symbol" w:hAnsi="Symbol"/>
    </w:rPr>
  </w:style>
  <w:style w:type="character" w:styleId="WW-WW8Num1z01111111111111111111111">
    <w:name w:val="WW-WW8Num1z01111111111111111111111"/>
    <w:qFormat/>
    <w:rPr>
      <w:rFonts w:ascii="Symbol" w:hAnsi="Symbol"/>
    </w:rPr>
  </w:style>
  <w:style w:type="character" w:styleId="WW-DefaultParagraphFont1">
    <w:name w:val="WW-Default Paragraph Font1"/>
    <w:qFormat/>
    <w:rPr/>
  </w:style>
  <w:style w:type="character" w:styleId="WW-Absatz-Standardschriftart11111111111111111111111111">
    <w:name w:val="WW-Absatz-Standardschriftart11111111111111111111111111"/>
    <w:qFormat/>
    <w:rPr/>
  </w:style>
  <w:style w:type="character" w:styleId="WW-DefaultParagraphFont">
    <w:name w:val="WW-Default Paragraph Font"/>
    <w:qFormat/>
    <w:rPr/>
  </w:style>
  <w:style w:type="character" w:styleId="WW-Absatz-Standardschriftart1111111111111111111111111">
    <w:name w:val="WW-Absatz-Standardschriftart1111111111111111111111111"/>
    <w:qFormat/>
    <w:rPr/>
  </w:style>
  <w:style w:type="character" w:styleId="WW-Absatz-Standardschriftart111111111111111111111111">
    <w:name w:val="WW-Absatz-Standardschriftart111111111111111111111111"/>
    <w:qFormat/>
    <w:rPr/>
  </w:style>
  <w:style w:type="character" w:styleId="WW-Absatz-Standardschriftart11111111111111111111111">
    <w:name w:val="WW-Absatz-Standardschriftart11111111111111111111111"/>
    <w:qFormat/>
    <w:rPr/>
  </w:style>
  <w:style w:type="character" w:styleId="WW-Absatz-Standardschriftart1111111111111111111111">
    <w:name w:val="WW-Absatz-Standardschriftart1111111111111111111111"/>
    <w:qFormat/>
    <w:rPr/>
  </w:style>
  <w:style w:type="character" w:styleId="WW-WW8Num13z0">
    <w:name w:val="WW-WW8Num13z0"/>
    <w:qFormat/>
    <w:rPr>
      <w:rFonts w:ascii="StarBats" w:hAnsi="StarBats"/>
      <w:sz w:val="18"/>
    </w:rPr>
  </w:style>
  <w:style w:type="character" w:styleId="WW-WW8Num6z0">
    <w:name w:val="WW-WW8Num6z0"/>
    <w:qFormat/>
    <w:rPr>
      <w:rFonts w:ascii="Symbol" w:hAnsi="Symbol"/>
    </w:rPr>
  </w:style>
  <w:style w:type="character" w:styleId="WW-WW8Num5z0111111111111111111111">
    <w:name w:val="WW-WW8Num5z0111111111111111111111"/>
    <w:qFormat/>
    <w:rPr>
      <w:rFonts w:ascii="Symbol" w:hAnsi="Symbol"/>
    </w:rPr>
  </w:style>
  <w:style w:type="character" w:styleId="WW-WW8Num4z0111111111111111111111">
    <w:name w:val="WW-WW8Num4z0111111111111111111111"/>
    <w:qFormat/>
    <w:rPr>
      <w:rFonts w:ascii="Symbol" w:hAnsi="Symbol"/>
    </w:rPr>
  </w:style>
  <w:style w:type="character" w:styleId="WW-WW8Num3z0111111111111111111111">
    <w:name w:val="WW-WW8Num3z0111111111111111111111"/>
    <w:qFormat/>
    <w:rPr>
      <w:rFonts w:ascii="Symbol" w:hAnsi="Symbol"/>
    </w:rPr>
  </w:style>
  <w:style w:type="character" w:styleId="WW-WW8Num2z0111111111111111111111">
    <w:name w:val="WW-WW8Num2z0111111111111111111111"/>
    <w:qFormat/>
    <w:rPr>
      <w:rFonts w:ascii="Symbol" w:hAnsi="Symbol"/>
    </w:rPr>
  </w:style>
  <w:style w:type="character" w:styleId="WW-WW8Num1z0111111111111111111111">
    <w:name w:val="WW-WW8Num1z0111111111111111111111"/>
    <w:qFormat/>
    <w:rPr>
      <w:rFonts w:ascii="Symbol" w:hAnsi="Symbol"/>
    </w:rPr>
  </w:style>
  <w:style w:type="character" w:styleId="WW-Absatz-Standardschriftart111111111111111111111">
    <w:name w:val="WW-Absatz-Standardschriftart111111111111111111111"/>
    <w:qFormat/>
    <w:rPr/>
  </w:style>
  <w:style w:type="character" w:styleId="WW8Num13z0">
    <w:name w:val="WW8Num13z0"/>
    <w:qFormat/>
    <w:rPr>
      <w:rFonts w:ascii="StarBats" w:hAnsi="StarBats"/>
      <w:sz w:val="18"/>
    </w:rPr>
  </w:style>
  <w:style w:type="character" w:styleId="WW8Num6z0">
    <w:name w:val="WW8Num6z0"/>
    <w:qFormat/>
    <w:rPr>
      <w:rFonts w:ascii="Symbol" w:hAnsi="Symbol"/>
    </w:rPr>
  </w:style>
  <w:style w:type="character" w:styleId="WW-WW8Num5z011111111111111111111">
    <w:name w:val="WW-WW8Num5z011111111111111111111"/>
    <w:qFormat/>
    <w:rPr>
      <w:rFonts w:ascii="Symbol" w:hAnsi="Symbol"/>
    </w:rPr>
  </w:style>
  <w:style w:type="character" w:styleId="WW-WW8Num4z011111111111111111111">
    <w:name w:val="WW-WW8Num4z011111111111111111111"/>
    <w:qFormat/>
    <w:rPr>
      <w:rFonts w:ascii="Symbol" w:hAnsi="Symbol"/>
    </w:rPr>
  </w:style>
  <w:style w:type="character" w:styleId="WW-WW8Num3z011111111111111111111">
    <w:name w:val="WW-WW8Num3z011111111111111111111"/>
    <w:qFormat/>
    <w:rPr>
      <w:rFonts w:ascii="Symbol" w:hAnsi="Symbol"/>
    </w:rPr>
  </w:style>
  <w:style w:type="character" w:styleId="WW-WW8Num2z011111111111111111111">
    <w:name w:val="WW-WW8Num2z011111111111111111111"/>
    <w:qFormat/>
    <w:rPr>
      <w:rFonts w:ascii="Symbol" w:hAnsi="Symbol"/>
    </w:rPr>
  </w:style>
  <w:style w:type="character" w:styleId="WW-WW8Num1z011111111111111111111">
    <w:name w:val="WW-WW8Num1z011111111111111111111"/>
    <w:qFormat/>
    <w:rPr>
      <w:rFonts w:ascii="Symbol" w:hAnsi="Symbol"/>
    </w:rPr>
  </w:style>
  <w:style w:type="character" w:styleId="WW-Absatz-Standardschriftart11111111111111111111">
    <w:name w:val="WW-Absatz-Standardschriftart11111111111111111111"/>
    <w:qFormat/>
    <w:rPr/>
  </w:style>
  <w:style w:type="character" w:styleId="WW-WW8Num12z0">
    <w:name w:val="WW-WW8Num12z0"/>
    <w:qFormat/>
    <w:rPr>
      <w:rFonts w:ascii="StarBats" w:hAnsi="StarBats"/>
      <w:sz w:val="18"/>
    </w:rPr>
  </w:style>
  <w:style w:type="character" w:styleId="WW-WW8Num5z01111111111111111111">
    <w:name w:val="WW-WW8Num5z01111111111111111111"/>
    <w:qFormat/>
    <w:rPr>
      <w:rFonts w:ascii="Symbol" w:hAnsi="Symbol"/>
    </w:rPr>
  </w:style>
  <w:style w:type="character" w:styleId="WW-WW8Num4z01111111111111111111">
    <w:name w:val="WW-WW8Num4z01111111111111111111"/>
    <w:qFormat/>
    <w:rPr>
      <w:rFonts w:ascii="Symbol" w:hAnsi="Symbol"/>
    </w:rPr>
  </w:style>
  <w:style w:type="character" w:styleId="WW-WW8Num3z01111111111111111111">
    <w:name w:val="WW-WW8Num3z01111111111111111111"/>
    <w:qFormat/>
    <w:rPr>
      <w:rFonts w:ascii="Symbol" w:hAnsi="Symbol"/>
    </w:rPr>
  </w:style>
  <w:style w:type="character" w:styleId="WW-WW8Num2z01111111111111111111">
    <w:name w:val="WW-WW8Num2z01111111111111111111"/>
    <w:qFormat/>
    <w:rPr>
      <w:rFonts w:ascii="Symbol" w:hAnsi="Symbol"/>
    </w:rPr>
  </w:style>
  <w:style w:type="character" w:styleId="WW-WW8Num1z01111111111111111111">
    <w:name w:val="WW-WW8Num1z01111111111111111111"/>
    <w:qFormat/>
    <w:rPr>
      <w:rFonts w:ascii="Symbol" w:hAnsi="Symbol"/>
    </w:rPr>
  </w:style>
  <w:style w:type="character" w:styleId="WW-Absatz-Standardschriftart1111111111111111111">
    <w:name w:val="WW-Absatz-Standardschriftart1111111111111111111"/>
    <w:qFormat/>
    <w:rPr/>
  </w:style>
  <w:style w:type="character" w:styleId="WW8Num12z0">
    <w:name w:val="WW8Num12z0"/>
    <w:qFormat/>
    <w:rPr>
      <w:rFonts w:ascii="StarBats" w:hAnsi="StarBats"/>
      <w:sz w:val="18"/>
    </w:rPr>
  </w:style>
  <w:style w:type="character" w:styleId="WW-WW8Num5z0111111111111111111">
    <w:name w:val="WW-WW8Num5z0111111111111111111"/>
    <w:qFormat/>
    <w:rPr>
      <w:rFonts w:ascii="Symbol" w:hAnsi="Symbol"/>
    </w:rPr>
  </w:style>
  <w:style w:type="character" w:styleId="WW-WW8Num4z0111111111111111111">
    <w:name w:val="WW-WW8Num4z0111111111111111111"/>
    <w:qFormat/>
    <w:rPr>
      <w:rFonts w:ascii="Symbol" w:hAnsi="Symbol"/>
    </w:rPr>
  </w:style>
  <w:style w:type="character" w:styleId="WW-WW8Num3z0111111111111111111">
    <w:name w:val="WW-WW8Num3z0111111111111111111"/>
    <w:qFormat/>
    <w:rPr>
      <w:rFonts w:ascii="Symbol" w:hAnsi="Symbol"/>
    </w:rPr>
  </w:style>
  <w:style w:type="character" w:styleId="WW-WW8Num2z0111111111111111111">
    <w:name w:val="WW-WW8Num2z0111111111111111111"/>
    <w:qFormat/>
    <w:rPr>
      <w:rFonts w:ascii="Symbol" w:hAnsi="Symbol"/>
    </w:rPr>
  </w:style>
  <w:style w:type="character" w:styleId="WW-WW8Num1z0111111111111111111">
    <w:name w:val="WW-WW8Num1z0111111111111111111"/>
    <w:qFormat/>
    <w:rPr>
      <w:rFonts w:ascii="Symbol" w:hAnsi="Symbol"/>
    </w:rPr>
  </w:style>
  <w:style w:type="character" w:styleId="WW-Absatz-Standardschriftart111111111111111111">
    <w:name w:val="WW-Absatz-Standardschriftart111111111111111111"/>
    <w:qFormat/>
    <w:rPr/>
  </w:style>
  <w:style w:type="character" w:styleId="WW-WW8Num5z011111111111111111">
    <w:name w:val="WW-WW8Num5z011111111111111111"/>
    <w:qFormat/>
    <w:rPr>
      <w:rFonts w:ascii="Symbol" w:hAnsi="Symbol"/>
    </w:rPr>
  </w:style>
  <w:style w:type="character" w:styleId="WW-WW8Num4z011111111111111111">
    <w:name w:val="WW-WW8Num4z011111111111111111"/>
    <w:qFormat/>
    <w:rPr>
      <w:rFonts w:ascii="Symbol" w:hAnsi="Symbol"/>
    </w:rPr>
  </w:style>
  <w:style w:type="character" w:styleId="WW-WW8Num3z011111111111111111">
    <w:name w:val="WW-WW8Num3z011111111111111111"/>
    <w:qFormat/>
    <w:rPr>
      <w:rFonts w:ascii="Symbol" w:hAnsi="Symbol"/>
    </w:rPr>
  </w:style>
  <w:style w:type="character" w:styleId="WW-WW8Num2z011111111111111111">
    <w:name w:val="WW-WW8Num2z011111111111111111"/>
    <w:qFormat/>
    <w:rPr>
      <w:rFonts w:ascii="Symbol" w:hAnsi="Symbol"/>
    </w:rPr>
  </w:style>
  <w:style w:type="character" w:styleId="WW-WW8Num1z011111111111111111">
    <w:name w:val="WW-WW8Num1z011111111111111111"/>
    <w:qFormat/>
    <w:rPr>
      <w:rFonts w:ascii="Symbol" w:hAnsi="Symbol"/>
    </w:rPr>
  </w:style>
  <w:style w:type="character" w:styleId="WW-Absatz-Standardschriftart11111111111111111">
    <w:name w:val="WW-Absatz-Standardschriftart11111111111111111"/>
    <w:qFormat/>
    <w:rPr/>
  </w:style>
  <w:style w:type="character" w:styleId="WW-WW8Num5z01111111111111111">
    <w:name w:val="WW-WW8Num5z01111111111111111"/>
    <w:qFormat/>
    <w:rPr>
      <w:rFonts w:ascii="Symbol" w:hAnsi="Symbol"/>
    </w:rPr>
  </w:style>
  <w:style w:type="character" w:styleId="WW-WW8Num4z01111111111111111">
    <w:name w:val="WW-WW8Num4z01111111111111111"/>
    <w:qFormat/>
    <w:rPr>
      <w:rFonts w:ascii="Symbol" w:hAnsi="Symbol"/>
    </w:rPr>
  </w:style>
  <w:style w:type="character" w:styleId="WW-WW8Num3z01111111111111111">
    <w:name w:val="WW-WW8Num3z01111111111111111"/>
    <w:qFormat/>
    <w:rPr>
      <w:rFonts w:ascii="Symbol" w:hAnsi="Symbol"/>
    </w:rPr>
  </w:style>
  <w:style w:type="character" w:styleId="WW-WW8Num2z01111111111111111">
    <w:name w:val="WW-WW8Num2z01111111111111111"/>
    <w:qFormat/>
    <w:rPr>
      <w:rFonts w:ascii="Symbol" w:hAnsi="Symbol"/>
    </w:rPr>
  </w:style>
  <w:style w:type="character" w:styleId="WW-WW8Num1z01111111111111111">
    <w:name w:val="WW-WW8Num1z01111111111111111"/>
    <w:qFormat/>
    <w:rPr>
      <w:rFonts w:ascii="Symbol" w:hAnsi="Symbol"/>
    </w:rPr>
  </w:style>
  <w:style w:type="character" w:styleId="WW-Absatz-Standardschriftart1111111111111111">
    <w:name w:val="WW-Absatz-Standardschriftart1111111111111111"/>
    <w:qFormat/>
    <w:rPr/>
  </w:style>
  <w:style w:type="character" w:styleId="WW-WW8Num5z0111111111111111">
    <w:name w:val="WW-WW8Num5z0111111111111111"/>
    <w:qFormat/>
    <w:rPr>
      <w:rFonts w:ascii="Symbol" w:hAnsi="Symbol"/>
    </w:rPr>
  </w:style>
  <w:style w:type="character" w:styleId="WW-WW8Num4z0111111111111111">
    <w:name w:val="WW-WW8Num4z0111111111111111"/>
    <w:qFormat/>
    <w:rPr>
      <w:rFonts w:ascii="Symbol" w:hAnsi="Symbol"/>
    </w:rPr>
  </w:style>
  <w:style w:type="character" w:styleId="WW-WW8Num3z0111111111111111">
    <w:name w:val="WW-WW8Num3z0111111111111111"/>
    <w:qFormat/>
    <w:rPr>
      <w:rFonts w:ascii="Symbol" w:hAnsi="Symbol"/>
    </w:rPr>
  </w:style>
  <w:style w:type="character" w:styleId="WW-WW8Num2z0111111111111111">
    <w:name w:val="WW-WW8Num2z0111111111111111"/>
    <w:qFormat/>
    <w:rPr>
      <w:rFonts w:ascii="Symbol" w:hAnsi="Symbol"/>
    </w:rPr>
  </w:style>
  <w:style w:type="character" w:styleId="WW-WW8Num1z0111111111111111">
    <w:name w:val="WW-WW8Num1z0111111111111111"/>
    <w:qFormat/>
    <w:rPr>
      <w:rFonts w:ascii="Symbol" w:hAnsi="Symbol"/>
    </w:rPr>
  </w:style>
  <w:style w:type="character" w:styleId="WW-Absatz-Standardschriftart111111111111111">
    <w:name w:val="WW-Absatz-Standardschriftart111111111111111"/>
    <w:qFormat/>
    <w:rPr/>
  </w:style>
  <w:style w:type="character" w:styleId="WW-WW8Num5z011111111111111">
    <w:name w:val="WW-WW8Num5z011111111111111"/>
    <w:qFormat/>
    <w:rPr>
      <w:rFonts w:ascii="Symbol" w:hAnsi="Symbol"/>
    </w:rPr>
  </w:style>
  <w:style w:type="character" w:styleId="WW-WW8Num4z011111111111111">
    <w:name w:val="WW-WW8Num4z011111111111111"/>
    <w:qFormat/>
    <w:rPr>
      <w:rFonts w:ascii="Symbol" w:hAnsi="Symbol"/>
    </w:rPr>
  </w:style>
  <w:style w:type="character" w:styleId="WW-WW8Num3z011111111111111">
    <w:name w:val="WW-WW8Num3z011111111111111"/>
    <w:qFormat/>
    <w:rPr>
      <w:rFonts w:ascii="Symbol" w:hAnsi="Symbol"/>
    </w:rPr>
  </w:style>
  <w:style w:type="character" w:styleId="WW-WW8Num2z011111111111111">
    <w:name w:val="WW-WW8Num2z011111111111111"/>
    <w:qFormat/>
    <w:rPr>
      <w:rFonts w:ascii="Symbol" w:hAnsi="Symbol"/>
    </w:rPr>
  </w:style>
  <w:style w:type="character" w:styleId="WW-WW8Num1z011111111111111">
    <w:name w:val="WW-WW8Num1z011111111111111"/>
    <w:qFormat/>
    <w:rPr>
      <w:rFonts w:ascii="Symbol" w:hAnsi="Symbol"/>
    </w:rPr>
  </w:style>
  <w:style w:type="character" w:styleId="WW-Absatz-Standardschriftart11111111111111">
    <w:name w:val="WW-Absatz-Standardschriftart11111111111111"/>
    <w:qFormat/>
    <w:rPr/>
  </w:style>
  <w:style w:type="character" w:styleId="WW-WW8Num5z01111111111111">
    <w:name w:val="WW-WW8Num5z01111111111111"/>
    <w:qFormat/>
    <w:rPr>
      <w:rFonts w:ascii="Symbol" w:hAnsi="Symbol"/>
    </w:rPr>
  </w:style>
  <w:style w:type="character" w:styleId="WW-WW8Num4z01111111111111">
    <w:name w:val="WW-WW8Num4z01111111111111"/>
    <w:qFormat/>
    <w:rPr>
      <w:rFonts w:ascii="Symbol" w:hAnsi="Symbol"/>
    </w:rPr>
  </w:style>
  <w:style w:type="character" w:styleId="WW-WW8Num3z01111111111111">
    <w:name w:val="WW-WW8Num3z01111111111111"/>
    <w:qFormat/>
    <w:rPr>
      <w:rFonts w:ascii="Symbol" w:hAnsi="Symbol"/>
    </w:rPr>
  </w:style>
  <w:style w:type="character" w:styleId="WW-WW8Num2z01111111111111">
    <w:name w:val="WW-WW8Num2z01111111111111"/>
    <w:qFormat/>
    <w:rPr>
      <w:rFonts w:ascii="Symbol" w:hAnsi="Symbol"/>
    </w:rPr>
  </w:style>
  <w:style w:type="character" w:styleId="WW-WW8Num1z01111111111111">
    <w:name w:val="WW-WW8Num1z01111111111111"/>
    <w:qFormat/>
    <w:rPr>
      <w:rFonts w:ascii="Symbol" w:hAnsi="Symbol"/>
    </w:rPr>
  </w:style>
  <w:style w:type="character" w:styleId="WW-Absatz-Standardschriftart1111111111111">
    <w:name w:val="WW-Absatz-Standardschriftart1111111111111"/>
    <w:qFormat/>
    <w:rPr/>
  </w:style>
  <w:style w:type="character" w:styleId="WW-WW8Num5z0111111111111">
    <w:name w:val="WW-WW8Num5z0111111111111"/>
    <w:qFormat/>
    <w:rPr>
      <w:rFonts w:ascii="Symbol" w:hAnsi="Symbol"/>
    </w:rPr>
  </w:style>
  <w:style w:type="character" w:styleId="WW-WW8Num4z0111111111111">
    <w:name w:val="WW-WW8Num4z0111111111111"/>
    <w:qFormat/>
    <w:rPr>
      <w:rFonts w:ascii="Symbol" w:hAnsi="Symbol"/>
    </w:rPr>
  </w:style>
  <w:style w:type="character" w:styleId="WW-WW8Num3z0111111111111">
    <w:name w:val="WW-WW8Num3z0111111111111"/>
    <w:qFormat/>
    <w:rPr>
      <w:rFonts w:ascii="Symbol" w:hAnsi="Symbol"/>
    </w:rPr>
  </w:style>
  <w:style w:type="character" w:styleId="WW-WW8Num2z0111111111111">
    <w:name w:val="WW-WW8Num2z0111111111111"/>
    <w:qFormat/>
    <w:rPr>
      <w:rFonts w:ascii="Symbol" w:hAnsi="Symbol"/>
    </w:rPr>
  </w:style>
  <w:style w:type="character" w:styleId="WW-WW8Num1z0111111111111">
    <w:name w:val="WW-WW8Num1z0111111111111"/>
    <w:qFormat/>
    <w:rPr>
      <w:rFonts w:ascii="Symbol" w:hAnsi="Symbol"/>
    </w:rPr>
  </w:style>
  <w:style w:type="character" w:styleId="WW-Absatz-Standardschriftart111111111111">
    <w:name w:val="WW-Absatz-Standardschriftart111111111111"/>
    <w:qFormat/>
    <w:rPr/>
  </w:style>
  <w:style w:type="character" w:styleId="WW-WW8Num5z011111111111">
    <w:name w:val="WW-WW8Num5z011111111111"/>
    <w:qFormat/>
    <w:rPr>
      <w:rFonts w:ascii="Symbol" w:hAnsi="Symbol"/>
    </w:rPr>
  </w:style>
  <w:style w:type="character" w:styleId="WW-WW8Num4z011111111111">
    <w:name w:val="WW-WW8Num4z011111111111"/>
    <w:qFormat/>
    <w:rPr>
      <w:rFonts w:ascii="Symbol" w:hAnsi="Symbol"/>
    </w:rPr>
  </w:style>
  <w:style w:type="character" w:styleId="WW-WW8Num3z011111111111">
    <w:name w:val="WW-WW8Num3z011111111111"/>
    <w:qFormat/>
    <w:rPr>
      <w:rFonts w:ascii="Symbol" w:hAnsi="Symbol"/>
    </w:rPr>
  </w:style>
  <w:style w:type="character" w:styleId="WW-WW8Num2z011111111111">
    <w:name w:val="WW-WW8Num2z011111111111"/>
    <w:qFormat/>
    <w:rPr>
      <w:rFonts w:ascii="Symbol" w:hAnsi="Symbol"/>
    </w:rPr>
  </w:style>
  <w:style w:type="character" w:styleId="WW-WW8Num1z011111111111">
    <w:name w:val="WW-WW8Num1z011111111111"/>
    <w:qFormat/>
    <w:rPr>
      <w:rFonts w:ascii="Symbol" w:hAnsi="Symbol"/>
    </w:rPr>
  </w:style>
  <w:style w:type="character" w:styleId="WW-Absatz-Standardschriftart11111111111">
    <w:name w:val="WW-Absatz-Standardschriftart11111111111"/>
    <w:qFormat/>
    <w:rPr/>
  </w:style>
  <w:style w:type="character" w:styleId="WW-WW8Num5z01111111111">
    <w:name w:val="WW-WW8Num5z01111111111"/>
    <w:qFormat/>
    <w:rPr>
      <w:rFonts w:ascii="Symbol" w:hAnsi="Symbol"/>
    </w:rPr>
  </w:style>
  <w:style w:type="character" w:styleId="WW-WW8Num4z01111111111">
    <w:name w:val="WW-WW8Num4z01111111111"/>
    <w:qFormat/>
    <w:rPr>
      <w:rFonts w:ascii="Symbol" w:hAnsi="Symbol"/>
    </w:rPr>
  </w:style>
  <w:style w:type="character" w:styleId="WW-WW8Num3z01111111111">
    <w:name w:val="WW-WW8Num3z01111111111"/>
    <w:qFormat/>
    <w:rPr>
      <w:rFonts w:ascii="Symbol" w:hAnsi="Symbol"/>
    </w:rPr>
  </w:style>
  <w:style w:type="character" w:styleId="WW-WW8Num2z01111111111">
    <w:name w:val="WW-WW8Num2z01111111111"/>
    <w:qFormat/>
    <w:rPr>
      <w:rFonts w:ascii="Symbol" w:hAnsi="Symbol"/>
    </w:rPr>
  </w:style>
  <w:style w:type="character" w:styleId="WW-WW8Num1z01111111111">
    <w:name w:val="WW-WW8Num1z01111111111"/>
    <w:qFormat/>
    <w:rPr>
      <w:rFonts w:ascii="Symbol" w:hAnsi="Symbol"/>
    </w:rPr>
  </w:style>
  <w:style w:type="character" w:styleId="WW-Absatz-Standardschriftart1111111111">
    <w:name w:val="WW-Absatz-Standardschriftart1111111111"/>
    <w:qFormat/>
    <w:rPr/>
  </w:style>
  <w:style w:type="character" w:styleId="WW-WW8Num5z0111111111">
    <w:name w:val="WW-WW8Num5z0111111111"/>
    <w:qFormat/>
    <w:rPr>
      <w:rFonts w:ascii="Symbol" w:hAnsi="Symbol"/>
    </w:rPr>
  </w:style>
  <w:style w:type="character" w:styleId="WW-WW8Num4z0111111111">
    <w:name w:val="WW-WW8Num4z0111111111"/>
    <w:qFormat/>
    <w:rPr>
      <w:rFonts w:ascii="Symbol" w:hAnsi="Symbol"/>
    </w:rPr>
  </w:style>
  <w:style w:type="character" w:styleId="WW-WW8Num3z0111111111">
    <w:name w:val="WW-WW8Num3z0111111111"/>
    <w:qFormat/>
    <w:rPr>
      <w:rFonts w:ascii="Symbol" w:hAnsi="Symbol"/>
    </w:rPr>
  </w:style>
  <w:style w:type="character" w:styleId="WW-WW8Num2z0111111111">
    <w:name w:val="WW-WW8Num2z0111111111"/>
    <w:qFormat/>
    <w:rPr>
      <w:rFonts w:ascii="Symbol" w:hAnsi="Symbol"/>
    </w:rPr>
  </w:style>
  <w:style w:type="character" w:styleId="WW-WW8Num1z0111111111">
    <w:name w:val="WW-WW8Num1z0111111111"/>
    <w:qFormat/>
    <w:rPr>
      <w:rFonts w:ascii="Symbol" w:hAnsi="Symbol"/>
    </w:rPr>
  </w:style>
  <w:style w:type="character" w:styleId="WW-Absatz-Standardschriftart111111111">
    <w:name w:val="WW-Absatz-Standardschriftart111111111"/>
    <w:qFormat/>
    <w:rPr/>
  </w:style>
  <w:style w:type="character" w:styleId="WW-WW8Num5z011111111">
    <w:name w:val="WW-WW8Num5z011111111"/>
    <w:qFormat/>
    <w:rPr>
      <w:rFonts w:ascii="Symbol" w:hAnsi="Symbol"/>
    </w:rPr>
  </w:style>
  <w:style w:type="character" w:styleId="WW-WW8Num4z011111111">
    <w:name w:val="WW-WW8Num4z011111111"/>
    <w:qFormat/>
    <w:rPr>
      <w:rFonts w:ascii="Symbol" w:hAnsi="Symbol"/>
    </w:rPr>
  </w:style>
  <w:style w:type="character" w:styleId="WW-WW8Num3z011111111">
    <w:name w:val="WW-WW8Num3z011111111"/>
    <w:qFormat/>
    <w:rPr>
      <w:rFonts w:ascii="Symbol" w:hAnsi="Symbol"/>
    </w:rPr>
  </w:style>
  <w:style w:type="character" w:styleId="WW-WW8Num2z011111111">
    <w:name w:val="WW-WW8Num2z011111111"/>
    <w:qFormat/>
    <w:rPr>
      <w:rFonts w:ascii="Symbol" w:hAnsi="Symbol"/>
    </w:rPr>
  </w:style>
  <w:style w:type="character" w:styleId="WW-WW8Num1z011111111">
    <w:name w:val="WW-WW8Num1z011111111"/>
    <w:qFormat/>
    <w:rPr>
      <w:rFonts w:ascii="Symbol" w:hAnsi="Symbol"/>
    </w:rPr>
  </w:style>
  <w:style w:type="character" w:styleId="WW-Absatz-Standardschriftart11111111">
    <w:name w:val="WW-Absatz-Standardschriftart11111111"/>
    <w:qFormat/>
    <w:rPr/>
  </w:style>
  <w:style w:type="character" w:styleId="WW-WW8Num5z01111111">
    <w:name w:val="WW-WW8Num5z01111111"/>
    <w:qFormat/>
    <w:rPr>
      <w:rFonts w:ascii="Symbol" w:hAnsi="Symbol"/>
    </w:rPr>
  </w:style>
  <w:style w:type="character" w:styleId="WW-WW8Num4z01111111">
    <w:name w:val="WW-WW8Num4z01111111"/>
    <w:qFormat/>
    <w:rPr>
      <w:rFonts w:ascii="Symbol" w:hAnsi="Symbol"/>
    </w:rPr>
  </w:style>
  <w:style w:type="character" w:styleId="WW-WW8Num3z01111111">
    <w:name w:val="WW-WW8Num3z01111111"/>
    <w:qFormat/>
    <w:rPr>
      <w:rFonts w:ascii="Symbol" w:hAnsi="Symbol"/>
    </w:rPr>
  </w:style>
  <w:style w:type="character" w:styleId="WW-WW8Num2z01111111">
    <w:name w:val="WW-WW8Num2z01111111"/>
    <w:qFormat/>
    <w:rPr>
      <w:rFonts w:ascii="Symbol" w:hAnsi="Symbol"/>
    </w:rPr>
  </w:style>
  <w:style w:type="character" w:styleId="WW-WW8Num1z01111111">
    <w:name w:val="WW-WW8Num1z01111111"/>
    <w:qFormat/>
    <w:rPr>
      <w:rFonts w:ascii="Symbol" w:hAnsi="Symbol"/>
    </w:rPr>
  </w:style>
  <w:style w:type="character" w:styleId="WW-Absatz-Standardschriftart1111111">
    <w:name w:val="WW-Absatz-Standardschriftart1111111"/>
    <w:qFormat/>
    <w:rPr/>
  </w:style>
  <w:style w:type="character" w:styleId="WW-WW8Num5z0111111">
    <w:name w:val="WW-WW8Num5z0111111"/>
    <w:qFormat/>
    <w:rPr>
      <w:rFonts w:ascii="Symbol" w:hAnsi="Symbol"/>
    </w:rPr>
  </w:style>
  <w:style w:type="character" w:styleId="WW-WW8Num4z0111111">
    <w:name w:val="WW-WW8Num4z0111111"/>
    <w:qFormat/>
    <w:rPr>
      <w:rFonts w:ascii="Symbol" w:hAnsi="Symbol"/>
    </w:rPr>
  </w:style>
  <w:style w:type="character" w:styleId="WW-WW8Num3z0111111">
    <w:name w:val="WW-WW8Num3z0111111"/>
    <w:qFormat/>
    <w:rPr>
      <w:rFonts w:ascii="Symbol" w:hAnsi="Symbol"/>
    </w:rPr>
  </w:style>
  <w:style w:type="character" w:styleId="WW-WW8Num2z0111111">
    <w:name w:val="WW-WW8Num2z0111111"/>
    <w:qFormat/>
    <w:rPr>
      <w:rFonts w:ascii="Symbol" w:hAnsi="Symbol"/>
    </w:rPr>
  </w:style>
  <w:style w:type="character" w:styleId="WW-WW8Num1z0111111">
    <w:name w:val="WW-WW8Num1z0111111"/>
    <w:qFormat/>
    <w:rPr>
      <w:rFonts w:ascii="Symbol" w:hAnsi="Symbol"/>
    </w:rPr>
  </w:style>
  <w:style w:type="character" w:styleId="WW-Absatz-Standardschriftart111111">
    <w:name w:val="WW-Absatz-Standardschriftart111111"/>
    <w:qFormat/>
    <w:rPr/>
  </w:style>
  <w:style w:type="character" w:styleId="WW-WW8Num5z011111">
    <w:name w:val="WW-WW8Num5z011111"/>
    <w:qFormat/>
    <w:rPr>
      <w:rFonts w:ascii="Symbol" w:hAnsi="Symbol"/>
    </w:rPr>
  </w:style>
  <w:style w:type="character" w:styleId="WW-WW8Num4z011111">
    <w:name w:val="WW-WW8Num4z011111"/>
    <w:qFormat/>
    <w:rPr>
      <w:rFonts w:ascii="Symbol" w:hAnsi="Symbol"/>
    </w:rPr>
  </w:style>
  <w:style w:type="character" w:styleId="WW-WW8Num3z011111">
    <w:name w:val="WW-WW8Num3z011111"/>
    <w:qFormat/>
    <w:rPr>
      <w:rFonts w:ascii="Symbol" w:hAnsi="Symbol"/>
    </w:rPr>
  </w:style>
  <w:style w:type="character" w:styleId="WW-WW8Num2z011111">
    <w:name w:val="WW-WW8Num2z011111"/>
    <w:qFormat/>
    <w:rPr>
      <w:rFonts w:ascii="Symbol" w:hAnsi="Symbol"/>
    </w:rPr>
  </w:style>
  <w:style w:type="character" w:styleId="WW-WW8Num1z011111">
    <w:name w:val="WW-WW8Num1z011111"/>
    <w:qFormat/>
    <w:rPr>
      <w:rFonts w:ascii="Symbol" w:hAnsi="Symbol"/>
    </w:rPr>
  </w:style>
  <w:style w:type="character" w:styleId="WW-Absatz-Standardschriftart11111">
    <w:name w:val="WW-Absatz-Standardschriftart11111"/>
    <w:qFormat/>
    <w:rPr/>
  </w:style>
  <w:style w:type="character" w:styleId="WW-WW8Num5z01111">
    <w:name w:val="WW-WW8Num5z01111"/>
    <w:qFormat/>
    <w:rPr>
      <w:rFonts w:ascii="Symbol" w:hAnsi="Symbol"/>
    </w:rPr>
  </w:style>
  <w:style w:type="character" w:styleId="WW-WW8Num4z01111">
    <w:name w:val="WW-WW8Num4z01111"/>
    <w:qFormat/>
    <w:rPr>
      <w:rFonts w:ascii="Symbol" w:hAnsi="Symbol"/>
    </w:rPr>
  </w:style>
  <w:style w:type="character" w:styleId="WW-WW8Num3z01111">
    <w:name w:val="WW-WW8Num3z01111"/>
    <w:qFormat/>
    <w:rPr>
      <w:rFonts w:ascii="Symbol" w:hAnsi="Symbol"/>
    </w:rPr>
  </w:style>
  <w:style w:type="character" w:styleId="WW-WW8Num2z01111">
    <w:name w:val="WW-WW8Num2z01111"/>
    <w:qFormat/>
    <w:rPr>
      <w:rFonts w:ascii="Symbol" w:hAnsi="Symbol"/>
    </w:rPr>
  </w:style>
  <w:style w:type="character" w:styleId="WW-WW8Num1z01111">
    <w:name w:val="WW-WW8Num1z01111"/>
    <w:qFormat/>
    <w:rPr>
      <w:rFonts w:ascii="Symbol" w:hAnsi="Symbol"/>
    </w:rPr>
  </w:style>
  <w:style w:type="character" w:styleId="WW-Absatz-Standardschriftart1111">
    <w:name w:val="WW-Absatz-Standardschriftart1111"/>
    <w:qFormat/>
    <w:rPr/>
  </w:style>
  <w:style w:type="character" w:styleId="WW-WW8Num5z0111">
    <w:name w:val="WW-WW8Num5z0111"/>
    <w:qFormat/>
    <w:rPr>
      <w:rFonts w:ascii="Symbol" w:hAnsi="Symbol"/>
    </w:rPr>
  </w:style>
  <w:style w:type="character" w:styleId="WW-WW8Num4z0111">
    <w:name w:val="WW-WW8Num4z0111"/>
    <w:qFormat/>
    <w:rPr>
      <w:rFonts w:ascii="Symbol" w:hAnsi="Symbol"/>
    </w:rPr>
  </w:style>
  <w:style w:type="character" w:styleId="WW-WW8Num3z0111">
    <w:name w:val="WW-WW8Num3z0111"/>
    <w:qFormat/>
    <w:rPr>
      <w:rFonts w:ascii="Symbol" w:hAnsi="Symbol"/>
    </w:rPr>
  </w:style>
  <w:style w:type="character" w:styleId="WW-WW8Num2z0111">
    <w:name w:val="WW-WW8Num2z0111"/>
    <w:qFormat/>
    <w:rPr>
      <w:rFonts w:ascii="Symbol" w:hAnsi="Symbol"/>
    </w:rPr>
  </w:style>
  <w:style w:type="character" w:styleId="WW-WW8Num1z0111">
    <w:name w:val="WW-WW8Num1z0111"/>
    <w:qFormat/>
    <w:rPr>
      <w:rFonts w:ascii="Symbol" w:hAnsi="Symbol"/>
    </w:rPr>
  </w:style>
  <w:style w:type="character" w:styleId="WW-Absatz-Standardschriftart111">
    <w:name w:val="WW-Absatz-Standardschriftart111"/>
    <w:qFormat/>
    <w:rPr/>
  </w:style>
  <w:style w:type="character" w:styleId="WW-WW8Num5z011">
    <w:name w:val="WW-WW8Num5z011"/>
    <w:qFormat/>
    <w:rPr>
      <w:rFonts w:ascii="Symbol" w:hAnsi="Symbol"/>
    </w:rPr>
  </w:style>
  <w:style w:type="character" w:styleId="WW-WW8Num4z011">
    <w:name w:val="WW-WW8Num4z011"/>
    <w:qFormat/>
    <w:rPr>
      <w:rFonts w:ascii="Symbol" w:hAnsi="Symbol"/>
    </w:rPr>
  </w:style>
  <w:style w:type="character" w:styleId="WW-WW8Num3z011">
    <w:name w:val="WW-WW8Num3z011"/>
    <w:qFormat/>
    <w:rPr>
      <w:rFonts w:ascii="Symbol" w:hAnsi="Symbol"/>
    </w:rPr>
  </w:style>
  <w:style w:type="character" w:styleId="WW-WW8Num2z011">
    <w:name w:val="WW-WW8Num2z011"/>
    <w:qFormat/>
    <w:rPr>
      <w:rFonts w:ascii="Symbol" w:hAnsi="Symbol"/>
    </w:rPr>
  </w:style>
  <w:style w:type="character" w:styleId="WW-WW8Num1z011">
    <w:name w:val="WW-WW8Num1z011"/>
    <w:qFormat/>
    <w:rPr>
      <w:rFonts w:ascii="Symbol" w:hAnsi="Symbol"/>
    </w:rPr>
  </w:style>
  <w:style w:type="character" w:styleId="WW-Absatz-Standardschriftart11">
    <w:name w:val="WW-Absatz-Standardschriftart11"/>
    <w:qFormat/>
    <w:rPr/>
  </w:style>
  <w:style w:type="character" w:styleId="WW-WW8Num5z01">
    <w:name w:val="WW-WW8Num5z01"/>
    <w:qFormat/>
    <w:rPr>
      <w:rFonts w:ascii="Symbol" w:hAnsi="Symbol"/>
    </w:rPr>
  </w:style>
  <w:style w:type="character" w:styleId="WW-WW8Num4z01">
    <w:name w:val="WW-WW8Num4z01"/>
    <w:qFormat/>
    <w:rPr>
      <w:rFonts w:ascii="Symbol" w:hAnsi="Symbol"/>
    </w:rPr>
  </w:style>
  <w:style w:type="character" w:styleId="WW-WW8Num3z01">
    <w:name w:val="WW-WW8Num3z01"/>
    <w:qFormat/>
    <w:rPr>
      <w:rFonts w:ascii="Symbol" w:hAnsi="Symbol"/>
    </w:rPr>
  </w:style>
  <w:style w:type="character" w:styleId="WW-WW8Num2z01">
    <w:name w:val="WW-WW8Num2z01"/>
    <w:qFormat/>
    <w:rPr>
      <w:rFonts w:ascii="Symbol" w:hAnsi="Symbol"/>
    </w:rPr>
  </w:style>
  <w:style w:type="character" w:styleId="WW-WW8Num1z01">
    <w:name w:val="WW-WW8Num1z01"/>
    <w:qFormat/>
    <w:rPr>
      <w:rFonts w:ascii="Symbol" w:hAnsi="Symbol"/>
    </w:rPr>
  </w:style>
  <w:style w:type="character" w:styleId="WW-Absatz-Standardschriftart1">
    <w:name w:val="WW-Absatz-Standardschriftart1"/>
    <w:qFormat/>
    <w:rPr/>
  </w:style>
  <w:style w:type="character" w:styleId="WW-WW8Num5z0">
    <w:name w:val="WW-WW8Num5z0"/>
    <w:qFormat/>
    <w:rPr>
      <w:rFonts w:ascii="Symbol" w:hAnsi="Symbol"/>
    </w:rPr>
  </w:style>
  <w:style w:type="character" w:styleId="WW-WW8Num4z0">
    <w:name w:val="WW-WW8Num4z0"/>
    <w:qFormat/>
    <w:rPr>
      <w:rFonts w:ascii="Symbol" w:hAnsi="Symbol"/>
    </w:rPr>
  </w:style>
  <w:style w:type="character" w:styleId="WW-WW8Num3z0">
    <w:name w:val="WW-WW8Num3z0"/>
    <w:qFormat/>
    <w:rPr>
      <w:rFonts w:ascii="Symbol" w:hAnsi="Symbol"/>
    </w:rPr>
  </w:style>
  <w:style w:type="character" w:styleId="WW-WW8Num2z0">
    <w:name w:val="WW-WW8Num2z0"/>
    <w:qFormat/>
    <w:rPr>
      <w:rFonts w:ascii="Symbol" w:hAnsi="Symbol"/>
    </w:rPr>
  </w:style>
  <w:style w:type="character" w:styleId="WW-WW8Num1z0">
    <w:name w:val="WW-WW8Num1z0"/>
    <w:qFormat/>
    <w:rPr>
      <w:rFonts w:ascii="Symbol" w:hAnsi="Symbol"/>
    </w:rPr>
  </w:style>
  <w:style w:type="character" w:styleId="WW-Absatz-Standardschriftart">
    <w:name w:val="WW-Absatz-Standardschriftart"/>
    <w:qFormat/>
    <w:rPr/>
  </w:style>
  <w:style w:type="character" w:styleId="WW8Num5z0">
    <w:name w:val="WW8Num5z0"/>
    <w:qFormat/>
    <w:rPr>
      <w:rFonts w:ascii="Symbol" w:hAnsi="Symbol"/>
    </w:rPr>
  </w:style>
  <w:style w:type="character" w:styleId="WW8Num4z0">
    <w:name w:val="WW8Num4z0"/>
    <w:qFormat/>
    <w:rPr>
      <w:rFonts w:ascii="Symbol" w:hAnsi="Symbol"/>
    </w:rPr>
  </w:style>
  <w:style w:type="character" w:styleId="WW8Num3z0">
    <w:name w:val="WW8Num3z0"/>
    <w:qFormat/>
    <w:rPr>
      <w:rFonts w:ascii="Symbol" w:hAnsi="Symbol"/>
    </w:rPr>
  </w:style>
  <w:style w:type="character" w:styleId="WW8Num2z0">
    <w:name w:val="WW8Num2z0"/>
    <w:qFormat/>
    <w:rPr>
      <w:rFonts w:ascii="Symbol" w:hAnsi="Symbol"/>
    </w:rPr>
  </w:style>
  <w:style w:type="character" w:styleId="WW8Num1z0">
    <w:name w:val="WW8Num1z0"/>
    <w:qFormat/>
    <w:rPr>
      <w:rFonts w:ascii="Symbol" w:hAnsi="Symbol"/>
    </w:rPr>
  </w:style>
  <w:style w:type="character" w:styleId="Heading9Char">
    <w:name w:val="Heading 9 Char"/>
    <w:qFormat/>
    <w:rPr>
      <w:rFonts w:ascii="Albany" w:hAnsi="Albany" w:eastAsia="Andale Sans UI" w:cs="Tahoma"/>
      <w:b/>
      <w:bCs/>
      <w:color w:val="000000"/>
      <w:sz w:val="21"/>
      <w:szCs w:val="21"/>
    </w:rPr>
  </w:style>
  <w:style w:type="character" w:styleId="Heading8Char">
    <w:name w:val="Heading 8 Char"/>
    <w:qFormat/>
    <w:rPr>
      <w:rFonts w:ascii="Albany" w:hAnsi="Albany" w:eastAsia="Andale Sans UI" w:cs="Tahoma"/>
      <w:b/>
      <w:bCs/>
      <w:color w:val="000000"/>
      <w:sz w:val="21"/>
      <w:szCs w:val="21"/>
    </w:rPr>
  </w:style>
  <w:style w:type="character" w:styleId="Heading7Char">
    <w:name w:val="Heading 7 Char"/>
    <w:qFormat/>
    <w:rPr>
      <w:rFonts w:ascii="Albany" w:hAnsi="Albany" w:eastAsia="Andale Sans UI" w:cs="Tahoma"/>
      <w:b/>
      <w:bCs/>
      <w:color w:val="000000"/>
      <w:sz w:val="21"/>
      <w:szCs w:val="21"/>
    </w:rPr>
  </w:style>
  <w:style w:type="character" w:styleId="Heading6Char">
    <w:name w:val="Heading 6 Char"/>
    <w:qFormat/>
    <w:rPr>
      <w:rFonts w:ascii="Albany" w:hAnsi="Albany" w:eastAsia="Andale Sans UI" w:cs="Tahoma"/>
      <w:b/>
      <w:bCs/>
      <w:color w:val="000000"/>
      <w:sz w:val="21"/>
      <w:szCs w:val="21"/>
    </w:rPr>
  </w:style>
  <w:style w:type="character" w:styleId="Heading5Char">
    <w:name w:val="Heading 5 Char"/>
    <w:qFormat/>
    <w:rPr>
      <w:rFonts w:ascii="Albany" w:hAnsi="Albany" w:eastAsia="Andale Sans UI" w:cs="Tahoma"/>
      <w:b/>
      <w:bCs/>
      <w:color w:val="000000"/>
      <w:sz w:val="24"/>
      <w:szCs w:val="24"/>
    </w:rPr>
  </w:style>
  <w:style w:type="character" w:styleId="Heading4Char">
    <w:name w:val="Heading 4 Char"/>
    <w:qFormat/>
    <w:rPr>
      <w:rFonts w:ascii="Times New Roman Bold" w:hAnsi="Times New Roman Bold" w:eastAsia="Andale Sans UI" w:cs="Tahoma"/>
      <w:b/>
      <w:bCs/>
      <w:iCs/>
      <w:color w:val="000000"/>
      <w:szCs w:val="24"/>
    </w:rPr>
  </w:style>
  <w:style w:type="character" w:styleId="BodyTextChar">
    <w:name w:val="Body Text Char"/>
    <w:qFormat/>
    <w:rPr>
      <w:b/>
      <w:color w:val="000000"/>
    </w:rPr>
  </w:style>
  <w:style w:type="character" w:styleId="Heading3Char">
    <w:name w:val="Heading 3 Char"/>
    <w:qFormat/>
    <w:rPr>
      <w:rFonts w:ascii="Times New Roman Bold" w:hAnsi="Times New Roman Bold"/>
      <w:b/>
      <w:i/>
      <w:color w:val="000000"/>
    </w:rPr>
  </w:style>
  <w:style w:type="character" w:styleId="Heading2Char">
    <w:name w:val="Heading 2 Char"/>
    <w:qFormat/>
    <w:rPr>
      <w:rFonts w:ascii="Times New Roman Bold" w:hAnsi="Times New Roman Bold"/>
      <w:b/>
      <w:smallCaps/>
      <w:color w:val="000000"/>
    </w:rPr>
  </w:style>
  <w:style w:type="character" w:styleId="Heading1Char">
    <w:name w:val="Heading 1 Char"/>
    <w:qFormat/>
    <w:rPr>
      <w:rFonts w:ascii="Times New Roman Bold" w:hAnsi="Times New Roman Bold"/>
      <w:b/>
      <w:caps/>
      <w:color w:val="000000"/>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qFormat/>
    <w:pPr>
      <w:ind w:start="720" w:hanging="0"/>
    </w:pPr>
    <w:rPr>
      <w:lang w:eastAsia="ar-SA"/>
    </w:rPr>
  </w:style>
  <w:style w:type="paragraph" w:styleId="Default">
    <w:name w:val="Default"/>
    <w:qFormat/>
    <w:pPr>
      <w:widowControl/>
      <w:suppressAutoHyphens w:val="true"/>
      <w:bidi w:val="0"/>
      <w:spacing w:lineRule="auto" w:line="240" w:before="0" w:after="0"/>
      <w:jc w:val="start"/>
    </w:pPr>
    <w:rPr>
      <w:rFonts w:ascii="Arial" w:hAnsi="Arial" w:eastAsia="Times New Roman" w:cs="Arial"/>
      <w:color w:val="000000"/>
      <w:kern w:val="2"/>
      <w:sz w:val="24"/>
      <w:szCs w:val="24"/>
      <w:lang w:val="en-GB" w:eastAsia="en-IE" w:bidi="hi-IN"/>
    </w:rPr>
  </w:style>
  <w:style w:type="paragraph" w:styleId="NoSpacing">
    <w:name w:val="No Spacing"/>
    <w:qFormat/>
    <w:pPr>
      <w:widowControl/>
      <w:suppressAutoHyphens w:val="true"/>
      <w:bidi w:val="0"/>
      <w:spacing w:lineRule="auto" w:line="240" w:before="0" w:after="0"/>
      <w:jc w:val="start"/>
    </w:pPr>
    <w:rPr>
      <w:rFonts w:ascii="Liberation Serif" w:hAnsi="Liberation Serif" w:eastAsia="Songti SC" w:cs="Arial Unicode MS"/>
      <w:color w:val="auto"/>
      <w:kern w:val="2"/>
      <w:sz w:val="24"/>
      <w:szCs w:val="24"/>
      <w:lang w:val="en-GB" w:eastAsia="zh-CN" w:bidi="hi-IN"/>
    </w:rPr>
  </w:style>
  <w:style w:type="paragraph" w:styleId="WW-Heading">
    <w:name w:val="WW-Heading"/>
    <w:basedOn w:val="Normal"/>
    <w:next w:val="TextBody"/>
    <w:qFormat/>
    <w:pPr>
      <w:keepNext w:val="true"/>
      <w:spacing w:before="240" w:after="120"/>
    </w:pPr>
    <w:rPr>
      <w:rFonts w:ascii="Albany" w:hAnsi="Albany" w:eastAsia="Andale Sans UI" w:cs="Tahoma"/>
      <w:szCs w:val="28"/>
    </w:rPr>
  </w:style>
  <w:style w:type="paragraph" w:styleId="TableParagraph">
    <w:name w:val="Table Paragraph"/>
    <w:basedOn w:val="Normal"/>
    <w:qFormat/>
    <w:pPr>
      <w:widowControl w:val="false"/>
      <w:suppressAutoHyphens w:val="false"/>
      <w:spacing w:before="36" w:after="0"/>
      <w:ind w:start="38" w:hanging="0"/>
      <w:jc w:val="start"/>
    </w:pPr>
    <w:rPr>
      <w:rFonts w:ascii="Arial MT" w:hAnsi="Arial MT" w:eastAsia="Arial MT" w:cs="Arial MT"/>
      <w:sz w:val="22"/>
      <w:szCs w:val="22"/>
      <w:lang w:val="en-US" w:eastAsia="en-US"/>
    </w:rPr>
  </w:style>
  <w:style w:type="paragraph" w:styleId="Xxxxmsonormal">
    <w:name w:val="x_xxxmsonormal"/>
    <w:basedOn w:val="Normal"/>
    <w:qFormat/>
    <w:pPr>
      <w:suppressAutoHyphens w:val="false"/>
      <w:spacing w:beforeAutospacing="1" w:afterAutospacing="1"/>
      <w:jc w:val="start"/>
    </w:pPr>
    <w:rPr>
      <w:sz w:val="24"/>
      <w:szCs w:val="24"/>
      <w:lang w:val="en-IE"/>
    </w:rPr>
  </w:style>
  <w:style w:type="paragraph" w:styleId="Xl24">
    <w:name w:val="xl24"/>
    <w:basedOn w:val="Normal"/>
    <w:qFormat/>
    <w:pPr>
      <w:suppressAutoHyphens w:val="false"/>
      <w:spacing w:beforeAutospacing="1" w:afterAutospacing="1"/>
      <w:jc w:val="start"/>
    </w:pPr>
    <w:rPr>
      <w:rFonts w:ascii="Arial" w:hAnsi="Arial" w:cs="Arial"/>
      <w:b/>
      <w:bCs/>
      <w:sz w:val="24"/>
      <w:szCs w:val="24"/>
      <w:lang w:eastAsia="en-US"/>
    </w:rPr>
  </w:style>
  <w:style w:type="paragraph" w:styleId="Kate">
    <w:name w:val="Kate"/>
    <w:qFormat/>
    <w:pPr>
      <w:widowControl/>
      <w:tabs>
        <w:tab w:val="clear" w:pos="709"/>
        <w:tab w:val="center" w:pos="4153" w:leader="none"/>
        <w:tab w:val="right" w:pos="8306" w:leader="none"/>
      </w:tabs>
      <w:suppressAutoHyphens w:val="false"/>
      <w:bidi w:val="0"/>
      <w:spacing w:before="0" w:after="0"/>
      <w:jc w:val="start"/>
      <w:textAlignment w:val="baseline"/>
    </w:pPr>
    <w:rPr>
      <w:rFonts w:ascii="Liberation Serif" w:hAnsi="Liberation Serif" w:eastAsia="SimSun" w:cs="Arial Unicode MS"/>
      <w:color w:val="auto"/>
      <w:kern w:val="2"/>
      <w:sz w:val="24"/>
      <w:szCs w:val="24"/>
      <w:lang w:val="en-IE" w:eastAsia="en-GB" w:bidi="hi-IN"/>
    </w:rPr>
  </w:style>
  <w:style w:type="paragraph" w:styleId="Pa1">
    <w:name w:val="Pa1"/>
    <w:qFormat/>
    <w:pPr>
      <w:widowControl/>
      <w:suppressAutoHyphens w:val="true"/>
      <w:bidi w:val="0"/>
      <w:spacing w:lineRule="atLeast" w:line="240" w:before="0" w:after="0"/>
      <w:jc w:val="start"/>
    </w:pPr>
    <w:rPr>
      <w:rFonts w:ascii="Times" w:hAnsi="Times" w:eastAsia="Songti SC" w:cs="Arial Unicode MS"/>
      <w:color w:val="auto"/>
      <w:kern w:val="2"/>
      <w:sz w:val="24"/>
      <w:szCs w:val="24"/>
      <w:lang w:val="en-GB" w:eastAsia="en-GB" w:bidi="hi-IN"/>
    </w:rPr>
  </w:style>
  <w:style w:type="paragraph" w:styleId="Pa0">
    <w:name w:val="Pa0"/>
    <w:qFormat/>
    <w:pPr>
      <w:widowControl/>
      <w:suppressAutoHyphens w:val="true"/>
      <w:bidi w:val="0"/>
      <w:spacing w:lineRule="atLeast" w:line="240" w:before="0" w:after="0"/>
      <w:jc w:val="start"/>
    </w:pPr>
    <w:rPr>
      <w:rFonts w:ascii="Times" w:hAnsi="Times" w:eastAsia="Songti SC" w:cs="Arial Unicode MS"/>
      <w:color w:val="auto"/>
      <w:kern w:val="2"/>
      <w:sz w:val="24"/>
      <w:szCs w:val="24"/>
      <w:lang w:val="en-GB" w:eastAsia="en-GB" w:bidi="hi-IN"/>
    </w:rPr>
  </w:style>
  <w:style w:type="paragraph" w:styleId="Xl63">
    <w:name w:val="xl63"/>
    <w:basedOn w:val="Normal"/>
    <w:qFormat/>
    <w:pPr>
      <w:suppressAutoHyphens w:val="false"/>
      <w:spacing w:beforeAutospacing="1" w:afterAutospacing="1"/>
      <w:jc w:val="center"/>
      <w:textAlignment w:val="center"/>
    </w:pPr>
    <w:rPr>
      <w:rFonts w:ascii="Times" w:hAnsi="Times"/>
      <w:b/>
      <w:bCs/>
      <w:sz w:val="24"/>
      <w:szCs w:val="24"/>
      <w:u w:val="single"/>
      <w:lang w:val="en-IE"/>
    </w:rPr>
  </w:style>
  <w:style w:type="paragraph" w:styleId="Sinead">
    <w:name w:val="Sinead"/>
    <w:basedOn w:val="Normal"/>
    <w:qFormat/>
    <w:pPr>
      <w:suppressAutoHyphens w:val="false"/>
      <w:spacing w:before="0" w:after="0"/>
      <w:jc w:val="center"/>
    </w:pPr>
    <w:rPr>
      <w:b/>
      <w:szCs w:val="28"/>
      <w:lang w:eastAsia="en-GB"/>
    </w:rPr>
  </w:style>
  <w:style w:type="paragraph" w:styleId="BodyTextIndent3">
    <w:name w:val="Body Text Indent 3"/>
    <w:basedOn w:val="Normal"/>
    <w:qFormat/>
    <w:pPr>
      <w:suppressAutoHyphens w:val="false"/>
      <w:spacing w:before="0" w:after="120"/>
      <w:ind w:start="283" w:hanging="0"/>
      <w:jc w:val="start"/>
    </w:pPr>
    <w:rPr>
      <w:sz w:val="16"/>
      <w:szCs w:val="16"/>
      <w:lang w:eastAsia="ar-SA"/>
    </w:rPr>
  </w:style>
  <w:style w:type="paragraph" w:styleId="Normal11pt">
    <w:name w:val="Normal + 11 pt"/>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val="en-GB" w:eastAsia="en-GB" w:bidi="hi-IN"/>
    </w:rPr>
  </w:style>
  <w:style w:type="paragraph" w:styleId="Normal11">
    <w:name w:val="Normal + 11"/>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val="en-GB" w:eastAsia="en-GB"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jc w:val="start"/>
    </w:pPr>
    <w:rPr>
      <w:rFonts w:ascii="Courier New" w:hAnsi="Courier New"/>
      <w:sz w:val="20"/>
      <w:lang w:eastAsia="en-GB"/>
    </w:rPr>
  </w:style>
  <w:style w:type="paragraph" w:styleId="NormalWeb">
    <w:name w:val="Normal (Web)"/>
    <w:basedOn w:val="Normal"/>
    <w:qFormat/>
    <w:pPr>
      <w:suppressAutoHyphens w:val="false"/>
      <w:spacing w:beforeAutospacing="1" w:after="119"/>
      <w:jc w:val="start"/>
    </w:pPr>
    <w:rPr>
      <w:sz w:val="24"/>
      <w:szCs w:val="24"/>
      <w:lang w:eastAsia="en-GB"/>
    </w:rPr>
  </w:style>
  <w:style w:type="paragraph" w:styleId="WW-NormalWeb">
    <w:name w:val="WW-Normal (Web)"/>
    <w:basedOn w:val="Normal"/>
    <w:qFormat/>
    <w:pPr>
      <w:suppressAutoHyphens w:val="false"/>
      <w:spacing w:before="280" w:after="119"/>
      <w:jc w:val="start"/>
    </w:pPr>
    <w:rPr>
      <w:sz w:val="24"/>
      <w:szCs w:val="24"/>
      <w:lang w:val="en-IE" w:eastAsia="ar-SA"/>
    </w:rPr>
  </w:style>
  <w:style w:type="paragraph" w:styleId="ListBullet">
    <w:name w:val="List Bullet"/>
    <w:basedOn w:val="Normal"/>
    <w:qFormat/>
    <w:pPr>
      <w:spacing w:before="0" w:after="0"/>
      <w:contextualSpacing/>
    </w:pPr>
    <w:rPr/>
  </w:style>
  <w:style w:type="paragraph" w:styleId="Xl85">
    <w:name w:val="xl85"/>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4">
    <w:name w:val="xl84"/>
    <w:basedOn w:val="Normal"/>
    <w:qFormat/>
    <w:pPr>
      <w:pBdr>
        <w:left w:val="single" w:sz="8" w:space="14" w:color="000000"/>
        <w:bottom w:val="single" w:sz="8" w:space="0" w:color="000000"/>
        <w:right w:val="single" w:sz="8" w:space="0" w:color="000000"/>
      </w:pBdr>
      <w:suppressAutoHyphens w:val="false"/>
      <w:spacing w:beforeAutospacing="1" w:afterAutospacing="1"/>
      <w:ind w:firstLine="200"/>
      <w:textAlignment w:val="top"/>
    </w:pPr>
    <w:rPr>
      <w:rFonts w:ascii="Symbol" w:hAnsi="Symbol"/>
      <w:sz w:val="18"/>
      <w:szCs w:val="18"/>
      <w:lang w:val="en-IE"/>
    </w:rPr>
  </w:style>
  <w:style w:type="paragraph" w:styleId="Xl83">
    <w:name w:val="xl83"/>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82">
    <w:name w:val="xl82"/>
    <w:basedOn w:val="Normal"/>
    <w:qFormat/>
    <w:pPr>
      <w:pBdr>
        <w:left w:val="single" w:sz="8" w:space="0" w:color="000000"/>
        <w:bottom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1">
    <w:name w:val="xl81"/>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80">
    <w:name w:val="xl80"/>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b/>
      <w:bCs/>
      <w:lang w:val="en-IE"/>
    </w:rPr>
  </w:style>
  <w:style w:type="paragraph" w:styleId="Xl79">
    <w:name w:val="xl79"/>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lang w:val="en-IE"/>
    </w:rPr>
  </w:style>
  <w:style w:type="paragraph" w:styleId="Xl78">
    <w:name w:val="xl78"/>
    <w:basedOn w:val="Normal"/>
    <w:qFormat/>
    <w:pPr>
      <w:pBdr>
        <w:left w:val="single" w:sz="8" w:space="0" w:color="000000"/>
        <w:bottom w:val="single" w:sz="8" w:space="0" w:color="000000"/>
      </w:pBdr>
      <w:suppressAutoHyphens w:val="false"/>
      <w:spacing w:beforeAutospacing="1" w:afterAutospacing="1"/>
      <w:textAlignment w:val="top"/>
    </w:pPr>
    <w:rPr>
      <w:sz w:val="18"/>
      <w:szCs w:val="18"/>
      <w:lang w:val="en-IE"/>
    </w:rPr>
  </w:style>
  <w:style w:type="paragraph" w:styleId="Xl77">
    <w:name w:val="xl77"/>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i/>
      <w:iCs/>
      <w:lang w:val="en-IE"/>
    </w:rPr>
  </w:style>
  <w:style w:type="paragraph" w:styleId="Xl76">
    <w:name w:val="xl76"/>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75">
    <w:name w:val="xl75"/>
    <w:basedOn w:val="Normal"/>
    <w:qFormat/>
    <w:pPr>
      <w:pBdr>
        <w:left w:val="single" w:sz="8" w:space="0" w:color="000000"/>
        <w:bottom w:val="single" w:sz="8" w:space="0" w:color="000000"/>
      </w:pBdr>
      <w:suppressAutoHyphens w:val="false"/>
      <w:spacing w:beforeAutospacing="1" w:afterAutospacing="1"/>
      <w:jc w:val="center"/>
      <w:textAlignment w:val="top"/>
    </w:pPr>
    <w:rPr>
      <w:color w:val="0000FF"/>
      <w:sz w:val="24"/>
      <w:szCs w:val="24"/>
      <w:u w:val="single"/>
      <w:lang w:val="en-IE"/>
    </w:rPr>
  </w:style>
  <w:style w:type="paragraph" w:styleId="Xl74">
    <w:name w:val="xl74"/>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73">
    <w:name w:val="xl73"/>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lang w:val="en-IE"/>
    </w:rPr>
  </w:style>
  <w:style w:type="paragraph" w:styleId="Xl72">
    <w:name w:val="xl72"/>
    <w:basedOn w:val="Normal"/>
    <w:qFormat/>
    <w:pPr>
      <w:pBdr>
        <w:left w:val="single" w:sz="8" w:space="0" w:color="000000"/>
        <w:right w:val="single" w:sz="8" w:space="0" w:color="000000"/>
      </w:pBdr>
      <w:suppressAutoHyphens w:val="false"/>
      <w:spacing w:beforeAutospacing="1" w:afterAutospacing="1"/>
      <w:textAlignment w:val="top"/>
    </w:pPr>
    <w:rPr>
      <w:lang w:val="en-IE"/>
    </w:rPr>
  </w:style>
  <w:style w:type="paragraph" w:styleId="Xl71">
    <w:name w:val="xl71"/>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lang w:val="en-IE"/>
    </w:rPr>
  </w:style>
  <w:style w:type="paragraph" w:styleId="Xl70">
    <w:name w:val="xl70"/>
    <w:basedOn w:val="Normal"/>
    <w:qFormat/>
    <w:pPr>
      <w:pBdr>
        <w:left w:val="single" w:sz="8" w:space="0" w:color="000000"/>
        <w:bottom w:val="single" w:sz="8" w:space="0" w:color="000000"/>
      </w:pBdr>
      <w:suppressAutoHyphens w:val="false"/>
      <w:spacing w:beforeAutospacing="1" w:afterAutospacing="1"/>
      <w:textAlignment w:val="top"/>
    </w:pPr>
    <w:rPr>
      <w:lang w:val="en-IE"/>
    </w:rPr>
  </w:style>
  <w:style w:type="paragraph" w:styleId="Xl69">
    <w:name w:val="xl69"/>
    <w:basedOn w:val="Normal"/>
    <w:qFormat/>
    <w:pPr>
      <w:pBdr>
        <w:left w:val="single" w:sz="8" w:space="0" w:color="000000"/>
        <w:right w:val="single" w:sz="8" w:space="0" w:color="000000"/>
      </w:pBdr>
      <w:suppressAutoHyphens w:val="false"/>
      <w:spacing w:beforeAutospacing="1" w:afterAutospacing="1"/>
      <w:textAlignment w:val="top"/>
    </w:pPr>
    <w:rPr>
      <w:b/>
      <w:bCs/>
      <w:lang w:val="en-IE"/>
    </w:rPr>
  </w:style>
  <w:style w:type="paragraph" w:styleId="Xl68">
    <w:name w:val="xl68"/>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67">
    <w:name w:val="xl67"/>
    <w:basedOn w:val="Normal"/>
    <w:qFormat/>
    <w:pPr>
      <w:pBdr>
        <w:left w:val="single" w:sz="8" w:space="0" w:color="000000"/>
      </w:pBdr>
      <w:suppressAutoHyphens w:val="false"/>
      <w:spacing w:beforeAutospacing="1" w:afterAutospacing="1"/>
      <w:jc w:val="center"/>
      <w:textAlignment w:val="top"/>
    </w:pPr>
    <w:rPr>
      <w:lang w:val="en-IE"/>
    </w:rPr>
  </w:style>
  <w:style w:type="paragraph" w:styleId="Xl66">
    <w:name w:val="xl66"/>
    <w:basedOn w:val="Normal"/>
    <w:qFormat/>
    <w:pPr>
      <w:pBdr>
        <w:left w:val="single" w:sz="8" w:space="0" w:color="000000"/>
      </w:pBdr>
      <w:suppressAutoHyphens w:val="false"/>
      <w:spacing w:beforeAutospacing="1" w:afterAutospacing="1"/>
      <w:textAlignment w:val="top"/>
    </w:pPr>
    <w:rPr>
      <w:lang w:val="en-IE"/>
    </w:rPr>
  </w:style>
  <w:style w:type="paragraph" w:styleId="Xl65">
    <w:name w:val="xl65"/>
    <w:basedOn w:val="Normal"/>
    <w:qFormat/>
    <w:pPr>
      <w:pBdr>
        <w:top w:val="single" w:sz="8" w:space="0" w:color="000000"/>
        <w:left w:val="single" w:sz="8" w:space="0" w:color="000000"/>
        <w:bottom w:val="single" w:sz="8" w:space="0" w:color="000000"/>
        <w:right w:val="single" w:sz="8" w:space="0" w:color="000000"/>
      </w:pBdr>
      <w:shd w:fill="E6E6E6"/>
      <w:suppressAutoHyphens w:val="false"/>
      <w:spacing w:beforeAutospacing="1" w:afterAutospacing="1"/>
      <w:jc w:val="center"/>
      <w:textAlignment w:val="top"/>
    </w:pPr>
    <w:rPr>
      <w:b/>
      <w:bCs/>
      <w:lang w:val="en-IE"/>
    </w:rPr>
  </w:style>
  <w:style w:type="paragraph" w:styleId="Xl64">
    <w:name w:val="xl64"/>
    <w:basedOn w:val="Normal"/>
    <w:qFormat/>
    <w:pPr>
      <w:pBdr>
        <w:top w:val="single" w:sz="8" w:space="0" w:color="000000"/>
        <w:left w:val="single" w:sz="8" w:space="0" w:color="000000"/>
        <w:bottom w:val="single" w:sz="8" w:space="0" w:color="000000"/>
      </w:pBdr>
      <w:shd w:fill="E6E6E6"/>
      <w:suppressAutoHyphens w:val="false"/>
      <w:spacing w:beforeAutospacing="1" w:afterAutospacing="1"/>
      <w:jc w:val="center"/>
      <w:textAlignment w:val="top"/>
    </w:pPr>
    <w:rPr>
      <w:b/>
      <w:bCs/>
      <w:lang w:val="en-IE"/>
    </w:rPr>
  </w:style>
  <w:style w:type="paragraph" w:styleId="Font9">
    <w:name w:val="font9"/>
    <w:basedOn w:val="Normal"/>
    <w:qFormat/>
    <w:pPr>
      <w:suppressAutoHyphens w:val="false"/>
      <w:spacing w:beforeAutospacing="1" w:afterAutospacing="1"/>
    </w:pPr>
    <w:rPr>
      <w:rFonts w:ascii="Tahoma" w:hAnsi="Tahoma" w:cs="Tahoma"/>
      <w:color w:val="000000"/>
      <w:sz w:val="12"/>
      <w:szCs w:val="12"/>
      <w:lang w:val="en-IE"/>
    </w:rPr>
  </w:style>
  <w:style w:type="paragraph" w:styleId="Font8">
    <w:name w:val="font8"/>
    <w:basedOn w:val="Normal"/>
    <w:qFormat/>
    <w:pPr>
      <w:suppressAutoHyphens w:val="false"/>
      <w:spacing w:beforeAutospacing="1" w:afterAutospacing="1"/>
    </w:pPr>
    <w:rPr>
      <w:color w:val="000000"/>
      <w:sz w:val="14"/>
      <w:szCs w:val="14"/>
      <w:lang w:val="en-IE"/>
    </w:rPr>
  </w:style>
  <w:style w:type="paragraph" w:styleId="Font7">
    <w:name w:val="font7"/>
    <w:basedOn w:val="Normal"/>
    <w:qFormat/>
    <w:pPr>
      <w:suppressAutoHyphens w:val="false"/>
      <w:spacing w:beforeAutospacing="1" w:afterAutospacing="1"/>
    </w:pPr>
    <w:rPr>
      <w:color w:val="000000"/>
      <w:lang w:val="en-IE"/>
    </w:rPr>
  </w:style>
  <w:style w:type="paragraph" w:styleId="Font6">
    <w:name w:val="font6"/>
    <w:basedOn w:val="Normal"/>
    <w:qFormat/>
    <w:pPr>
      <w:suppressAutoHyphens w:val="false"/>
      <w:spacing w:beforeAutospacing="1" w:afterAutospacing="1"/>
    </w:pPr>
    <w:rPr>
      <w:color w:val="000000"/>
      <w:sz w:val="24"/>
      <w:szCs w:val="24"/>
      <w:lang w:val="en-IE"/>
    </w:rPr>
  </w:style>
  <w:style w:type="paragraph" w:styleId="Font5">
    <w:name w:val="font5"/>
    <w:basedOn w:val="Normal"/>
    <w:qFormat/>
    <w:pPr>
      <w:suppressAutoHyphens w:val="false"/>
      <w:spacing w:beforeAutospacing="1" w:afterAutospacing="1"/>
    </w:pPr>
    <w:rPr>
      <w:color w:val="000000"/>
      <w:lang w:val="en-IE"/>
    </w:rPr>
  </w:style>
  <w:style w:type="paragraph" w:styleId="Indexheading">
    <w:name w:val="index heading"/>
    <w:qFormat/>
    <w:pPr>
      <w:keepNext w:val="true"/>
      <w:widowControl w:val="false"/>
      <w:suppressAutoHyphens w:val="true"/>
      <w:bidi w:val="0"/>
      <w:spacing w:before="0" w:after="120"/>
      <w:jc w:val="start"/>
    </w:pPr>
    <w:rPr>
      <w:rFonts w:ascii="Albany" w:hAnsi="Albany" w:eastAsia="MS Mincho" w:cs="Tahoma"/>
      <w:b/>
      <w:bCs/>
      <w:color w:val="auto"/>
      <w:kern w:val="2"/>
      <w:sz w:val="32"/>
      <w:szCs w:val="32"/>
      <w:lang w:val="en-GB" w:eastAsia="zh-CN" w:bidi="hi-IN"/>
    </w:rPr>
  </w:style>
  <w:style w:type="paragraph" w:styleId="Index1">
    <w:name w:val="index 1"/>
    <w:basedOn w:val="Normal"/>
    <w:next w:val="Normal"/>
    <w:qFormat/>
    <w:pPr>
      <w:ind w:start="200" w:hanging="200"/>
    </w:pPr>
    <w:rPr/>
  </w:style>
  <w:style w:type="paragraph" w:styleId="Annotationsubject">
    <w:name w:val="annotation subject"/>
    <w:qFormat/>
    <w:pPr>
      <w:widowControl/>
      <w:suppressAutoHyphens w:val="true"/>
      <w:bidi w:val="0"/>
      <w:spacing w:before="0" w:after="0"/>
      <w:jc w:val="start"/>
    </w:pPr>
    <w:rPr>
      <w:rFonts w:ascii="Liberation Serif" w:hAnsi="Liberation Serif" w:eastAsia="Songti SC" w:cs="Arial Unicode MS"/>
      <w:b/>
      <w:bCs/>
      <w:color w:val="auto"/>
      <w:kern w:val="2"/>
      <w:sz w:val="20"/>
      <w:szCs w:val="24"/>
      <w:lang w:val="en-GB" w:eastAsia="ar-SA" w:bidi="hi-IN"/>
    </w:rPr>
  </w:style>
  <w:style w:type="paragraph" w:styleId="Annotationtext">
    <w:name w:val="annotation text"/>
    <w:basedOn w:val="Normal"/>
    <w:qFormat/>
    <w:pPr/>
    <w:rPr>
      <w:sz w:val="20"/>
      <w:lang w:eastAsia="ar-SA"/>
    </w:rPr>
  </w:style>
  <w:style w:type="paragraph" w:styleId="BalloonText">
    <w:name w:val="Balloon Text"/>
    <w:basedOn w:val="Normal"/>
    <w:qFormat/>
    <w:pPr/>
    <w:rPr>
      <w:rFonts w:ascii="Tahoma" w:hAnsi="Tahoma"/>
      <w:sz w:val="16"/>
      <w:szCs w:val="16"/>
      <w:lang w:eastAsia="ar-SA"/>
    </w:rPr>
  </w:style>
  <w:style w:type="paragraph" w:styleId="DocumentMap">
    <w:name w:val="Document Map"/>
    <w:basedOn w:val="Normal"/>
    <w:qFormat/>
    <w:pPr>
      <w:shd w:fill="000080"/>
    </w:pPr>
    <w:rPr>
      <w:rFonts w:ascii="Tahoma" w:hAnsi="Tahoma"/>
      <w:sz w:val="20"/>
      <w:lang w:eastAsia="ar-SA"/>
    </w:rPr>
  </w:style>
  <w:style w:type="paragraph" w:styleId="Caption1">
    <w:name w:val="Caption1"/>
    <w:basedOn w:val="Normal"/>
    <w:qFormat/>
    <w:pPr>
      <w:spacing w:before="120" w:after="120"/>
    </w:pPr>
    <w:rPr>
      <w:rFonts w:cs="Tahoma"/>
      <w:i/>
      <w:iCs/>
      <w:lang w:eastAsia="ar-SA"/>
    </w:rPr>
  </w:style>
  <w:style w:type="paragraph" w:styleId="BodyText3">
    <w:name w:val="Body Text 3"/>
    <w:basedOn w:val="Normal"/>
    <w:qFormat/>
    <w:pPr/>
    <w:rPr>
      <w:rFonts w:ascii="Comic Sans MS" w:hAnsi="Comic Sans MS"/>
      <w:sz w:val="24"/>
    </w:rPr>
  </w:style>
  <w:style w:type="paragraph" w:styleId="BodyText2">
    <w:name w:val="Body Text 2"/>
    <w:basedOn w:val="Normal"/>
    <w:qFormat/>
    <w:pPr/>
    <w:rPr>
      <w:rFonts w:ascii="Comic Sans MS" w:hAnsi="Comic Sans MS"/>
      <w:b/>
      <w:sz w:val="24"/>
    </w:rPr>
  </w:style>
  <w:style w:type="paragraph" w:styleId="WW-Heading10111111111111">
    <w:name w:val="WW-Heading 1011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11">
    <w:name w:val="WW-Heading 101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1">
    <w:name w:val="WW-Heading 10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
    <w:name w:val="WW-Heading 10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
    <w:name w:val="WW-Heading 10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
    <w:name w:val="WW-Heading 10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
    <w:name w:val="WW-Heading 10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
    <w:name w:val="WW-Heading 10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
    <w:name w:val="WW-Heading 10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
    <w:name w:val="WW-Heading 10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
    <w:name w:val="WW-Heading 10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
    <w:name w:val="WW-Heading 10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
    <w:name w:val="WW-Heading 10"/>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TableHeading1111111111111111111111">
    <w:name w:val="WW-Table Heading1111111111111111111111"/>
    <w:qFormat/>
    <w:pPr>
      <w:widowControl/>
      <w:suppressAutoHyphens w:val="true"/>
      <w:bidi w:val="0"/>
      <w:spacing w:before="0" w:after="0"/>
      <w:jc w:val="center"/>
    </w:pPr>
    <w:rPr>
      <w:rFonts w:ascii="Liberation Serif" w:hAnsi="Liberation Serif" w:eastAsia="Songti SC" w:cs="Arial Unicode MS"/>
      <w:b/>
      <w:i/>
      <w:color w:val="auto"/>
      <w:kern w:val="2"/>
      <w:sz w:val="24"/>
      <w:szCs w:val="24"/>
      <w:lang w:val="en-GB" w:eastAsia="zh-CN" w:bidi="hi-IN"/>
    </w:rPr>
  </w:style>
  <w:style w:type="paragraph" w:styleId="WW-TableHeading111111111111111111111">
    <w:name w:val="WW-Table Heading11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1">
    <w:name w:val="WW-Table Heading1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
    <w:name w:val="WW-Table Heading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
    <w:name w:val="WW-Table Heading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
    <w:name w:val="WW-Table Heading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
    <w:name w:val="WW-Table Heading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
    <w:name w:val="WW-Table Heading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
    <w:name w:val="WW-Table Heading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
    <w:name w:val="WW-Table Heading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
    <w:name w:val="WW-Table Heading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
    <w:name w:val="WW-Table Heading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
    <w:name w:val="WW-Table Heading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
    <w:name w:val="WW-Table Heading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
    <w:name w:val="WW-Table Heading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
    <w:name w:val="WW-Table Heading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
    <w:name w:val="WW-Table Heading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
    <w:name w:val="WW-Table Heading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
    <w:name w:val="WW-Table Heading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
    <w:name w:val="WW-Table Heading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
    <w:name w:val="WW-Table Heading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
    <w:name w:val="WW-Table Heading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
    <w:name w:val="WW-Table Heading"/>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Contents1111111111111111111111">
    <w:name w:val="WW-Table Contents11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11">
    <w:name w:val="WW-Table Contents1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1">
    <w:name w:val="WW-Table Contents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
    <w:name w:val="WW-Table Contents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
    <w:name w:val="WW-Table Contents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
    <w:name w:val="WW-Table Contents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
    <w:name w:val="WW-Table Contents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
    <w:name w:val="WW-Table Contents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
    <w:name w:val="WW-Table Contents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
    <w:name w:val="WW-Table Contents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
    <w:name w:val="WW-Table Contents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
    <w:name w:val="WW-Table Contents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
    <w:name w:val="WW-Table Contents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
    <w:name w:val="WW-Table Contents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
    <w:name w:val="WW-Table Contents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
    <w:name w:val="WW-Table Contents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
    <w:name w:val="WW-Table Contents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
    <w:name w:val="WW-Table Contents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
    <w:name w:val="WW-Table Contents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
    <w:name w:val="WW-Table Contents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
    <w:name w:val="WW-Table Contents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
    <w:name w:val="WW-Table Contents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
    <w:name w:val="WW-Table Contents"/>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DocumentMap">
    <w:name w:val="WW-Document Map"/>
    <w:basedOn w:val="Normal"/>
    <w:qFormat/>
    <w:pPr>
      <w:shd w:fill="000080"/>
    </w:pPr>
    <w:rPr>
      <w:rFonts w:ascii="Tahoma" w:hAnsi="Tahoma"/>
    </w:rPr>
  </w:style>
  <w:style w:type="paragraph" w:styleId="WW-Heading1111111111111111111111">
    <w:name w:val="WW-Heading1111111111111111111111"/>
    <w:basedOn w:val="Normal"/>
    <w:qFormat/>
    <w:pPr>
      <w:keepNext w:val="true"/>
      <w:spacing w:before="0" w:after="120"/>
    </w:pPr>
    <w:rPr>
      <w:rFonts w:ascii="Arial" w:hAnsi="Arial"/>
    </w:rPr>
  </w:style>
  <w:style w:type="paragraph" w:styleId="WW-Index1111111111111111111111">
    <w:name w:val="WW-Index1111111111111111111111"/>
    <w:basedOn w:val="Normal"/>
    <w:qFormat/>
    <w:pPr/>
    <w:rPr/>
  </w:style>
  <w:style w:type="paragraph" w:styleId="WW-Caption1111111111111111111111">
    <w:name w:val="WW-Caption1111111111111111111111"/>
    <w:basedOn w:val="Normal"/>
    <w:qFormat/>
    <w:pPr>
      <w:spacing w:before="120" w:after="120"/>
    </w:pPr>
    <w:rPr>
      <w:i/>
      <w:sz w:val="20"/>
    </w:rPr>
  </w:style>
  <w:style w:type="paragraph" w:styleId="WW-Heading111111111111111111111">
    <w:name w:val="WW-Heading111111111111111111111"/>
    <w:basedOn w:val="Normal"/>
    <w:qFormat/>
    <w:pPr>
      <w:keepNext w:val="true"/>
      <w:spacing w:before="0" w:after="120"/>
    </w:pPr>
    <w:rPr>
      <w:rFonts w:ascii="Albany" w:hAnsi="Albany" w:eastAsia="Andale Sans UI" w:cs="Tahoma"/>
      <w:szCs w:val="28"/>
    </w:rPr>
  </w:style>
  <w:style w:type="paragraph" w:styleId="WW-Index111111111111111111111">
    <w:name w:val="WW-Index111111111111111111111"/>
    <w:basedOn w:val="Normal"/>
    <w:qFormat/>
    <w:pPr/>
    <w:rPr>
      <w:rFonts w:cs="Tahoma"/>
    </w:rPr>
  </w:style>
  <w:style w:type="paragraph" w:styleId="WW-Caption111111111111111111111">
    <w:name w:val="WW-Caption111111111111111111111"/>
    <w:basedOn w:val="Normal"/>
    <w:qFormat/>
    <w:pPr>
      <w:spacing w:before="120" w:after="120"/>
    </w:pPr>
    <w:rPr>
      <w:rFonts w:cs="Tahoma"/>
      <w:i/>
      <w:iCs/>
      <w:sz w:val="20"/>
    </w:rPr>
  </w:style>
  <w:style w:type="paragraph" w:styleId="WW-Heading11111111111111111111">
    <w:name w:val="WW-Heading11111111111111111111"/>
    <w:basedOn w:val="Normal"/>
    <w:qFormat/>
    <w:pPr>
      <w:keepNext w:val="true"/>
      <w:spacing w:before="0" w:after="120"/>
    </w:pPr>
    <w:rPr>
      <w:rFonts w:ascii="Albany" w:hAnsi="Albany" w:eastAsia="Andale Sans UI" w:cs="Tahoma"/>
      <w:szCs w:val="28"/>
    </w:rPr>
  </w:style>
  <w:style w:type="paragraph" w:styleId="WW-Index11111111111111111111">
    <w:name w:val="WW-Index11111111111111111111"/>
    <w:basedOn w:val="Normal"/>
    <w:qFormat/>
    <w:pPr/>
    <w:rPr>
      <w:rFonts w:cs="Tahoma"/>
    </w:rPr>
  </w:style>
  <w:style w:type="paragraph" w:styleId="WW-Caption11111111111111111111">
    <w:name w:val="WW-Caption11111111111111111111"/>
    <w:basedOn w:val="Normal"/>
    <w:qFormat/>
    <w:pPr>
      <w:spacing w:before="120" w:after="120"/>
    </w:pPr>
    <w:rPr>
      <w:rFonts w:cs="Tahoma"/>
      <w:i/>
      <w:iCs/>
      <w:sz w:val="20"/>
    </w:rPr>
  </w:style>
  <w:style w:type="paragraph" w:styleId="WW-Heading1111111111111111111">
    <w:name w:val="WW-Heading1111111111111111111"/>
    <w:basedOn w:val="Normal"/>
    <w:qFormat/>
    <w:pPr>
      <w:keepNext w:val="true"/>
      <w:spacing w:before="0" w:after="120"/>
    </w:pPr>
    <w:rPr>
      <w:rFonts w:ascii="Albany" w:hAnsi="Albany" w:eastAsia="Andale Sans UI" w:cs="Tahoma"/>
      <w:szCs w:val="28"/>
    </w:rPr>
  </w:style>
  <w:style w:type="paragraph" w:styleId="WW-Index1111111111111111111">
    <w:name w:val="WW-Index1111111111111111111"/>
    <w:basedOn w:val="Normal"/>
    <w:qFormat/>
    <w:pPr/>
    <w:rPr>
      <w:rFonts w:cs="Tahoma"/>
    </w:rPr>
  </w:style>
  <w:style w:type="paragraph" w:styleId="WW-Caption1111111111111111111">
    <w:name w:val="WW-Caption1111111111111111111"/>
    <w:basedOn w:val="Normal"/>
    <w:qFormat/>
    <w:pPr>
      <w:spacing w:before="120" w:after="120"/>
    </w:pPr>
    <w:rPr>
      <w:rFonts w:cs="Tahoma"/>
      <w:i/>
      <w:iCs/>
      <w:sz w:val="20"/>
    </w:rPr>
  </w:style>
  <w:style w:type="paragraph" w:styleId="WW-Heading111111111111111111">
    <w:name w:val="WW-Heading111111111111111111"/>
    <w:basedOn w:val="Normal"/>
    <w:qFormat/>
    <w:pPr>
      <w:keepNext w:val="true"/>
      <w:spacing w:before="0" w:after="120"/>
    </w:pPr>
    <w:rPr>
      <w:rFonts w:ascii="Albany" w:hAnsi="Albany" w:eastAsia="Andale Sans UI" w:cs="Tahoma"/>
      <w:szCs w:val="28"/>
    </w:rPr>
  </w:style>
  <w:style w:type="paragraph" w:styleId="WW-Index111111111111111111">
    <w:name w:val="WW-Index111111111111111111"/>
    <w:basedOn w:val="Normal"/>
    <w:qFormat/>
    <w:pPr/>
    <w:rPr>
      <w:rFonts w:cs="Tahoma"/>
    </w:rPr>
  </w:style>
  <w:style w:type="paragraph" w:styleId="WW-Caption111111111111111111">
    <w:name w:val="WW-Caption111111111111111111"/>
    <w:basedOn w:val="Normal"/>
    <w:qFormat/>
    <w:pPr>
      <w:spacing w:before="120" w:after="120"/>
    </w:pPr>
    <w:rPr>
      <w:rFonts w:cs="Tahoma"/>
      <w:i/>
      <w:iCs/>
      <w:sz w:val="20"/>
    </w:rPr>
  </w:style>
  <w:style w:type="paragraph" w:styleId="WW-Heading11111111111111111">
    <w:name w:val="WW-Heading11111111111111111"/>
    <w:basedOn w:val="Normal"/>
    <w:qFormat/>
    <w:pPr>
      <w:keepNext w:val="true"/>
      <w:spacing w:before="0" w:after="120"/>
    </w:pPr>
    <w:rPr>
      <w:rFonts w:ascii="Albany" w:hAnsi="Albany" w:eastAsia="Andale Sans UI" w:cs="Tahoma"/>
      <w:szCs w:val="28"/>
    </w:rPr>
  </w:style>
  <w:style w:type="paragraph" w:styleId="WW-Index11111111111111111">
    <w:name w:val="WW-Index11111111111111111"/>
    <w:basedOn w:val="Normal"/>
    <w:qFormat/>
    <w:pPr/>
    <w:rPr>
      <w:rFonts w:cs="Tahoma"/>
    </w:rPr>
  </w:style>
  <w:style w:type="paragraph" w:styleId="WW-Caption11111111111111111">
    <w:name w:val="WW-Caption11111111111111111"/>
    <w:basedOn w:val="Normal"/>
    <w:qFormat/>
    <w:pPr>
      <w:spacing w:before="120" w:after="120"/>
    </w:pPr>
    <w:rPr>
      <w:rFonts w:cs="Tahoma"/>
      <w:i/>
      <w:iCs/>
      <w:sz w:val="20"/>
    </w:rPr>
  </w:style>
  <w:style w:type="paragraph" w:styleId="WW-Heading1111111111111111">
    <w:name w:val="WW-Heading1111111111111111"/>
    <w:basedOn w:val="Normal"/>
    <w:qFormat/>
    <w:pPr>
      <w:keepNext w:val="true"/>
      <w:spacing w:before="0" w:after="120"/>
    </w:pPr>
    <w:rPr>
      <w:rFonts w:ascii="Albany" w:hAnsi="Albany" w:eastAsia="Andale Sans UI" w:cs="Tahoma"/>
      <w:szCs w:val="28"/>
    </w:rPr>
  </w:style>
  <w:style w:type="paragraph" w:styleId="WW-Index1111111111111111">
    <w:name w:val="WW-Index1111111111111111"/>
    <w:basedOn w:val="Normal"/>
    <w:qFormat/>
    <w:pPr/>
    <w:rPr>
      <w:rFonts w:cs="Tahoma"/>
    </w:rPr>
  </w:style>
  <w:style w:type="paragraph" w:styleId="WW-Caption1111111111111111">
    <w:name w:val="WW-Caption1111111111111111"/>
    <w:basedOn w:val="Normal"/>
    <w:qFormat/>
    <w:pPr>
      <w:spacing w:before="120" w:after="120"/>
    </w:pPr>
    <w:rPr>
      <w:rFonts w:cs="Tahoma"/>
      <w:i/>
      <w:iCs/>
      <w:sz w:val="20"/>
    </w:rPr>
  </w:style>
  <w:style w:type="paragraph" w:styleId="WW-Heading111111111111111">
    <w:name w:val="WW-Heading111111111111111"/>
    <w:basedOn w:val="Normal"/>
    <w:qFormat/>
    <w:pPr>
      <w:keepNext w:val="true"/>
      <w:spacing w:before="0" w:after="120"/>
    </w:pPr>
    <w:rPr>
      <w:rFonts w:ascii="Albany" w:hAnsi="Albany" w:eastAsia="Andale Sans UI" w:cs="Tahoma"/>
      <w:szCs w:val="28"/>
    </w:rPr>
  </w:style>
  <w:style w:type="paragraph" w:styleId="WW-Index111111111111111">
    <w:name w:val="WW-Index111111111111111"/>
    <w:basedOn w:val="Normal"/>
    <w:qFormat/>
    <w:pPr/>
    <w:rPr>
      <w:rFonts w:cs="Tahoma"/>
    </w:rPr>
  </w:style>
  <w:style w:type="paragraph" w:styleId="WW-Caption111111111111111">
    <w:name w:val="WW-Caption111111111111111"/>
    <w:basedOn w:val="Normal"/>
    <w:qFormat/>
    <w:pPr>
      <w:spacing w:before="120" w:after="120"/>
    </w:pPr>
    <w:rPr>
      <w:rFonts w:cs="Tahoma"/>
      <w:i/>
      <w:iCs/>
      <w:sz w:val="20"/>
    </w:rPr>
  </w:style>
  <w:style w:type="paragraph" w:styleId="WW-Heading11111111111111">
    <w:name w:val="WW-Heading11111111111111"/>
    <w:basedOn w:val="Normal"/>
    <w:qFormat/>
    <w:pPr>
      <w:keepNext w:val="true"/>
      <w:spacing w:before="0" w:after="120"/>
    </w:pPr>
    <w:rPr>
      <w:rFonts w:ascii="Albany" w:hAnsi="Albany" w:eastAsia="Andale Sans UI" w:cs="Tahoma"/>
      <w:szCs w:val="28"/>
    </w:rPr>
  </w:style>
  <w:style w:type="paragraph" w:styleId="WW-Index11111111111111">
    <w:name w:val="WW-Index11111111111111"/>
    <w:basedOn w:val="Normal"/>
    <w:qFormat/>
    <w:pPr/>
    <w:rPr>
      <w:rFonts w:cs="Tahoma"/>
    </w:rPr>
  </w:style>
  <w:style w:type="paragraph" w:styleId="WW-Caption11111111111111">
    <w:name w:val="WW-Caption11111111111111"/>
    <w:basedOn w:val="Normal"/>
    <w:qFormat/>
    <w:pPr>
      <w:spacing w:before="120" w:after="120"/>
    </w:pPr>
    <w:rPr>
      <w:rFonts w:cs="Tahoma"/>
      <w:i/>
      <w:iCs/>
      <w:sz w:val="20"/>
    </w:rPr>
  </w:style>
  <w:style w:type="paragraph" w:styleId="WW-Heading1111111111111">
    <w:name w:val="WW-Heading1111111111111"/>
    <w:basedOn w:val="Normal"/>
    <w:qFormat/>
    <w:pPr>
      <w:keepNext w:val="true"/>
      <w:spacing w:before="0" w:after="120"/>
    </w:pPr>
    <w:rPr>
      <w:rFonts w:ascii="Albany" w:hAnsi="Albany" w:eastAsia="Andale Sans UI" w:cs="Tahoma"/>
      <w:szCs w:val="28"/>
    </w:rPr>
  </w:style>
  <w:style w:type="paragraph" w:styleId="WW-Index1111111111111">
    <w:name w:val="WW-Index1111111111111"/>
    <w:basedOn w:val="Normal"/>
    <w:qFormat/>
    <w:pPr/>
    <w:rPr>
      <w:rFonts w:cs="Tahoma"/>
    </w:rPr>
  </w:style>
  <w:style w:type="paragraph" w:styleId="WW-Caption1111111111111">
    <w:name w:val="WW-Caption1111111111111"/>
    <w:basedOn w:val="Normal"/>
    <w:qFormat/>
    <w:pPr>
      <w:spacing w:before="120" w:after="120"/>
    </w:pPr>
    <w:rPr>
      <w:rFonts w:cs="Tahoma"/>
      <w:i/>
      <w:iCs/>
      <w:sz w:val="20"/>
    </w:rPr>
  </w:style>
  <w:style w:type="paragraph" w:styleId="WW-Index111111111111">
    <w:name w:val="WW-Index111111111111"/>
    <w:basedOn w:val="Normal"/>
    <w:qFormat/>
    <w:pPr/>
    <w:rPr>
      <w:rFonts w:cs="Tahoma"/>
    </w:rPr>
  </w:style>
  <w:style w:type="paragraph" w:styleId="WW-Caption111111111111">
    <w:name w:val="WW-Caption111111111111"/>
    <w:basedOn w:val="Normal"/>
    <w:qFormat/>
    <w:pPr>
      <w:spacing w:before="120" w:after="120"/>
    </w:pPr>
    <w:rPr>
      <w:rFonts w:cs="Tahoma"/>
      <w:i/>
      <w:iCs/>
      <w:sz w:val="20"/>
    </w:rPr>
  </w:style>
  <w:style w:type="paragraph" w:styleId="WW-Heading111111111111">
    <w:name w:val="WW-Heading111111111111"/>
    <w:basedOn w:val="Normal"/>
    <w:qFormat/>
    <w:pPr>
      <w:keepNext w:val="true"/>
      <w:spacing w:before="0" w:after="120"/>
    </w:pPr>
    <w:rPr>
      <w:rFonts w:ascii="Albany" w:hAnsi="Albany" w:eastAsia="Andale Sans UI" w:cs="Tahoma"/>
      <w:szCs w:val="28"/>
    </w:rPr>
  </w:style>
  <w:style w:type="paragraph" w:styleId="WW-Index11111111111">
    <w:name w:val="WW-Index11111111111"/>
    <w:basedOn w:val="Normal"/>
    <w:qFormat/>
    <w:pPr/>
    <w:rPr>
      <w:rFonts w:cs="Tahoma"/>
    </w:rPr>
  </w:style>
  <w:style w:type="paragraph" w:styleId="WW-Caption11111111111">
    <w:name w:val="WW-Caption11111111111"/>
    <w:basedOn w:val="Normal"/>
    <w:qFormat/>
    <w:pPr>
      <w:spacing w:before="120" w:after="120"/>
    </w:pPr>
    <w:rPr>
      <w:rFonts w:cs="Tahoma"/>
      <w:i/>
      <w:iCs/>
      <w:sz w:val="20"/>
    </w:rPr>
  </w:style>
  <w:style w:type="paragraph" w:styleId="WW-Heading11111111111">
    <w:name w:val="WW-Heading11111111111"/>
    <w:basedOn w:val="Normal"/>
    <w:qFormat/>
    <w:pPr>
      <w:keepNext w:val="true"/>
      <w:spacing w:before="0" w:after="120"/>
    </w:pPr>
    <w:rPr>
      <w:rFonts w:ascii="Albany" w:hAnsi="Albany" w:eastAsia="Andale Sans UI" w:cs="Tahoma"/>
      <w:szCs w:val="28"/>
    </w:rPr>
  </w:style>
  <w:style w:type="paragraph" w:styleId="WW-Index1111111111">
    <w:name w:val="WW-Index1111111111"/>
    <w:basedOn w:val="Normal"/>
    <w:qFormat/>
    <w:pPr/>
    <w:rPr>
      <w:rFonts w:cs="Tahoma"/>
    </w:rPr>
  </w:style>
  <w:style w:type="paragraph" w:styleId="WW-Caption1111111111">
    <w:name w:val="WW-Caption1111111111"/>
    <w:basedOn w:val="Normal"/>
    <w:qFormat/>
    <w:pPr>
      <w:spacing w:before="120" w:after="120"/>
    </w:pPr>
    <w:rPr>
      <w:rFonts w:cs="Tahoma"/>
      <w:i/>
      <w:iCs/>
      <w:sz w:val="20"/>
    </w:rPr>
  </w:style>
  <w:style w:type="paragraph" w:styleId="WW-Heading1111111111">
    <w:name w:val="WW-Heading1111111111"/>
    <w:basedOn w:val="Normal"/>
    <w:qFormat/>
    <w:pPr>
      <w:keepNext w:val="true"/>
      <w:spacing w:before="0" w:after="120"/>
    </w:pPr>
    <w:rPr>
      <w:rFonts w:ascii="Albany" w:hAnsi="Albany" w:eastAsia="Andale Sans UI" w:cs="Tahoma"/>
      <w:szCs w:val="28"/>
    </w:rPr>
  </w:style>
  <w:style w:type="paragraph" w:styleId="WW-Index111111111">
    <w:name w:val="WW-Index111111111"/>
    <w:basedOn w:val="Normal"/>
    <w:qFormat/>
    <w:pPr/>
    <w:rPr>
      <w:rFonts w:cs="Tahoma"/>
    </w:rPr>
  </w:style>
  <w:style w:type="paragraph" w:styleId="WW-Caption111111111">
    <w:name w:val="WW-Caption111111111"/>
    <w:basedOn w:val="Normal"/>
    <w:qFormat/>
    <w:pPr>
      <w:spacing w:before="120" w:after="120"/>
    </w:pPr>
    <w:rPr>
      <w:rFonts w:cs="Tahoma"/>
      <w:i/>
      <w:iCs/>
      <w:sz w:val="20"/>
    </w:rPr>
  </w:style>
  <w:style w:type="paragraph" w:styleId="WW-Heading111111111">
    <w:name w:val="WW-Heading111111111"/>
    <w:basedOn w:val="Normal"/>
    <w:qFormat/>
    <w:pPr>
      <w:keepNext w:val="true"/>
      <w:spacing w:before="0" w:after="120"/>
    </w:pPr>
    <w:rPr>
      <w:rFonts w:ascii="Albany" w:hAnsi="Albany" w:eastAsia="Andale Sans UI" w:cs="Tahoma"/>
      <w:szCs w:val="28"/>
    </w:rPr>
  </w:style>
  <w:style w:type="paragraph" w:styleId="WW-Index11111111">
    <w:name w:val="WW-Index11111111"/>
    <w:basedOn w:val="Normal"/>
    <w:qFormat/>
    <w:pPr/>
    <w:rPr>
      <w:rFonts w:cs="Tahoma"/>
    </w:rPr>
  </w:style>
  <w:style w:type="paragraph" w:styleId="WW-Caption11111111">
    <w:name w:val="WW-Caption11111111"/>
    <w:basedOn w:val="Normal"/>
    <w:qFormat/>
    <w:pPr>
      <w:spacing w:before="120" w:after="120"/>
    </w:pPr>
    <w:rPr>
      <w:rFonts w:cs="Tahoma"/>
      <w:i/>
      <w:iCs/>
      <w:sz w:val="20"/>
    </w:rPr>
  </w:style>
  <w:style w:type="paragraph" w:styleId="WW-Heading11111111">
    <w:name w:val="WW-Heading11111111"/>
    <w:basedOn w:val="Normal"/>
    <w:qFormat/>
    <w:pPr>
      <w:keepNext w:val="true"/>
      <w:spacing w:before="0" w:after="120"/>
    </w:pPr>
    <w:rPr>
      <w:rFonts w:ascii="Albany" w:hAnsi="Albany" w:eastAsia="Andale Sans UI" w:cs="Tahoma"/>
      <w:szCs w:val="28"/>
    </w:rPr>
  </w:style>
  <w:style w:type="paragraph" w:styleId="WW-Index1111111">
    <w:name w:val="WW-Index1111111"/>
    <w:basedOn w:val="Normal"/>
    <w:qFormat/>
    <w:pPr/>
    <w:rPr>
      <w:rFonts w:cs="Tahoma"/>
    </w:rPr>
  </w:style>
  <w:style w:type="paragraph" w:styleId="WW-Caption1111111">
    <w:name w:val="WW-Caption1111111"/>
    <w:basedOn w:val="Normal"/>
    <w:qFormat/>
    <w:pPr>
      <w:spacing w:before="120" w:after="120"/>
    </w:pPr>
    <w:rPr>
      <w:rFonts w:cs="Tahoma"/>
      <w:i/>
      <w:iCs/>
      <w:sz w:val="20"/>
    </w:rPr>
  </w:style>
  <w:style w:type="paragraph" w:styleId="WW-Heading1111111">
    <w:name w:val="WW-Heading1111111"/>
    <w:basedOn w:val="Normal"/>
    <w:qFormat/>
    <w:pPr>
      <w:keepNext w:val="true"/>
      <w:spacing w:before="0" w:after="120"/>
    </w:pPr>
    <w:rPr>
      <w:rFonts w:ascii="Albany" w:hAnsi="Albany" w:eastAsia="Andale Sans UI" w:cs="Tahoma"/>
      <w:szCs w:val="28"/>
    </w:rPr>
  </w:style>
  <w:style w:type="paragraph" w:styleId="WW-Index111111">
    <w:name w:val="WW-Index111111"/>
    <w:basedOn w:val="Normal"/>
    <w:qFormat/>
    <w:pPr/>
    <w:rPr>
      <w:rFonts w:cs="Tahoma"/>
    </w:rPr>
  </w:style>
  <w:style w:type="paragraph" w:styleId="WW-Caption111111">
    <w:name w:val="WW-Caption111111"/>
    <w:basedOn w:val="Normal"/>
    <w:qFormat/>
    <w:pPr>
      <w:spacing w:before="120" w:after="120"/>
    </w:pPr>
    <w:rPr>
      <w:rFonts w:cs="Tahoma"/>
      <w:i/>
      <w:iCs/>
      <w:sz w:val="20"/>
    </w:rPr>
  </w:style>
  <w:style w:type="paragraph" w:styleId="WW-Heading111111">
    <w:name w:val="WW-Heading111111"/>
    <w:basedOn w:val="Normal"/>
    <w:qFormat/>
    <w:pPr>
      <w:keepNext w:val="true"/>
      <w:spacing w:before="0" w:after="120"/>
    </w:pPr>
    <w:rPr>
      <w:rFonts w:ascii="Albany" w:hAnsi="Albany" w:eastAsia="Andale Sans UI" w:cs="Tahoma"/>
      <w:szCs w:val="28"/>
    </w:rPr>
  </w:style>
  <w:style w:type="paragraph" w:styleId="WW-Index11111">
    <w:name w:val="WW-Index11111"/>
    <w:basedOn w:val="Normal"/>
    <w:qFormat/>
    <w:pPr/>
    <w:rPr>
      <w:rFonts w:cs="Tahoma"/>
    </w:rPr>
  </w:style>
  <w:style w:type="paragraph" w:styleId="WW-Caption11111">
    <w:name w:val="WW-Caption11111"/>
    <w:basedOn w:val="Normal"/>
    <w:qFormat/>
    <w:pPr>
      <w:spacing w:before="120" w:after="120"/>
    </w:pPr>
    <w:rPr>
      <w:rFonts w:cs="Tahoma"/>
      <w:i/>
      <w:iCs/>
      <w:sz w:val="20"/>
    </w:rPr>
  </w:style>
  <w:style w:type="paragraph" w:styleId="WW-Heading11111">
    <w:name w:val="WW-Heading11111"/>
    <w:basedOn w:val="Normal"/>
    <w:qFormat/>
    <w:pPr>
      <w:keepNext w:val="true"/>
      <w:spacing w:before="0" w:after="120"/>
    </w:pPr>
    <w:rPr>
      <w:rFonts w:ascii="Albany" w:hAnsi="Albany" w:eastAsia="Andale Sans UI" w:cs="Tahoma"/>
      <w:szCs w:val="28"/>
    </w:rPr>
  </w:style>
  <w:style w:type="paragraph" w:styleId="WW-Index1111">
    <w:name w:val="WW-Index1111"/>
    <w:basedOn w:val="Normal"/>
    <w:qFormat/>
    <w:pPr/>
    <w:rPr>
      <w:rFonts w:cs="Tahoma"/>
    </w:rPr>
  </w:style>
  <w:style w:type="paragraph" w:styleId="WW-Caption1111">
    <w:name w:val="WW-Caption1111"/>
    <w:basedOn w:val="Normal"/>
    <w:qFormat/>
    <w:pPr>
      <w:spacing w:before="120" w:after="120"/>
    </w:pPr>
    <w:rPr>
      <w:rFonts w:cs="Tahoma"/>
      <w:i/>
      <w:iCs/>
      <w:sz w:val="20"/>
    </w:rPr>
  </w:style>
  <w:style w:type="paragraph" w:styleId="WW-Heading1111">
    <w:name w:val="WW-Heading1111"/>
    <w:basedOn w:val="Normal"/>
    <w:qFormat/>
    <w:pPr>
      <w:keepNext w:val="true"/>
      <w:spacing w:before="0" w:after="120"/>
    </w:pPr>
    <w:rPr>
      <w:rFonts w:ascii="Albany" w:hAnsi="Albany" w:eastAsia="Andale Sans UI" w:cs="Tahoma"/>
      <w:szCs w:val="28"/>
    </w:rPr>
  </w:style>
  <w:style w:type="paragraph" w:styleId="WW-Index111">
    <w:name w:val="WW-Index111"/>
    <w:basedOn w:val="Normal"/>
    <w:qFormat/>
    <w:pPr/>
    <w:rPr>
      <w:rFonts w:cs="Tahoma"/>
    </w:rPr>
  </w:style>
  <w:style w:type="paragraph" w:styleId="WW-Caption111">
    <w:name w:val="WW-Caption111"/>
    <w:basedOn w:val="Normal"/>
    <w:qFormat/>
    <w:pPr>
      <w:spacing w:before="120" w:after="120"/>
    </w:pPr>
    <w:rPr>
      <w:rFonts w:cs="Tahoma"/>
      <w:i/>
      <w:iCs/>
      <w:sz w:val="20"/>
    </w:rPr>
  </w:style>
  <w:style w:type="paragraph" w:styleId="WW-Heading111">
    <w:name w:val="WW-Heading111"/>
    <w:basedOn w:val="Normal"/>
    <w:qFormat/>
    <w:pPr>
      <w:keepNext w:val="true"/>
      <w:spacing w:before="0" w:after="120"/>
    </w:pPr>
    <w:rPr>
      <w:rFonts w:ascii="Albany" w:hAnsi="Albany" w:eastAsia="Andale Sans UI" w:cs="Tahoma"/>
      <w:szCs w:val="28"/>
    </w:rPr>
  </w:style>
  <w:style w:type="paragraph" w:styleId="WW-Index11">
    <w:name w:val="WW-Index11"/>
    <w:basedOn w:val="Normal"/>
    <w:qFormat/>
    <w:pPr/>
    <w:rPr>
      <w:rFonts w:cs="Tahoma"/>
    </w:rPr>
  </w:style>
  <w:style w:type="paragraph" w:styleId="WW-Caption11">
    <w:name w:val="WW-Caption11"/>
    <w:basedOn w:val="Normal"/>
    <w:qFormat/>
    <w:pPr>
      <w:spacing w:before="120" w:after="120"/>
    </w:pPr>
    <w:rPr>
      <w:rFonts w:cs="Tahoma"/>
      <w:i/>
      <w:iCs/>
      <w:sz w:val="20"/>
    </w:rPr>
  </w:style>
  <w:style w:type="paragraph" w:styleId="WW-Heading11">
    <w:name w:val="WW-Heading11"/>
    <w:basedOn w:val="Normal"/>
    <w:qFormat/>
    <w:pPr>
      <w:keepNext w:val="true"/>
      <w:spacing w:before="0" w:after="120"/>
    </w:pPr>
    <w:rPr>
      <w:rFonts w:ascii="Albany" w:hAnsi="Albany" w:eastAsia="Andale Sans UI" w:cs="Tahoma"/>
      <w:szCs w:val="28"/>
    </w:rPr>
  </w:style>
  <w:style w:type="paragraph" w:styleId="WW-Index1">
    <w:name w:val="WW-Index1"/>
    <w:basedOn w:val="Normal"/>
    <w:qFormat/>
    <w:pPr/>
    <w:rPr>
      <w:rFonts w:cs="Tahoma"/>
    </w:rPr>
  </w:style>
  <w:style w:type="paragraph" w:styleId="WW-Caption1">
    <w:name w:val="WW-Caption1"/>
    <w:basedOn w:val="Normal"/>
    <w:qFormat/>
    <w:pPr>
      <w:spacing w:before="120" w:after="120"/>
    </w:pPr>
    <w:rPr>
      <w:rFonts w:cs="Tahoma"/>
      <w:i/>
      <w:iCs/>
      <w:sz w:val="20"/>
    </w:rPr>
  </w:style>
  <w:style w:type="paragraph" w:styleId="WW-Heading1">
    <w:name w:val="WW-Heading1"/>
    <w:basedOn w:val="Normal"/>
    <w:qFormat/>
    <w:pPr>
      <w:keepNext w:val="true"/>
      <w:spacing w:before="0" w:after="120"/>
    </w:pPr>
    <w:rPr>
      <w:rFonts w:ascii="Albany" w:hAnsi="Albany" w:eastAsia="Andale Sans UI" w:cs="Tahoma"/>
      <w:szCs w:val="28"/>
    </w:rPr>
  </w:style>
  <w:style w:type="paragraph" w:styleId="WW-Index">
    <w:name w:val="WW-Index"/>
    <w:basedOn w:val="Normal"/>
    <w:qFormat/>
    <w:pPr/>
    <w:rPr>
      <w:rFonts w:cs="Tahoma"/>
    </w:rPr>
  </w:style>
  <w:style w:type="paragraph" w:styleId="WW-Caption">
    <w:name w:val="WW-Caption"/>
    <w:basedOn w:val="Normal"/>
    <w:qFormat/>
    <w:pPr>
      <w:spacing w:before="120" w:after="120"/>
    </w:pPr>
    <w:rPr>
      <w:rFonts w:cs="Tahoma"/>
      <w:i/>
      <w:iCs/>
      <w:sz w:val="20"/>
    </w:rPr>
  </w:style>
  <w:style w:type="paragraph" w:styleId="Caption2">
    <w:name w:val="caption"/>
    <w:basedOn w:val="Normal"/>
    <w:qFormat/>
    <w:pPr>
      <w:spacing w:before="120" w:after="120"/>
    </w:pPr>
    <w:rPr>
      <w:rFonts w:cs="Tahoma"/>
      <w:i/>
      <w:iCs/>
      <w:sz w:val="20"/>
    </w:rPr>
  </w:style>
  <w:style w:type="paragraph" w:styleId="Header">
    <w:name w:val="Header"/>
    <w:basedOn w:val="Normal"/>
    <w:pPr>
      <w:tabs>
        <w:tab w:val="clear" w:pos="709"/>
        <w:tab w:val="center" w:pos="4153" w:leader="none"/>
        <w:tab w:val="right" w:pos="8306" w:leader="none"/>
      </w:tabs>
    </w:pPr>
    <w:rPr>
      <w:sz w:val="20"/>
    </w:rPr>
  </w:style>
  <w:style w:type="paragraph" w:styleId="Footer">
    <w:name w:val="Footer"/>
    <w:basedOn w:val="Normal"/>
    <w:pPr>
      <w:tabs>
        <w:tab w:val="clear" w:pos="709"/>
        <w:tab w:val="center" w:pos="4153" w:leader="none"/>
        <w:tab w:val="right" w:pos="8306" w:leader="none"/>
      </w:tabs>
    </w:pPr>
    <w:rPr>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isto@beaumont.ie" TargetMode="External"/><Relationship Id="rId3" Type="http://schemas.openxmlformats.org/officeDocument/2006/relationships/hyperlink" Target="mailto:transplantcoordina@beaumont.ie" TargetMode="External"/><Relationship Id="rId4" Type="http://schemas.openxmlformats.org/officeDocument/2006/relationships/hyperlink" Target="mailto:crossmatch@beaumont.ie" TargetMode="External"/><Relationship Id="rId5" Type="http://schemas.openxmlformats.org/officeDocument/2006/relationships/hyperlink" Target="http://my.beaumont.ie/Pages/Forms/AllItems.aspx?RootFolder=/Pages/Departments/Information Communications Technology/Project Coral/Med Lis Training/Point of Care Testing&amp;FolderCTID=0x01200086897FB0688FE14B9E085D77A5B35581&amp;View={8AFB3C5A-A0C6-4A54-AAE0-C0C79CF0393A}&amp;InitialTabId=Ribbon.Document&amp;VisibilityContext=WSSTabPersistence" TargetMode="External"/><Relationship Id="rId6" Type="http://schemas.openxmlformats.org/officeDocument/2006/relationships/image" Target="media/image1.wmf"/><Relationship Id="rId7" Type="http://schemas.openxmlformats.org/officeDocument/2006/relationships/image" Target="media/image2.wmf"/><Relationship Id="rId8" Type="http://schemas.openxmlformats.org/officeDocument/2006/relationships/image" Target="media/image3.wmf"/><Relationship Id="rId9" Type="http://schemas.openxmlformats.org/officeDocument/2006/relationships/image" Target="media/image4.wmf"/><Relationship Id="rId10" Type="http://schemas.openxmlformats.org/officeDocument/2006/relationships/image" Target="media/image4.wmf"/><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www.beaumont.ie/index.jsp?a=41&amp;n=184&amp;p=105"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www.nrvl.ie/" TargetMode="External"/><Relationship Id="rId24" Type="http://schemas.openxmlformats.org/officeDocument/2006/relationships/hyperlink" Target="../../../Downloads/%20http://www.stjames.ie/media/Haemoglobinopathy%20Request%20Form%202018.docx%20%20%20" TargetMode="External"/><Relationship Id="rId25" Type="http://schemas.openxmlformats.org/officeDocument/2006/relationships/hyperlink" Target="https://www.stjames.ie/labmedinformation/gpexternalrequestforms/" TargetMode="External"/><Relationship Id="rId26" Type="http://schemas.openxmlformats.org/officeDocument/2006/relationships/hyperlink" Target="mailto:crossmatch@beaumont.ie" TargetMode="External"/><Relationship Id="rId27" Type="http://schemas.openxmlformats.org/officeDocument/2006/relationships/hyperlink" Target="mailto:crossmatch@beaumont.ie"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LibreOffice/7.5.4.2$MacOSX_X86_64 LibreOffice_project/36ccfdc35048b057fd9854c757a8b67ec53977b6</Application>
  <AppVersion>15.0000</AppVersion>
  <Pages>87</Pages>
  <Words>26952</Words>
  <Characters>145740</Characters>
  <CharactersWithSpaces>167730</CharactersWithSpaces>
  <Paragraphs>5669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2025-05-28T23:09:03Z</dcterms:created>
  <dc:creator/>
  <dc:description/>
  <dc:language>en-GB</dc:language>
  <cp:lastModifiedBy/>
  <dcterms:modified xsi:type="dcterms:W3CDTF">2025-06-02T21:01:39Z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