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3A0E" w:rsidRDefault="00E13A0E">
      <w:pPr>
        <w:rPr>
          <w:rFonts w:ascii="Arial" w:hAnsi="Arial" w:cs="Arial"/>
          <w:color w:val="373A3C"/>
          <w:shd w:val="clear" w:color="auto" w:fill="F9F9F9"/>
        </w:rPr>
      </w:pPr>
    </w:p>
    <w:p w:rsidR="00E13A0E" w:rsidRPr="005C6B44" w:rsidRDefault="00E13A0E">
      <w:r w:rsidRPr="005C6B44">
        <w:t>Hi Daniela,</w:t>
      </w:r>
    </w:p>
    <w:p w:rsidR="00E114EC" w:rsidRPr="00B138F5" w:rsidRDefault="00B138F5" w:rsidP="00E114EC">
      <w:r w:rsidRPr="00B138F5">
        <w:t xml:space="preserve">All actions in my firm are carried out in accordance with the applicable standard operating procedures put in place to handle issues such as data security and confidentiality. We have policies in place as a research organization that detail how long data should be kept and when it should be discarded. According to GDPR Article 5(1)(e), personal data shall be retained "for no longer than is necessary for the purposes for which </w:t>
      </w:r>
      <w:r>
        <w:t>the personal data are processed</w:t>
      </w:r>
      <w:r w:rsidRPr="00B138F5">
        <w:t xml:space="preserve">" </w:t>
      </w:r>
      <w:r w:rsidR="00A5732A" w:rsidRPr="005C6B44">
        <w:t>(European Union General Data Protection Regulation) (GDPR), 2016)</w:t>
      </w:r>
      <w:r w:rsidR="00E114EC">
        <w:t>.</w:t>
      </w:r>
      <w:r w:rsidR="00E114EC" w:rsidRPr="005C6B44">
        <w:t xml:space="preserve"> </w:t>
      </w:r>
      <w:r w:rsidR="005C6B44" w:rsidRPr="005C6B44">
        <w:t>The Data Protection and Privacy Act of Uganda 2019 mandates us not to keep personal data for longer than required, and our policy prohibits us from keeping clinical data for more than 15 years</w:t>
      </w:r>
      <w:r w:rsidR="00E114EC" w:rsidRPr="005C6B44">
        <w:t xml:space="preserve"> (The Republic of Uganda, 2019).</w:t>
      </w:r>
    </w:p>
    <w:p w:rsidR="00E13A0E" w:rsidRPr="00AB6B8A" w:rsidRDefault="005C6B44">
      <w:r w:rsidRPr="005C6B44">
        <w:t xml:space="preserve">All devices used for data collecting are encrypted. In user account management, we apply the principle of least privilege to limit the access and permissions allowed to users depending </w:t>
      </w:r>
      <w:r>
        <w:t>on their position or work needs</w:t>
      </w:r>
      <w:r w:rsidRPr="005C6B44">
        <w:t xml:space="preserve"> (</w:t>
      </w:r>
      <w:r w:rsidR="00034129">
        <w:t>Ruixuan et al.</w:t>
      </w:r>
      <w:r w:rsidR="00034129" w:rsidRPr="005C6B44">
        <w:t>)</w:t>
      </w:r>
      <w:r w:rsidR="00A16B67" w:rsidRPr="005C6B44">
        <w:t xml:space="preserve">. </w:t>
      </w:r>
      <w:r w:rsidRPr="005C6B44">
        <w:t xml:space="preserve">Physical media and paper documents are kept in a secure </w:t>
      </w:r>
      <w:r>
        <w:t xml:space="preserve">data archive </w:t>
      </w:r>
      <w:r w:rsidRPr="005C6B44">
        <w:t>facility with restricted access. To preserve the privacy of research participants, the digital files are anonymized or de-identified. Our firm takes the security of our data and network extremely seriously in order to reduce cyber-attacks, and we have established many steps to defend against unauthorized access, data breaches, and other security concerns.</w:t>
      </w:r>
    </w:p>
    <w:p w:rsidR="005C6B44" w:rsidRDefault="005C6B44" w:rsidP="0084557C">
      <w:r w:rsidRPr="005C6B44">
        <w:t xml:space="preserve">According to </w:t>
      </w:r>
      <w:proofErr w:type="spellStart"/>
      <w:r w:rsidRPr="005C6B44">
        <w:t>Adil</w:t>
      </w:r>
      <w:proofErr w:type="spellEnd"/>
      <w:r w:rsidRPr="005C6B44">
        <w:t xml:space="preserve"> et al. (2020), the modern healthcare industry has become a primary target of bot</w:t>
      </w:r>
      <w:r>
        <w:t>h external and internal attacks</w:t>
      </w:r>
      <w:r w:rsidR="00B87671" w:rsidRPr="005C6B44">
        <w:t>.</w:t>
      </w:r>
      <w:r w:rsidR="00B87671" w:rsidRPr="00AB6B8A">
        <w:t xml:space="preserve"> </w:t>
      </w:r>
      <w:r w:rsidRPr="005C6B44">
        <w:t>We have implemented Sophos Endpoint Protection and Sophos Central to protect against malware and other security threats. These solutions protect against viruses, spyware, and other types of malware in real time, and they also include advanced features such as web filtering, application control, and device control.</w:t>
      </w:r>
      <w:r>
        <w:t xml:space="preserve"> </w:t>
      </w:r>
      <w:r w:rsidRPr="005C6B44">
        <w:t>In addition to these safeguards, we perform regular server snapshots to ensure that we have a backup in the event of a data loss or other catastrophic event. We store these snapshots offsite in a data recovery center 5km from our primary location, ensuring that we have a redundant copy of our data in the event of a disaster.</w:t>
      </w:r>
      <w:r>
        <w:t xml:space="preserve"> </w:t>
      </w:r>
    </w:p>
    <w:p w:rsidR="00A5732A" w:rsidRDefault="005C6B44" w:rsidP="00034129">
      <w:r w:rsidRPr="005C6B44">
        <w:t>Overall, I believe that these measures provide strong defense against security threats and contribute to the confidentiality, integrity, and availability of our organizational data.</w:t>
      </w:r>
    </w:p>
    <w:p w:rsidR="005C6B44" w:rsidRDefault="005C6B44" w:rsidP="00034129"/>
    <w:p w:rsidR="005C6B44" w:rsidRDefault="005C6B44" w:rsidP="00034129">
      <w:r>
        <w:t>References:</w:t>
      </w:r>
    </w:p>
    <w:p w:rsidR="00034129" w:rsidRDefault="00034129" w:rsidP="00034129">
      <w:r>
        <w:t>Ruixuan</w:t>
      </w:r>
      <w:r w:rsidR="00FD536A">
        <w:t>,</w:t>
      </w:r>
      <w:r>
        <w:t xml:space="preserve"> L., </w:t>
      </w:r>
      <w:proofErr w:type="spellStart"/>
      <w:r>
        <w:t>Zhengding</w:t>
      </w:r>
      <w:proofErr w:type="spellEnd"/>
      <w:r w:rsidR="00FD536A">
        <w:t>,</w:t>
      </w:r>
      <w:r>
        <w:t xml:space="preserve"> L., </w:t>
      </w:r>
      <w:proofErr w:type="spellStart"/>
      <w:r>
        <w:t>Jianfeng</w:t>
      </w:r>
      <w:proofErr w:type="spellEnd"/>
      <w:r w:rsidR="00FD536A">
        <w:t>,</w:t>
      </w:r>
      <w:r>
        <w:t xml:space="preserve"> </w:t>
      </w:r>
      <w:r w:rsidR="00A5732A">
        <w:t>L. (</w:t>
      </w:r>
      <w:r w:rsidR="00FD536A">
        <w:t>2011</w:t>
      </w:r>
      <w:r w:rsidR="00A5732A">
        <w:t>) Specifying</w:t>
      </w:r>
      <w:r w:rsidRPr="00034129">
        <w:t xml:space="preserve"> and enforcing the principle of least privilege in role-based access control</w:t>
      </w:r>
      <w:r w:rsidR="00FD536A">
        <w:t xml:space="preserve">: </w:t>
      </w:r>
      <w:proofErr w:type="spellStart"/>
      <w:r w:rsidR="00FD536A">
        <w:t>ResearchGate</w:t>
      </w:r>
      <w:proofErr w:type="spellEnd"/>
    </w:p>
    <w:p w:rsidR="00E114EC" w:rsidRPr="00A5732A" w:rsidRDefault="00E114EC" w:rsidP="00E114EC">
      <w:r w:rsidRPr="00A5732A">
        <w:t xml:space="preserve">The Republic of Uganda. (2019). The Data Protection and Privacy Act, 2019. Available from: </w:t>
      </w:r>
      <w:hyperlink r:id="rId4" w:history="1">
        <w:r w:rsidRPr="00A5732A">
          <w:t>https://ict.go.ug/wp-content/uploads/2019/03/Data-Protection-and-Privacy-Act-2019.pdf</w:t>
        </w:r>
      </w:hyperlink>
      <w:r w:rsidRPr="00A5732A">
        <w:t xml:space="preserve"> [Accessed 10 March 2023]</w:t>
      </w:r>
    </w:p>
    <w:p w:rsidR="00A5732A" w:rsidRDefault="00A5732A" w:rsidP="00E114EC">
      <w:r w:rsidRPr="00A5732A">
        <w:t xml:space="preserve">European Union General Data Protection Regulation (GDPR). (2016). Available from: </w:t>
      </w:r>
      <w:hyperlink r:id="rId5" w:history="1">
        <w:r w:rsidRPr="005C6B44">
          <w:t>https://eur-lex.europa.eu/legal-content/EN/TXT/?qid=1532348683434&amp;uri=CELEX:02016R0679-20160504</w:t>
        </w:r>
      </w:hyperlink>
    </w:p>
    <w:p w:rsidR="00A5732A" w:rsidRDefault="00A5732A" w:rsidP="00E114EC"/>
    <w:p w:rsidR="00A5732A" w:rsidRPr="00A5732A" w:rsidRDefault="00A5732A" w:rsidP="00A5732A">
      <w:hyperlink r:id="rId6" w:history="1">
        <w:proofErr w:type="spellStart"/>
        <w:r w:rsidRPr="00A5732A">
          <w:t>Adil</w:t>
        </w:r>
        <w:proofErr w:type="spellEnd"/>
        <w:r w:rsidRPr="00A5732A">
          <w:t>, S</w:t>
        </w:r>
        <w:r>
          <w:t>.</w:t>
        </w:r>
      </w:hyperlink>
      <w:r w:rsidRPr="00A5732A">
        <w:t>,</w:t>
      </w:r>
      <w:r>
        <w:t xml:space="preserve"> </w:t>
      </w:r>
      <w:hyperlink r:id="rId7" w:history="1">
        <w:r>
          <w:t>Mohammad,Z.</w:t>
        </w:r>
      </w:hyperlink>
      <w:r w:rsidRPr="00A5732A">
        <w:t>,</w:t>
      </w:r>
      <w:proofErr w:type="spellStart"/>
      <w:r>
        <w:fldChar w:fldCharType="begin"/>
      </w:r>
      <w:r>
        <w:instrText xml:space="preserve"> HYPERLINK "https://pubmed.ncbi.nlm.nih.gov/?term=Alenezi%20M%5BAuthor%5D" </w:instrText>
      </w:r>
      <w:r>
        <w:fldChar w:fldCharType="separate"/>
      </w:r>
      <w:r w:rsidRPr="00A5732A">
        <w:t>Mamdouh</w:t>
      </w:r>
      <w:proofErr w:type="spellEnd"/>
      <w:r w:rsidRPr="00A5732A">
        <w:t xml:space="preserve"> </w:t>
      </w:r>
      <w:r>
        <w:t>,A.</w:t>
      </w:r>
      <w:r>
        <w:fldChar w:fldCharType="end"/>
      </w:r>
      <w:r w:rsidRPr="00A5732A">
        <w:t>, </w:t>
      </w:r>
      <w:proofErr w:type="spellStart"/>
      <w:r>
        <w:fldChar w:fldCharType="begin"/>
      </w:r>
      <w:r>
        <w:instrText xml:space="preserve"> HYPERLINK "https://pubmed.ncbi.nlm.nih.gov/?term=Sarkar%20AK%5BAuthor%5D" </w:instrText>
      </w:r>
      <w:r>
        <w:fldChar w:fldCharType="separate"/>
      </w:r>
      <w:r>
        <w:t>Amal,S.</w:t>
      </w:r>
      <w:r>
        <w:fldChar w:fldCharType="end"/>
      </w:r>
      <w:r w:rsidRPr="00A5732A">
        <w:t>,</w:t>
      </w:r>
      <w:hyperlink r:id="rId8" w:history="1">
        <w:r w:rsidRPr="00A5732A">
          <w:t>Alka</w:t>
        </w:r>
        <w:r>
          <w:t>,A</w:t>
        </w:r>
      </w:hyperlink>
      <w:r>
        <w:t>.</w:t>
      </w:r>
      <w:r w:rsidRPr="00A5732A">
        <w:t>,</w:t>
      </w:r>
      <w:hyperlink r:id="rId9" w:history="1">
        <w:r w:rsidRPr="00A5732A">
          <w:t>Rajeev</w:t>
        </w:r>
        <w:proofErr w:type="spellEnd"/>
        <w:r w:rsidRPr="00A5732A">
          <w:t xml:space="preserve"> </w:t>
        </w:r>
        <w:r>
          <w:t>,K.</w:t>
        </w:r>
      </w:hyperlink>
      <w:r w:rsidRPr="00A5732A">
        <w:t>,</w:t>
      </w:r>
      <w:r>
        <w:t xml:space="preserve"> </w:t>
      </w:r>
      <w:hyperlink r:id="rId10" w:history="1">
        <w:proofErr w:type="spellStart"/>
        <w:r w:rsidRPr="00A5732A">
          <w:t>Raees</w:t>
        </w:r>
        <w:proofErr w:type="spellEnd"/>
        <w:r w:rsidRPr="00A5732A">
          <w:t xml:space="preserve"> </w:t>
        </w:r>
        <w:r>
          <w:t>,</w:t>
        </w:r>
      </w:hyperlink>
      <w:r>
        <w:t xml:space="preserve">K. (2020) </w:t>
      </w:r>
      <w:r w:rsidRPr="00A5732A">
        <w:t>Healthcare Data Breaches: Insights and Implications</w:t>
      </w:r>
      <w:r w:rsidR="00B87671">
        <w:t>: National Library of Medicine. PubMed Central</w:t>
      </w:r>
    </w:p>
    <w:p w:rsidR="00A5732A" w:rsidRPr="00A5732A" w:rsidRDefault="00A5732A" w:rsidP="00A5732A"/>
    <w:p w:rsidR="00E114EC" w:rsidRPr="005C6B44" w:rsidRDefault="00E114EC" w:rsidP="00034129"/>
    <w:p w:rsidR="00034129" w:rsidRDefault="00034129" w:rsidP="0084557C"/>
    <w:p w:rsidR="00034129" w:rsidRDefault="00F35CC0" w:rsidP="0084557C">
      <w:r>
        <w:t xml:space="preserve">Hi </w:t>
      </w:r>
      <w:proofErr w:type="spellStart"/>
      <w:r>
        <w:t>Asnai</w:t>
      </w:r>
      <w:proofErr w:type="spellEnd"/>
      <w:r>
        <w:t xml:space="preserve">, </w:t>
      </w:r>
    </w:p>
    <w:p w:rsidR="00F35CC0" w:rsidRDefault="00083AE1" w:rsidP="00F35CC0">
      <w:r w:rsidRPr="00083AE1">
        <w:t>Excellent submission; I especially like your conclusion, which states that there should be a single universal data protection law to make it easier for businesses to implement and comply. I wholeheartedly agree, and in Uganda, the data protection privacy act of 2016 was based on the GDPR in order to achieve compliance with international laws.</w:t>
      </w:r>
      <w:r w:rsidR="00F35CC0">
        <w:t xml:space="preserve"> </w:t>
      </w:r>
      <w:r w:rsidR="00F35CC0" w:rsidRPr="005C6B44">
        <w:t>(The Republic of Uganda, 2019).</w:t>
      </w:r>
    </w:p>
    <w:p w:rsidR="00083AE1" w:rsidRPr="00083AE1" w:rsidRDefault="00083AE1" w:rsidP="00F35CC0">
      <w:r w:rsidRPr="00083AE1">
        <w:t xml:space="preserve">I am aware that the GDPR allows Member States to enact specific national procedures to safeguard national security and defense. Such measures, however, must be in accordance with the GDPR's broad principles and objectives. </w:t>
      </w:r>
      <w:r w:rsidR="00F35CC0" w:rsidRPr="00083AE1">
        <w:t xml:space="preserve">(European Union, 2016, Article 23). </w:t>
      </w:r>
    </w:p>
    <w:p w:rsidR="00F35CC0" w:rsidRPr="00083AE1" w:rsidRDefault="00083AE1" w:rsidP="00F35CC0">
      <w:r w:rsidRPr="00083AE1">
        <w:t>You mentioned that it is difficult to implement some of the private laws related to GDPR; in your opinion, what should take precedence between internal law and local data protection policies? (Saryu,2022)</w:t>
      </w:r>
      <w:r w:rsidR="00D61C64" w:rsidRPr="00083AE1">
        <w:t>.</w:t>
      </w:r>
      <w:r w:rsidR="00F35CC0" w:rsidRPr="00083AE1">
        <w:t xml:space="preserve"> </w:t>
      </w:r>
    </w:p>
    <w:p w:rsidR="00083AE1" w:rsidRDefault="00083AE1" w:rsidP="00F35CC0"/>
    <w:p w:rsidR="00F35CC0" w:rsidRDefault="00F35CC0" w:rsidP="00F35CC0">
      <w:r>
        <w:t>References:</w:t>
      </w:r>
    </w:p>
    <w:p w:rsidR="00F35CC0" w:rsidRDefault="00F35CC0" w:rsidP="00F35CC0">
      <w:r w:rsidRPr="00A5732A">
        <w:t xml:space="preserve">The Republic of Uganda. (2019). The Data Protection and Privacy Act, 2019. Available from: </w:t>
      </w:r>
      <w:hyperlink r:id="rId11" w:history="1">
        <w:r w:rsidRPr="00A5732A">
          <w:t>https://ict.go.ug/wp-content/uploads/2019/03/Data-Protection-and-Privacy-Act-2019.pdf</w:t>
        </w:r>
      </w:hyperlink>
      <w:r w:rsidRPr="00A5732A">
        <w:t xml:space="preserve"> [Accessed 10 March 2023]</w:t>
      </w:r>
    </w:p>
    <w:p w:rsidR="00F35CC0" w:rsidRDefault="00F35CC0" w:rsidP="00F35CC0">
      <w:r w:rsidRPr="00F35CC0">
        <w:t>European Union General Da</w:t>
      </w:r>
      <w:r w:rsidR="00F1523A">
        <w:t>ta Protection Regulation (GDPR)</w:t>
      </w:r>
      <w:r w:rsidRPr="00F35CC0">
        <w:t xml:space="preserve"> (2016). Available from: </w:t>
      </w:r>
      <w:hyperlink r:id="rId12" w:history="1">
        <w:r w:rsidR="00D61C64" w:rsidRPr="00083AE1">
          <w:t>https://eur-lex.europa.eu/legal-content/EN/TXT/?qid=1532348683434&amp;uri=CELEX:02016R0679-20160504</w:t>
        </w:r>
      </w:hyperlink>
    </w:p>
    <w:p w:rsidR="00D61C64" w:rsidRPr="00D61C64" w:rsidRDefault="00D61C64" w:rsidP="00D61C64">
      <w:pPr>
        <w:pStyle w:val="Heading1"/>
        <w:shd w:val="clear" w:color="auto" w:fill="FCFCFC"/>
        <w:spacing w:before="120" w:beforeAutospacing="0" w:after="0" w:afterAutospacing="0"/>
        <w:rPr>
          <w:rFonts w:asciiTheme="minorHAnsi" w:eastAsiaTheme="minorHAnsi" w:hAnsiTheme="minorHAnsi" w:cstheme="minorBidi"/>
          <w:b w:val="0"/>
          <w:bCs w:val="0"/>
          <w:kern w:val="0"/>
          <w:sz w:val="22"/>
          <w:szCs w:val="22"/>
        </w:rPr>
      </w:pPr>
      <w:r w:rsidRPr="00D61C64">
        <w:rPr>
          <w:rFonts w:asciiTheme="minorHAnsi" w:eastAsiaTheme="minorHAnsi" w:hAnsiTheme="minorHAnsi" w:cstheme="minorBidi"/>
          <w:b w:val="0"/>
          <w:bCs w:val="0"/>
          <w:kern w:val="0"/>
          <w:sz w:val="22"/>
          <w:szCs w:val="22"/>
        </w:rPr>
        <w:t xml:space="preserve">Saryu, </w:t>
      </w:r>
      <w:r w:rsidR="00083AE1" w:rsidRPr="00D61C64">
        <w:rPr>
          <w:rFonts w:asciiTheme="minorHAnsi" w:eastAsiaTheme="minorHAnsi" w:hAnsiTheme="minorHAnsi" w:cstheme="minorBidi"/>
          <w:b w:val="0"/>
          <w:bCs w:val="0"/>
          <w:kern w:val="0"/>
          <w:sz w:val="22"/>
          <w:szCs w:val="22"/>
        </w:rPr>
        <w:t>N. (</w:t>
      </w:r>
      <w:r w:rsidRPr="00D61C64">
        <w:rPr>
          <w:rFonts w:asciiTheme="minorHAnsi" w:eastAsiaTheme="minorHAnsi" w:hAnsiTheme="minorHAnsi" w:cstheme="minorBidi"/>
          <w:b w:val="0"/>
          <w:bCs w:val="0"/>
          <w:kern w:val="0"/>
          <w:sz w:val="22"/>
          <w:szCs w:val="22"/>
        </w:rPr>
        <w:t>2022)</w:t>
      </w:r>
      <w:r>
        <w:rPr>
          <w:rFonts w:asciiTheme="minorHAnsi" w:eastAsiaTheme="minorHAnsi" w:hAnsiTheme="minorHAnsi" w:cstheme="minorBidi"/>
          <w:b w:val="0"/>
          <w:bCs w:val="0"/>
          <w:kern w:val="0"/>
          <w:sz w:val="22"/>
          <w:szCs w:val="22"/>
        </w:rPr>
        <w:t xml:space="preserve"> </w:t>
      </w:r>
      <w:r w:rsidRPr="00D61C64">
        <w:rPr>
          <w:rFonts w:asciiTheme="minorHAnsi" w:eastAsiaTheme="minorHAnsi" w:hAnsiTheme="minorHAnsi" w:cstheme="minorBidi"/>
          <w:b w:val="0"/>
          <w:bCs w:val="0"/>
          <w:kern w:val="0"/>
          <w:sz w:val="22"/>
          <w:szCs w:val="22"/>
        </w:rPr>
        <w:t xml:space="preserve">Is It Time </w:t>
      </w:r>
      <w:proofErr w:type="gramStart"/>
      <w:r w:rsidRPr="00D61C64">
        <w:rPr>
          <w:rFonts w:asciiTheme="minorHAnsi" w:eastAsiaTheme="minorHAnsi" w:hAnsiTheme="minorHAnsi" w:cstheme="minorBidi"/>
          <w:b w:val="0"/>
          <w:bCs w:val="0"/>
          <w:kern w:val="0"/>
          <w:sz w:val="22"/>
          <w:szCs w:val="22"/>
        </w:rPr>
        <w:t>For</w:t>
      </w:r>
      <w:proofErr w:type="gramEnd"/>
      <w:r w:rsidRPr="00D61C64">
        <w:rPr>
          <w:rFonts w:asciiTheme="minorHAnsi" w:eastAsiaTheme="minorHAnsi" w:hAnsiTheme="minorHAnsi" w:cstheme="minorBidi"/>
          <w:b w:val="0"/>
          <w:bCs w:val="0"/>
          <w:kern w:val="0"/>
          <w:sz w:val="22"/>
          <w:szCs w:val="22"/>
        </w:rPr>
        <w:t xml:space="preserve"> A U.S. Version Of GDPR?</w:t>
      </w:r>
      <w:r>
        <w:rPr>
          <w:rFonts w:asciiTheme="minorHAnsi" w:eastAsiaTheme="minorHAnsi" w:hAnsiTheme="minorHAnsi" w:cstheme="minorBidi"/>
          <w:b w:val="0"/>
          <w:bCs w:val="0"/>
          <w:kern w:val="0"/>
          <w:sz w:val="22"/>
          <w:szCs w:val="22"/>
        </w:rPr>
        <w:t xml:space="preserve"> </w:t>
      </w:r>
      <w:r w:rsidR="00083AE1" w:rsidRPr="00083AE1">
        <w:rPr>
          <w:rFonts w:asciiTheme="minorHAnsi" w:eastAsiaTheme="minorHAnsi" w:hAnsiTheme="minorHAnsi" w:cstheme="minorBidi"/>
          <w:b w:val="0"/>
          <w:bCs w:val="0"/>
          <w:kern w:val="0"/>
          <w:sz w:val="22"/>
          <w:szCs w:val="22"/>
        </w:rPr>
        <w:t xml:space="preserve">Forbes. Available from: </w:t>
      </w:r>
      <w:hyperlink r:id="rId13" w:history="1">
        <w:r w:rsidR="00083AE1" w:rsidRPr="00083AE1">
          <w:rPr>
            <w:rFonts w:asciiTheme="minorHAnsi" w:eastAsiaTheme="minorHAnsi" w:hAnsiTheme="minorHAnsi" w:cstheme="minorBidi"/>
            <w:b w:val="0"/>
            <w:bCs w:val="0"/>
            <w:kern w:val="0"/>
            <w:sz w:val="22"/>
            <w:szCs w:val="22"/>
          </w:rPr>
          <w:t>https://www.forbes.com/sites/forbestechcouncil/2022/02/01/is-it-time-for-a-us-version-of-gdpr/?sh=cf136d7637a3</w:t>
        </w:r>
      </w:hyperlink>
      <w:r w:rsidR="00083AE1" w:rsidRPr="00083AE1">
        <w:rPr>
          <w:rFonts w:asciiTheme="minorHAnsi" w:eastAsiaTheme="minorHAnsi" w:hAnsiTheme="minorHAnsi" w:cstheme="minorBidi"/>
          <w:b w:val="0"/>
          <w:bCs w:val="0"/>
          <w:kern w:val="0"/>
          <w:sz w:val="22"/>
          <w:szCs w:val="22"/>
        </w:rPr>
        <w:t xml:space="preserve"> [Accessed 18 March 2023]</w:t>
      </w:r>
    </w:p>
    <w:p w:rsidR="00D61C64" w:rsidRDefault="00D61C64" w:rsidP="00F35CC0"/>
    <w:p w:rsidR="00F35CC0" w:rsidRDefault="00F35CC0">
      <w:r>
        <w:br w:type="page"/>
      </w:r>
    </w:p>
    <w:p w:rsidR="00F35CC0" w:rsidRPr="00A5732A" w:rsidRDefault="00F35CC0" w:rsidP="00F35CC0"/>
    <w:p w:rsidR="00F35CC0" w:rsidRPr="00B138F5" w:rsidRDefault="00F35CC0" w:rsidP="00F35CC0"/>
    <w:p w:rsidR="00F35CC0" w:rsidRDefault="00F35CC0" w:rsidP="0084557C">
      <w:r>
        <w:t xml:space="preserve">. </w:t>
      </w:r>
    </w:p>
    <w:p w:rsidR="00034129" w:rsidRDefault="00034129" w:rsidP="0084557C"/>
    <w:p w:rsidR="0084557C" w:rsidRPr="00AB6B8A" w:rsidRDefault="0084557C"/>
    <w:p w:rsidR="007179CE" w:rsidRDefault="007179CE">
      <w:r>
        <w:t>Hi Alexander,</w:t>
      </w:r>
    </w:p>
    <w:p w:rsidR="00123FC2" w:rsidRDefault="00123FC2" w:rsidP="00C42B9E">
      <w:r w:rsidRPr="00123FC2">
        <w:t xml:space="preserve">In response to your concerns raised in your article, </w:t>
      </w:r>
      <w:proofErr w:type="spellStart"/>
      <w:r w:rsidRPr="00123FC2">
        <w:t>Asnai's</w:t>
      </w:r>
      <w:proofErr w:type="spellEnd"/>
      <w:r w:rsidRPr="00123FC2">
        <w:t xml:space="preserve"> initial post argues that there is a need to streamline data laws through international regulation. According to Abi Tyas (2022), Brazil's General Data Protection Law was closely modeled after the European Union's General Data Protection Regulation (GDPR), and the LGPD, like GDPR, has far-reaching implications for data processing activities both within and outside of Brazil.</w:t>
      </w:r>
    </w:p>
    <w:p w:rsidR="00123FC2" w:rsidRDefault="00F1523A" w:rsidP="00C42B9E">
      <w:r w:rsidRPr="00C42B9E">
        <w:t xml:space="preserve">Bernard (2022) </w:t>
      </w:r>
      <w:r w:rsidR="00123FC2" w:rsidRPr="00123FC2">
        <w:t>discusses the importance of non-EU affiliates of multinational corporations complying with the General Data Protection Regulation (GDPR) in order to ensure that cross-border data transfers comply with GDPR requirements, particularly if the company has customers in the EU. Similarly, the California Consumer Privacy Act (CCPA) is compared to the EU's General Data Protection Regulation (GDPR).</w:t>
      </w:r>
    </w:p>
    <w:p w:rsidR="00123FC2" w:rsidRDefault="00123FC2" w:rsidP="00F1523A">
      <w:r w:rsidRPr="00123FC2">
        <w:t>Despite their similarities, companies that comply with the GDPR will not necessarily be compliant with the CCPA. The applicability, concept of personal data, user rights, commercial use, equal rights, and data security are among the differences between the two (Financier Worldwide,2018).</w:t>
      </w:r>
      <w:r>
        <w:t xml:space="preserve"> </w:t>
      </w:r>
      <w:r w:rsidRPr="00123FC2">
        <w:t>Despite the fact that the GDPR allows Member States to enact specific national procedures to protect national security and defense. However, it is unclear to what extent such laws should be in accordance with the GDPR's broad principles and goals (European Union, 2016, Article 23).</w:t>
      </w:r>
      <w:r>
        <w:t xml:space="preserve"> </w:t>
      </w:r>
      <w:r w:rsidRPr="00123FC2">
        <w:t>Generally speaking, data professionals will need to find ways to strike a balance between the GDPR and other related policies from time to time.</w:t>
      </w:r>
    </w:p>
    <w:p w:rsidR="00C42B9E" w:rsidRPr="00123FC2" w:rsidRDefault="00123FC2" w:rsidP="00F1523A">
      <w:pPr>
        <w:rPr>
          <w:shd w:val="clear" w:color="auto" w:fill="FFFFFF"/>
        </w:rPr>
      </w:pPr>
      <w:r>
        <w:t>References:</w:t>
      </w:r>
      <w:r w:rsidR="00C42B9E" w:rsidRPr="00123FC2">
        <w:rPr>
          <w:shd w:val="clear" w:color="auto" w:fill="FFFFFF"/>
        </w:rPr>
        <w:fldChar w:fldCharType="begin"/>
      </w:r>
      <w:r w:rsidR="00C42B9E" w:rsidRPr="00123FC2">
        <w:rPr>
          <w:shd w:val="clear" w:color="auto" w:fill="FFFFFF"/>
        </w:rPr>
        <w:instrText xml:space="preserve"> HYPERLINK "</w:instrText>
      </w:r>
    </w:p>
    <w:p w:rsidR="00C42B9E" w:rsidRPr="00123FC2" w:rsidRDefault="00C42B9E" w:rsidP="00F1523A">
      <w:pPr>
        <w:rPr>
          <w:shd w:val="clear" w:color="auto" w:fill="FFFFFF"/>
        </w:rPr>
      </w:pPr>
      <w:r w:rsidRPr="00C42B9E">
        <w:rPr>
          <w:shd w:val="clear" w:color="auto" w:fill="FFFFFF"/>
        </w:rPr>
        <w:instrText xml:space="preserve">Abi, T. (2022). </w:instrText>
      </w:r>
      <w:r w:rsidRPr="00123FC2">
        <w:rPr>
          <w:shd w:val="clear" w:color="auto" w:fill="FFFFFF"/>
        </w:rPr>
        <w:instrText>What is the LGPD? Brazil's General Data Protection Law. Availble from: https://www.upguard.com/blog/lgpd [Accessed 18 March 2023]</w:instrText>
      </w:r>
    </w:p>
    <w:p w:rsidR="00C42B9E" w:rsidRPr="00123FC2" w:rsidRDefault="00C42B9E" w:rsidP="00F1523A">
      <w:r w:rsidRPr="00123FC2">
        <w:rPr>
          <w:shd w:val="clear" w:color="auto" w:fill="FFFFFF"/>
        </w:rPr>
        <w:instrText xml:space="preserve">" </w:instrText>
      </w:r>
      <w:r w:rsidRPr="00123FC2">
        <w:rPr>
          <w:shd w:val="clear" w:color="auto" w:fill="FFFFFF"/>
        </w:rPr>
        <w:fldChar w:fldCharType="separate"/>
      </w:r>
    </w:p>
    <w:p w:rsidR="00C42B9E" w:rsidRPr="00123FC2" w:rsidRDefault="00C42B9E" w:rsidP="00F1523A">
      <w:pPr>
        <w:rPr>
          <w:shd w:val="clear" w:color="auto" w:fill="FFFFFF"/>
        </w:rPr>
      </w:pPr>
      <w:r w:rsidRPr="00123FC2">
        <w:t xml:space="preserve">Abi, T. (2022). </w:t>
      </w:r>
      <w:r w:rsidRPr="00123FC2">
        <w:rPr>
          <w:shd w:val="clear" w:color="auto" w:fill="FFFFFF"/>
        </w:rPr>
        <w:t>What is the LGPD? Brazil's General Data Protection Law. Availble from: https://www.upguard.com/blog/lgpd [Accessed 18 March 2023]</w:t>
      </w:r>
    </w:p>
    <w:p w:rsidR="00F1523A" w:rsidRPr="00123FC2" w:rsidRDefault="00C42B9E" w:rsidP="00F1523A">
      <w:pPr>
        <w:rPr>
          <w:shd w:val="clear" w:color="auto" w:fill="FFFFFF"/>
        </w:rPr>
      </w:pPr>
      <w:r w:rsidRPr="00123FC2">
        <w:rPr>
          <w:shd w:val="clear" w:color="auto" w:fill="FFFFFF"/>
        </w:rPr>
        <w:fldChar w:fldCharType="end"/>
      </w:r>
      <w:r w:rsidR="00123FC2">
        <w:rPr>
          <w:shd w:val="clear" w:color="auto" w:fill="FFFFFF"/>
        </w:rPr>
        <w:t xml:space="preserve">Bernard, </w:t>
      </w:r>
      <w:r w:rsidR="00E00EB5" w:rsidRPr="00123FC2">
        <w:rPr>
          <w:shd w:val="clear" w:color="auto" w:fill="FFFFFF"/>
        </w:rPr>
        <w:t>G.</w:t>
      </w:r>
      <w:r w:rsidR="00123FC2">
        <w:rPr>
          <w:shd w:val="clear" w:color="auto" w:fill="FFFFFF"/>
        </w:rPr>
        <w:t xml:space="preserve"> </w:t>
      </w:r>
      <w:r w:rsidR="00E00EB5" w:rsidRPr="00123FC2">
        <w:rPr>
          <w:shd w:val="clear" w:color="auto" w:fill="FFFFFF"/>
        </w:rPr>
        <w:t>(2022). Will the U.S. Adopt a Nationwide Data Privacy Law Similar to GDPR?</w:t>
      </w:r>
      <w:r w:rsidRPr="00123FC2">
        <w:rPr>
          <w:shd w:val="clear" w:color="auto" w:fill="FFFFFF"/>
        </w:rPr>
        <w:t xml:space="preserve"> Available from</w:t>
      </w:r>
      <w:r w:rsidR="00E00EB5" w:rsidRPr="00123FC2">
        <w:rPr>
          <w:shd w:val="clear" w:color="auto" w:fill="FFFFFF"/>
        </w:rPr>
        <w:t xml:space="preserve">: </w:t>
      </w:r>
      <w:hyperlink r:id="rId14" w:history="1">
        <w:r w:rsidR="00E00EB5" w:rsidRPr="00123FC2">
          <w:t>https://www.ispartnersllc.com/blog/us-nationwide-data-privacy-law-gdpr/</w:t>
        </w:r>
      </w:hyperlink>
      <w:r w:rsidR="00E00EB5" w:rsidRPr="00123FC2">
        <w:rPr>
          <w:shd w:val="clear" w:color="auto" w:fill="FFFFFF"/>
        </w:rPr>
        <w:t xml:space="preserve"> [Accessed on 18 march 2022]</w:t>
      </w:r>
    </w:p>
    <w:p w:rsidR="00C42B9E" w:rsidRDefault="00C42B9E" w:rsidP="00C42B9E">
      <w:pPr>
        <w:rPr>
          <w:shd w:val="clear" w:color="auto" w:fill="FFFFFF"/>
        </w:rPr>
      </w:pPr>
      <w:r w:rsidRPr="00123FC2">
        <w:rPr>
          <w:shd w:val="clear" w:color="auto" w:fill="FFFFFF"/>
        </w:rPr>
        <w:t>Financier Worldwide (2018):</w:t>
      </w:r>
      <w:r w:rsidRPr="00C42B9E">
        <w:rPr>
          <w:shd w:val="clear" w:color="auto" w:fill="FFFFFF"/>
        </w:rPr>
        <w:t xml:space="preserve"> The California Consumer Privacy Act and the GDPR: two of a kind? Available from: https://www.financierworldwide.com/the-california-consumer-privacy-act-and-the-gdpr-two-of-a-kind#.ZBW-Z3bP3IU</w:t>
      </w:r>
      <w:r>
        <w:rPr>
          <w:shd w:val="clear" w:color="auto" w:fill="FFFFFF"/>
        </w:rPr>
        <w:t xml:space="preserve"> [Accessed on 18 March 2023]</w:t>
      </w:r>
    </w:p>
    <w:p w:rsidR="00123FC2" w:rsidRPr="00123FC2" w:rsidRDefault="00123FC2" w:rsidP="00123FC2">
      <w:pPr>
        <w:rPr>
          <w:shd w:val="clear" w:color="auto" w:fill="FFFFFF"/>
        </w:rPr>
      </w:pPr>
      <w:r w:rsidRPr="00123FC2">
        <w:rPr>
          <w:shd w:val="clear" w:color="auto" w:fill="FFFFFF"/>
        </w:rPr>
        <w:t xml:space="preserve">European Union General Data Protection Regulation (GDPR) (2016). Available from: </w:t>
      </w:r>
      <w:hyperlink r:id="rId15" w:history="1">
        <w:r w:rsidRPr="00123FC2">
          <w:rPr>
            <w:shd w:val="clear" w:color="auto" w:fill="FFFFFF"/>
          </w:rPr>
          <w:t>https://eur-lex.europa.eu/legal-content/EN/TXT/?qid=1532348683434&amp;uri=CELEX:02016R0679-20160504</w:t>
        </w:r>
      </w:hyperlink>
    </w:p>
    <w:p w:rsidR="00123FC2" w:rsidRDefault="00123FC2" w:rsidP="00C42B9E">
      <w:pPr>
        <w:rPr>
          <w:shd w:val="clear" w:color="auto" w:fill="FFFFFF"/>
        </w:rPr>
      </w:pPr>
    </w:p>
    <w:p w:rsidR="00123FC2" w:rsidRPr="00C42B9E" w:rsidRDefault="00123FC2" w:rsidP="00C42B9E">
      <w:pPr>
        <w:rPr>
          <w:shd w:val="clear" w:color="auto" w:fill="FFFFFF"/>
        </w:rPr>
      </w:pPr>
    </w:p>
    <w:p w:rsidR="00C42B9E" w:rsidRDefault="009A20A3" w:rsidP="00F1523A">
      <w:r>
        <w:lastRenderedPageBreak/>
        <w:t>Hi Joy,</w:t>
      </w:r>
    </w:p>
    <w:p w:rsidR="009A20A3" w:rsidRDefault="009B1952" w:rsidP="006A62E6">
      <w:r w:rsidRPr="009B1952">
        <w:t>Outstanding points! I agree that different business sectors should have data ethics boards to help ensure that decisions about data security and privacy are made across departments and with input from various stakeholders.</w:t>
      </w:r>
      <w:r w:rsidR="006A62E6" w:rsidRPr="003D3C88">
        <w:t xml:space="preserve"> (Ellenberg et al., 2002). </w:t>
      </w:r>
    </w:p>
    <w:p w:rsidR="009B1952" w:rsidRDefault="00E41359" w:rsidP="006A62E6">
      <w:r>
        <w:t>According to Ke et al. (2020), t</w:t>
      </w:r>
      <w:r w:rsidRPr="00E41359">
        <w:t xml:space="preserve">he GDPR recognizes individuals' ownership and control of their personal data, including the right to explicit consent, be forgotten, and data portability, and includes data security mandates against privacy breaches. </w:t>
      </w:r>
      <w:r w:rsidR="009B1952" w:rsidRPr="009B1952">
        <w:t xml:space="preserve">You allude to the fact that Kenya's Data Protection Act (2019) is an important step towards protecting the privacy and personal data of Kenyan citizens, and it aligns Kenya with global best practices in data protection. </w:t>
      </w:r>
      <w:r w:rsidR="009B1952">
        <w:t>However, y</w:t>
      </w:r>
      <w:r w:rsidR="009B1952" w:rsidRPr="009B1952">
        <w:t>our article names a few Kenyan companies that still have private data protection</w:t>
      </w:r>
      <w:r w:rsidR="009B1952">
        <w:t xml:space="preserve"> laws in place, despite the DPA</w:t>
      </w:r>
      <w:r w:rsidR="00E6369C" w:rsidRPr="009B1952">
        <w:t xml:space="preserve">. </w:t>
      </w:r>
    </w:p>
    <w:p w:rsidR="006A62E6" w:rsidRDefault="009B1952" w:rsidP="006A62E6">
      <w:pPr>
        <w:rPr>
          <w:rFonts w:ascii="Segoe UI" w:hAnsi="Segoe UI" w:cs="Segoe UI"/>
          <w:color w:val="374151"/>
          <w:shd w:val="clear" w:color="auto" w:fill="F7F7F8"/>
        </w:rPr>
      </w:pPr>
      <w:r w:rsidRPr="009B1952">
        <w:t>This, in my opinion, may lead to some companies exploiting their clients' data through private articles on data sharing. Is there a plan in place to address this, and how do you see it as a data professional?</w:t>
      </w:r>
    </w:p>
    <w:p w:rsidR="006A62E6" w:rsidRDefault="006A62E6" w:rsidP="006A62E6">
      <w:pPr>
        <w:rPr>
          <w:rFonts w:ascii="Segoe UI" w:hAnsi="Segoe UI" w:cs="Segoe UI"/>
          <w:color w:val="374151"/>
          <w:shd w:val="clear" w:color="auto" w:fill="F7F7F8"/>
        </w:rPr>
      </w:pPr>
    </w:p>
    <w:p w:rsidR="006A62E6" w:rsidRDefault="006A62E6" w:rsidP="006A62E6">
      <w:r w:rsidRPr="003D3C88">
        <w:t xml:space="preserve">Ellenberg, S. S., Fleming, T. R., &amp; </w:t>
      </w:r>
      <w:proofErr w:type="spellStart"/>
      <w:r w:rsidRPr="003D3C88">
        <w:t>DeMets</w:t>
      </w:r>
      <w:proofErr w:type="spellEnd"/>
      <w:r w:rsidRPr="003D3C88">
        <w:t>, D. L. (2002). Data monitoring committees in clinical trials: a practical perspective. John Wiley &amp; Sons.</w:t>
      </w:r>
    </w:p>
    <w:p w:rsidR="00E6369C" w:rsidRDefault="00E6369C" w:rsidP="006A62E6">
      <w:r w:rsidRPr="00E6369C">
        <w:t xml:space="preserve">Kenya Law. (2019). Data Protection Act No. 24 of 2019. </w:t>
      </w:r>
      <w:r>
        <w:t>Available</w:t>
      </w:r>
      <w:r w:rsidRPr="00E6369C">
        <w:t xml:space="preserve"> from</w:t>
      </w:r>
      <w:r>
        <w:t xml:space="preserve">: </w:t>
      </w:r>
      <w:hyperlink r:id="rId16" w:history="1">
        <w:r w:rsidR="009B1952" w:rsidRPr="001A23B4">
          <w:rPr>
            <w:rStyle w:val="Hyperlink"/>
          </w:rPr>
          <w:t>https://www.odpc.go.ke/dpa-act/</w:t>
        </w:r>
      </w:hyperlink>
      <w:r w:rsidRPr="00E6369C">
        <w:t>.</w:t>
      </w:r>
    </w:p>
    <w:p w:rsidR="00E41359" w:rsidRDefault="00E41359" w:rsidP="00E41359">
      <w:r w:rsidRPr="00E41359">
        <w:t xml:space="preserve">Ke, Tony and </w:t>
      </w:r>
      <w:proofErr w:type="spellStart"/>
      <w:r w:rsidRPr="00E41359">
        <w:t>Sudhir</w:t>
      </w:r>
      <w:proofErr w:type="spellEnd"/>
      <w:r w:rsidRPr="00E41359">
        <w:t>, K., Privacy Rights and Data Security: GDPR and Personal Data Markets (July 5, 2020). Available at SSRN: </w:t>
      </w:r>
      <w:hyperlink r:id="rId17" w:tgtFrame="_blank" w:history="1">
        <w:r w:rsidRPr="00E41359">
          <w:t>https://ssrn.com/abstract=3643979</w:t>
        </w:r>
      </w:hyperlink>
      <w:r w:rsidRPr="00E41359">
        <w:t> or </w:t>
      </w:r>
      <w:hyperlink r:id="rId18" w:tgtFrame="_blank" w:history="1">
        <w:r w:rsidRPr="00E41359">
          <w:t>http://dx.doi.org/10.2139/ssrn.3643979</w:t>
        </w:r>
      </w:hyperlink>
    </w:p>
    <w:p w:rsidR="00E41359" w:rsidRDefault="00E41359" w:rsidP="00E41359">
      <w:pPr>
        <w:pStyle w:val="Heading2"/>
        <w:shd w:val="clear" w:color="auto" w:fill="FFFFFF"/>
        <w:spacing w:before="210" w:line="360" w:lineRule="atLeast"/>
        <w:rPr>
          <w:rFonts w:ascii="NexusSansWebPro" w:hAnsi="NexusSansWebPro"/>
          <w:color w:val="222222"/>
          <w:sz w:val="27"/>
          <w:szCs w:val="27"/>
        </w:rPr>
      </w:pPr>
    </w:p>
    <w:p w:rsidR="009B1952" w:rsidRDefault="009B1952" w:rsidP="006A62E6"/>
    <w:p w:rsidR="009A4D1C" w:rsidRDefault="00834779" w:rsidP="006A62E6">
      <w:r>
        <w:t xml:space="preserve">In regards to data privacy, </w:t>
      </w:r>
      <w:r w:rsidRPr="001E25AF">
        <w:t>according</w:t>
      </w:r>
      <w:r w:rsidR="001E25AF" w:rsidRPr="001E25AF">
        <w:t xml:space="preserve"> to Rashmi (2017), one of the ways data privacy is followed in health research is through the informed consent process. At this phase, researchers must offer participants with clear and concise information on the objective and scope of the study. This is done before any data is collected from participants and should include all methods used for gathering data, data storage, and data sharing. Both the lead investigator and the volunteer must agree on all of this.</w:t>
      </w:r>
    </w:p>
    <w:p w:rsidR="001E25AF" w:rsidRDefault="00B75498" w:rsidP="006A62E6">
      <w:r>
        <w:t>Zheming et al. (2021) argue that</w:t>
      </w:r>
      <w:r w:rsidRPr="00B75498">
        <w:t xml:space="preserve"> identifying personal and sensitive information must be appropriately anonymized in order to enforce legal and ethical concerns in health research. Before using data for research, we anonymize it by deleting identifying information such as names, addresses, and social security numbers in my organization, particularly throughout the </w:t>
      </w:r>
      <w:r>
        <w:t xml:space="preserve">storage, </w:t>
      </w:r>
      <w:r w:rsidRPr="00B75498">
        <w:t>analysis and data sharing phases.</w:t>
      </w:r>
      <w:r w:rsidR="00752681">
        <w:t xml:space="preserve"> </w:t>
      </w:r>
    </w:p>
    <w:p w:rsidR="009A4D1C" w:rsidRDefault="00834779" w:rsidP="006A62E6">
      <w:r w:rsidRPr="00834779">
        <w:t>In my initial posting, I indicated that master data files are kept under lock and key with restricted access. This removes the risk of illegal access and data tampering with information such as sex, birth date, contact, location, initials, and so on. As a data professional, it is my responsibility to ensure that suitable measures are in place to preserve the privacy and confidentiality of the information being collected.</w:t>
      </w:r>
    </w:p>
    <w:p w:rsidR="00834779" w:rsidRDefault="00834779" w:rsidP="006A62E6"/>
    <w:p w:rsidR="009A4D1C" w:rsidRDefault="009A4D1C" w:rsidP="009A4D1C">
      <w:r w:rsidRPr="00834779">
        <w:lastRenderedPageBreak/>
        <w:t xml:space="preserve">Rashmi, A. (2017) </w:t>
      </w:r>
      <w:r>
        <w:t xml:space="preserve">Informed consent process: A step further towards making it </w:t>
      </w:r>
      <w:proofErr w:type="gramStart"/>
      <w:r>
        <w:t>meaningful!</w:t>
      </w:r>
      <w:r>
        <w:t>:</w:t>
      </w:r>
      <w:proofErr w:type="gramEnd"/>
      <w:r>
        <w:t xml:space="preserve"> National Library of Medicine. Available from:</w:t>
      </w:r>
      <w:r w:rsidRPr="009A4D1C">
        <w:t xml:space="preserve"> </w:t>
      </w:r>
      <w:hyperlink r:id="rId19" w:history="1">
        <w:r w:rsidRPr="00834779">
          <w:t>https://www.ncbi.nlm.nih.gov/pmc/articles/PMC5543760/</w:t>
        </w:r>
      </w:hyperlink>
      <w:r>
        <w:t xml:space="preserve"> [Accessed on 20 March 2023]</w:t>
      </w:r>
    </w:p>
    <w:p w:rsidR="00303DFD" w:rsidRDefault="00303DFD" w:rsidP="00303DFD">
      <w:r>
        <w:t xml:space="preserve">Zheming, Z., Mathew, </w:t>
      </w:r>
      <w:proofErr w:type="spellStart"/>
      <w:proofErr w:type="gramStart"/>
      <w:r>
        <w:t>W.,David</w:t>
      </w:r>
      <w:proofErr w:type="spellEnd"/>
      <w:proofErr w:type="gramEnd"/>
      <w:r>
        <w:t>, B.,Robert,H.,Chris,K.,</w:t>
      </w:r>
      <w:proofErr w:type="spellStart"/>
      <w:r>
        <w:t>Noura,M</w:t>
      </w:r>
      <w:proofErr w:type="spellEnd"/>
      <w:r>
        <w:t xml:space="preserve">.(2021) </w:t>
      </w:r>
      <w:r>
        <w:t>Data Anonymization for Pervasive Health Care: Systematic Literature Mapping Study</w:t>
      </w:r>
      <w:r>
        <w:t>. JMIR Medical Informatics. Available from:</w:t>
      </w:r>
      <w:r w:rsidRPr="00303DFD">
        <w:t xml:space="preserve"> </w:t>
      </w:r>
      <w:hyperlink r:id="rId20" w:history="1">
        <w:r w:rsidRPr="00834779">
          <w:t>https://medinform.jmir.org/2021/10/e29871</w:t>
        </w:r>
      </w:hyperlink>
      <w:r>
        <w:t xml:space="preserve"> [Accessed on </w:t>
      </w:r>
      <w:r w:rsidR="008A5D70">
        <w:t>20 March 2023</w:t>
      </w:r>
      <w:r>
        <w:t>]</w:t>
      </w:r>
    </w:p>
    <w:p w:rsidR="00ED3121" w:rsidRDefault="00ED3121" w:rsidP="00303DFD"/>
    <w:p w:rsidR="00467D96" w:rsidRPr="00854B3A" w:rsidRDefault="00467D96" w:rsidP="00303DFD">
      <w:r w:rsidRPr="00854B3A">
        <w:t>GDPR has had a significant impact on organizations that process the personal data of EU citizens, regardless of location. Serbia, Japan, South Korea, and Brazil have updated their data protection laws to comply with GDPR (</w:t>
      </w:r>
      <w:proofErr w:type="spellStart"/>
      <w:r w:rsidRPr="00854B3A">
        <w:t>Branko</w:t>
      </w:r>
      <w:proofErr w:type="spellEnd"/>
      <w:r w:rsidRPr="00854B3A">
        <w:t xml:space="preserve"> &amp; Vasa, 2020)</w:t>
      </w:r>
      <w:r w:rsidR="00257F71" w:rsidRPr="00854B3A">
        <w:t>.</w:t>
      </w:r>
      <w:r w:rsidR="00257F71" w:rsidRPr="00854B3A">
        <w:t xml:space="preserve"> </w:t>
      </w:r>
    </w:p>
    <w:p w:rsidR="00257F71" w:rsidRPr="00854B3A" w:rsidRDefault="009A399A" w:rsidP="00303DFD">
      <w:r w:rsidRPr="00854B3A">
        <w:t xml:space="preserve">Regulations to ensure the respect of fundamental rights in the context of the global deployment of AI, such as facial recognition technologies. GDPR has resulted in changes in data processing practices, such as more transparent data processing, the use of privacy by design principles, and the use of data protection impact assessments (DPIAs) </w:t>
      </w:r>
      <w:r w:rsidR="009E2B8D" w:rsidRPr="00854B3A">
        <w:t>(</w:t>
      </w:r>
      <w:proofErr w:type="spellStart"/>
      <w:r w:rsidR="009E2B8D" w:rsidRPr="00854B3A">
        <w:t>Eyup</w:t>
      </w:r>
      <w:proofErr w:type="spellEnd"/>
      <w:r w:rsidR="009E2B8D" w:rsidRPr="00854B3A">
        <w:t>, 2022)</w:t>
      </w:r>
      <w:r w:rsidR="00257F71" w:rsidRPr="00854B3A">
        <w:t>.</w:t>
      </w:r>
      <w:r w:rsidR="00257F71" w:rsidRPr="00854B3A">
        <w:t xml:space="preserve"> </w:t>
      </w:r>
    </w:p>
    <w:p w:rsidR="00854B3A" w:rsidRPr="00854B3A" w:rsidRDefault="00854B3A" w:rsidP="00303DFD">
      <w:r w:rsidRPr="00854B3A">
        <w:t xml:space="preserve">Alexander concludes by saying that "desires for economic gain might prove a challenge to data protection if </w:t>
      </w:r>
      <w:proofErr w:type="spellStart"/>
      <w:r w:rsidRPr="00854B3A">
        <w:t>prioritised</w:t>
      </w:r>
      <w:proofErr w:type="spellEnd"/>
      <w:r w:rsidRPr="00854B3A">
        <w:t xml:space="preserve"> over data protection". One of the reasons, in my opinion, is that non-compliance with GDPR can result in significant fines, and organizations outside the EU must still comply with GDPR when processing EU citizens' personal data. In my organization, we collaborate on multisite research with universities in the European Union, and we follow GDPR in all data management processes.</w:t>
      </w:r>
    </w:p>
    <w:p w:rsidR="00ED3121" w:rsidRPr="00854B3A" w:rsidRDefault="00257F71" w:rsidP="00303DFD">
      <w:r w:rsidRPr="00854B3A">
        <w:t>Overall, GDPR has had a significant impact on organizations outside the EU, and many have had to update their privacy policies and practices to comply with GDPR requirements</w:t>
      </w:r>
      <w:r w:rsidR="00854B3A" w:rsidRPr="00854B3A">
        <w:t xml:space="preserve"> </w:t>
      </w:r>
      <w:r w:rsidR="00854B3A" w:rsidRPr="00854B3A">
        <w:t>(European Union General Da</w:t>
      </w:r>
      <w:r w:rsidR="00854B3A">
        <w:t>ta Protection Regulation) (GDPR</w:t>
      </w:r>
      <w:r w:rsidR="00854B3A" w:rsidRPr="00854B3A">
        <w:t>, 2016)</w:t>
      </w:r>
      <w:r w:rsidRPr="00854B3A">
        <w:t>.</w:t>
      </w:r>
    </w:p>
    <w:p w:rsidR="00467D96" w:rsidRPr="00854B3A" w:rsidRDefault="00467D96" w:rsidP="00303DFD"/>
    <w:p w:rsidR="00467D96" w:rsidRDefault="00467D96" w:rsidP="00467D96">
      <w:proofErr w:type="spellStart"/>
      <w:r w:rsidRPr="00854B3A">
        <w:t>Branko</w:t>
      </w:r>
      <w:proofErr w:type="spellEnd"/>
      <w:r w:rsidRPr="00854B3A">
        <w:t xml:space="preserve">, M., Vasa, C. (2020) </w:t>
      </w:r>
      <w:r>
        <w:t>Impact of the European General Data Protection Regulation (GDPR) on Health Data Management in a European Union Candidate Country: A Case Study of Serbia</w:t>
      </w:r>
      <w:r>
        <w:t>. JMIR Medical Informatics.</w:t>
      </w:r>
    </w:p>
    <w:p w:rsidR="009E2B8D" w:rsidRDefault="009E2B8D" w:rsidP="00467D96">
      <w:r>
        <w:t xml:space="preserve">Ku, L. (2022) </w:t>
      </w:r>
      <w:r w:rsidRPr="009E2B8D">
        <w:t>Exploring the Role of Data Protection Impact Assessments in the Use of Facial Recognition Technologies: From Accountability to Meta-Regulation</w:t>
      </w:r>
      <w:r>
        <w:t xml:space="preserve">. SSRN. Available from: </w:t>
      </w:r>
      <w:hyperlink r:id="rId21" w:history="1">
        <w:r w:rsidRPr="00854B3A">
          <w:t>https://papers.ssrn.com/sol3/papers.cfm?abstract_id=4239404</w:t>
        </w:r>
      </w:hyperlink>
      <w:r>
        <w:t xml:space="preserve"> [Accessed 20 March 2023]</w:t>
      </w:r>
    </w:p>
    <w:p w:rsidR="00854B3A" w:rsidRDefault="00854B3A" w:rsidP="00467D96">
      <w:bookmarkStart w:id="0" w:name="_GoBack"/>
      <w:bookmarkEnd w:id="0"/>
    </w:p>
    <w:p w:rsidR="00854B3A" w:rsidRDefault="00854B3A" w:rsidP="00467D96">
      <w:r w:rsidRPr="00854B3A">
        <w:t>European Union General Data Protection Regulation (GDPR). (2016). Available from: https://eur-lex.europa.eu/legal-content/EN/TXT/?qid=1532348683434&amp;uri=CELEX:02016R0679-20160504</w:t>
      </w:r>
    </w:p>
    <w:p w:rsidR="00467D96" w:rsidRDefault="00467D96" w:rsidP="00303DFD"/>
    <w:p w:rsidR="00303DFD" w:rsidRDefault="00303DFD" w:rsidP="009A4D1C"/>
    <w:p w:rsidR="009A4D1C" w:rsidRPr="00AB6B8A" w:rsidRDefault="009A4D1C" w:rsidP="009A4D1C"/>
    <w:sectPr w:rsidR="009A4D1C" w:rsidRPr="00AB6B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NexusSansWebPro">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3A0E"/>
    <w:rsid w:val="00034129"/>
    <w:rsid w:val="00083AE1"/>
    <w:rsid w:val="000E22DA"/>
    <w:rsid w:val="00123FC2"/>
    <w:rsid w:val="001E25AF"/>
    <w:rsid w:val="00257F71"/>
    <w:rsid w:val="0026792A"/>
    <w:rsid w:val="0027444D"/>
    <w:rsid w:val="00303DFD"/>
    <w:rsid w:val="00324F7B"/>
    <w:rsid w:val="003D3C88"/>
    <w:rsid w:val="003E00EC"/>
    <w:rsid w:val="004630AF"/>
    <w:rsid w:val="00467D96"/>
    <w:rsid w:val="005C6B44"/>
    <w:rsid w:val="006A62E6"/>
    <w:rsid w:val="007179CE"/>
    <w:rsid w:val="00752681"/>
    <w:rsid w:val="00834779"/>
    <w:rsid w:val="0084557C"/>
    <w:rsid w:val="00854B3A"/>
    <w:rsid w:val="008A5D70"/>
    <w:rsid w:val="0091479D"/>
    <w:rsid w:val="009A20A3"/>
    <w:rsid w:val="009A399A"/>
    <w:rsid w:val="009A4D1C"/>
    <w:rsid w:val="009B1952"/>
    <w:rsid w:val="009E1A3A"/>
    <w:rsid w:val="009E2B8D"/>
    <w:rsid w:val="00A16B67"/>
    <w:rsid w:val="00A35A96"/>
    <w:rsid w:val="00A5732A"/>
    <w:rsid w:val="00AB6B8A"/>
    <w:rsid w:val="00B138F5"/>
    <w:rsid w:val="00B75498"/>
    <w:rsid w:val="00B87671"/>
    <w:rsid w:val="00C42B9E"/>
    <w:rsid w:val="00D61C64"/>
    <w:rsid w:val="00E00EB5"/>
    <w:rsid w:val="00E05105"/>
    <w:rsid w:val="00E114EC"/>
    <w:rsid w:val="00E13A0E"/>
    <w:rsid w:val="00E322F0"/>
    <w:rsid w:val="00E41359"/>
    <w:rsid w:val="00E6369C"/>
    <w:rsid w:val="00ED3121"/>
    <w:rsid w:val="00F1523A"/>
    <w:rsid w:val="00F35CC0"/>
    <w:rsid w:val="00FD53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3A41C"/>
  <w15:chartTrackingRefBased/>
  <w15:docId w15:val="{9241F574-9829-437A-B64E-D2AF1FB37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3412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E4135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5">
    <w:name w:val="heading 5"/>
    <w:basedOn w:val="Normal"/>
    <w:next w:val="Normal"/>
    <w:link w:val="Heading5Char"/>
    <w:uiPriority w:val="9"/>
    <w:semiHidden/>
    <w:unhideWhenUsed/>
    <w:qFormat/>
    <w:rsid w:val="00F1523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34129"/>
    <w:rPr>
      <w:color w:val="0000FF"/>
      <w:u w:val="single"/>
    </w:rPr>
  </w:style>
  <w:style w:type="character" w:customStyle="1" w:styleId="Heading1Char">
    <w:name w:val="Heading 1 Char"/>
    <w:basedOn w:val="DefaultParagraphFont"/>
    <w:link w:val="Heading1"/>
    <w:uiPriority w:val="9"/>
    <w:rsid w:val="00034129"/>
    <w:rPr>
      <w:rFonts w:ascii="Times New Roman" w:eastAsia="Times New Roman" w:hAnsi="Times New Roman" w:cs="Times New Roman"/>
      <w:b/>
      <w:bCs/>
      <w:kern w:val="36"/>
      <w:sz w:val="48"/>
      <w:szCs w:val="48"/>
    </w:rPr>
  </w:style>
  <w:style w:type="paragraph" w:styleId="NoSpacing">
    <w:name w:val="No Spacing"/>
    <w:uiPriority w:val="1"/>
    <w:qFormat/>
    <w:rsid w:val="007179CE"/>
    <w:pPr>
      <w:spacing w:after="0" w:line="240" w:lineRule="auto"/>
    </w:pPr>
  </w:style>
  <w:style w:type="character" w:customStyle="1" w:styleId="Heading5Char">
    <w:name w:val="Heading 5 Char"/>
    <w:basedOn w:val="DefaultParagraphFont"/>
    <w:link w:val="Heading5"/>
    <w:uiPriority w:val="9"/>
    <w:semiHidden/>
    <w:rsid w:val="00F1523A"/>
    <w:rPr>
      <w:rFonts w:asciiTheme="majorHAnsi" w:eastAsiaTheme="majorEastAsia" w:hAnsiTheme="majorHAnsi" w:cstheme="majorBidi"/>
      <w:color w:val="2E74B5" w:themeColor="accent1" w:themeShade="BF"/>
    </w:rPr>
  </w:style>
  <w:style w:type="character" w:styleId="Emphasis">
    <w:name w:val="Emphasis"/>
    <w:basedOn w:val="DefaultParagraphFont"/>
    <w:uiPriority w:val="20"/>
    <w:qFormat/>
    <w:rsid w:val="00C42B9E"/>
    <w:rPr>
      <w:i/>
      <w:iCs/>
    </w:rPr>
  </w:style>
  <w:style w:type="character" w:customStyle="1" w:styleId="Heading2Char">
    <w:name w:val="Heading 2 Char"/>
    <w:basedOn w:val="DefaultParagraphFont"/>
    <w:link w:val="Heading2"/>
    <w:uiPriority w:val="9"/>
    <w:semiHidden/>
    <w:rsid w:val="00E41359"/>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334261">
      <w:bodyDiv w:val="1"/>
      <w:marLeft w:val="0"/>
      <w:marRight w:val="0"/>
      <w:marTop w:val="0"/>
      <w:marBottom w:val="0"/>
      <w:divBdr>
        <w:top w:val="none" w:sz="0" w:space="0" w:color="auto"/>
        <w:left w:val="none" w:sz="0" w:space="0" w:color="auto"/>
        <w:bottom w:val="none" w:sz="0" w:space="0" w:color="auto"/>
        <w:right w:val="none" w:sz="0" w:space="0" w:color="auto"/>
      </w:divBdr>
    </w:div>
    <w:div w:id="150997095">
      <w:bodyDiv w:val="1"/>
      <w:marLeft w:val="0"/>
      <w:marRight w:val="0"/>
      <w:marTop w:val="0"/>
      <w:marBottom w:val="0"/>
      <w:divBdr>
        <w:top w:val="none" w:sz="0" w:space="0" w:color="auto"/>
        <w:left w:val="none" w:sz="0" w:space="0" w:color="auto"/>
        <w:bottom w:val="none" w:sz="0" w:space="0" w:color="auto"/>
        <w:right w:val="none" w:sz="0" w:space="0" w:color="auto"/>
      </w:divBdr>
    </w:div>
    <w:div w:id="233005364">
      <w:bodyDiv w:val="1"/>
      <w:marLeft w:val="0"/>
      <w:marRight w:val="0"/>
      <w:marTop w:val="0"/>
      <w:marBottom w:val="0"/>
      <w:divBdr>
        <w:top w:val="none" w:sz="0" w:space="0" w:color="auto"/>
        <w:left w:val="none" w:sz="0" w:space="0" w:color="auto"/>
        <w:bottom w:val="none" w:sz="0" w:space="0" w:color="auto"/>
        <w:right w:val="none" w:sz="0" w:space="0" w:color="auto"/>
      </w:divBdr>
    </w:div>
    <w:div w:id="408037051">
      <w:bodyDiv w:val="1"/>
      <w:marLeft w:val="0"/>
      <w:marRight w:val="0"/>
      <w:marTop w:val="0"/>
      <w:marBottom w:val="0"/>
      <w:divBdr>
        <w:top w:val="none" w:sz="0" w:space="0" w:color="auto"/>
        <w:left w:val="none" w:sz="0" w:space="0" w:color="auto"/>
        <w:bottom w:val="none" w:sz="0" w:space="0" w:color="auto"/>
        <w:right w:val="none" w:sz="0" w:space="0" w:color="auto"/>
      </w:divBdr>
    </w:div>
    <w:div w:id="425468082">
      <w:bodyDiv w:val="1"/>
      <w:marLeft w:val="0"/>
      <w:marRight w:val="0"/>
      <w:marTop w:val="0"/>
      <w:marBottom w:val="0"/>
      <w:divBdr>
        <w:top w:val="none" w:sz="0" w:space="0" w:color="auto"/>
        <w:left w:val="none" w:sz="0" w:space="0" w:color="auto"/>
        <w:bottom w:val="none" w:sz="0" w:space="0" w:color="auto"/>
        <w:right w:val="none" w:sz="0" w:space="0" w:color="auto"/>
      </w:divBdr>
      <w:divsChild>
        <w:div w:id="387532292">
          <w:marLeft w:val="240"/>
          <w:marRight w:val="0"/>
          <w:marTop w:val="0"/>
          <w:marBottom w:val="0"/>
          <w:divBdr>
            <w:top w:val="none" w:sz="0" w:space="0" w:color="auto"/>
            <w:left w:val="none" w:sz="0" w:space="0" w:color="auto"/>
            <w:bottom w:val="none" w:sz="0" w:space="0" w:color="auto"/>
            <w:right w:val="none" w:sz="0" w:space="0" w:color="auto"/>
          </w:divBdr>
        </w:div>
      </w:divsChild>
    </w:div>
    <w:div w:id="490947818">
      <w:bodyDiv w:val="1"/>
      <w:marLeft w:val="0"/>
      <w:marRight w:val="0"/>
      <w:marTop w:val="0"/>
      <w:marBottom w:val="0"/>
      <w:divBdr>
        <w:top w:val="none" w:sz="0" w:space="0" w:color="auto"/>
        <w:left w:val="none" w:sz="0" w:space="0" w:color="auto"/>
        <w:bottom w:val="none" w:sz="0" w:space="0" w:color="auto"/>
        <w:right w:val="none" w:sz="0" w:space="0" w:color="auto"/>
      </w:divBdr>
    </w:div>
    <w:div w:id="606808968">
      <w:bodyDiv w:val="1"/>
      <w:marLeft w:val="0"/>
      <w:marRight w:val="0"/>
      <w:marTop w:val="0"/>
      <w:marBottom w:val="0"/>
      <w:divBdr>
        <w:top w:val="none" w:sz="0" w:space="0" w:color="auto"/>
        <w:left w:val="none" w:sz="0" w:space="0" w:color="auto"/>
        <w:bottom w:val="none" w:sz="0" w:space="0" w:color="auto"/>
        <w:right w:val="none" w:sz="0" w:space="0" w:color="auto"/>
      </w:divBdr>
    </w:div>
    <w:div w:id="609551456">
      <w:bodyDiv w:val="1"/>
      <w:marLeft w:val="0"/>
      <w:marRight w:val="0"/>
      <w:marTop w:val="0"/>
      <w:marBottom w:val="0"/>
      <w:divBdr>
        <w:top w:val="none" w:sz="0" w:space="0" w:color="auto"/>
        <w:left w:val="none" w:sz="0" w:space="0" w:color="auto"/>
        <w:bottom w:val="none" w:sz="0" w:space="0" w:color="auto"/>
        <w:right w:val="none" w:sz="0" w:space="0" w:color="auto"/>
      </w:divBdr>
    </w:div>
    <w:div w:id="863441227">
      <w:bodyDiv w:val="1"/>
      <w:marLeft w:val="0"/>
      <w:marRight w:val="0"/>
      <w:marTop w:val="0"/>
      <w:marBottom w:val="0"/>
      <w:divBdr>
        <w:top w:val="none" w:sz="0" w:space="0" w:color="auto"/>
        <w:left w:val="none" w:sz="0" w:space="0" w:color="auto"/>
        <w:bottom w:val="none" w:sz="0" w:space="0" w:color="auto"/>
        <w:right w:val="none" w:sz="0" w:space="0" w:color="auto"/>
      </w:divBdr>
    </w:div>
    <w:div w:id="1001931249">
      <w:bodyDiv w:val="1"/>
      <w:marLeft w:val="0"/>
      <w:marRight w:val="0"/>
      <w:marTop w:val="0"/>
      <w:marBottom w:val="0"/>
      <w:divBdr>
        <w:top w:val="none" w:sz="0" w:space="0" w:color="auto"/>
        <w:left w:val="none" w:sz="0" w:space="0" w:color="auto"/>
        <w:bottom w:val="none" w:sz="0" w:space="0" w:color="auto"/>
        <w:right w:val="none" w:sz="0" w:space="0" w:color="auto"/>
      </w:divBdr>
    </w:div>
    <w:div w:id="1192913457">
      <w:bodyDiv w:val="1"/>
      <w:marLeft w:val="0"/>
      <w:marRight w:val="0"/>
      <w:marTop w:val="0"/>
      <w:marBottom w:val="0"/>
      <w:divBdr>
        <w:top w:val="none" w:sz="0" w:space="0" w:color="auto"/>
        <w:left w:val="none" w:sz="0" w:space="0" w:color="auto"/>
        <w:bottom w:val="none" w:sz="0" w:space="0" w:color="auto"/>
        <w:right w:val="none" w:sz="0" w:space="0" w:color="auto"/>
      </w:divBdr>
    </w:div>
    <w:div w:id="1835951781">
      <w:bodyDiv w:val="1"/>
      <w:marLeft w:val="0"/>
      <w:marRight w:val="0"/>
      <w:marTop w:val="0"/>
      <w:marBottom w:val="0"/>
      <w:divBdr>
        <w:top w:val="none" w:sz="0" w:space="0" w:color="auto"/>
        <w:left w:val="none" w:sz="0" w:space="0" w:color="auto"/>
        <w:bottom w:val="none" w:sz="0" w:space="0" w:color="auto"/>
        <w:right w:val="none" w:sz="0" w:space="0" w:color="auto"/>
      </w:divBdr>
    </w:div>
    <w:div w:id="1880895618">
      <w:bodyDiv w:val="1"/>
      <w:marLeft w:val="0"/>
      <w:marRight w:val="0"/>
      <w:marTop w:val="0"/>
      <w:marBottom w:val="0"/>
      <w:divBdr>
        <w:top w:val="none" w:sz="0" w:space="0" w:color="auto"/>
        <w:left w:val="none" w:sz="0" w:space="0" w:color="auto"/>
        <w:bottom w:val="none" w:sz="0" w:space="0" w:color="auto"/>
        <w:right w:val="none" w:sz="0" w:space="0" w:color="auto"/>
      </w:divBdr>
    </w:div>
    <w:div w:id="1981686572">
      <w:bodyDiv w:val="1"/>
      <w:marLeft w:val="0"/>
      <w:marRight w:val="0"/>
      <w:marTop w:val="0"/>
      <w:marBottom w:val="0"/>
      <w:divBdr>
        <w:top w:val="none" w:sz="0" w:space="0" w:color="auto"/>
        <w:left w:val="none" w:sz="0" w:space="0" w:color="auto"/>
        <w:bottom w:val="none" w:sz="0" w:space="0" w:color="auto"/>
        <w:right w:val="none" w:sz="0" w:space="0" w:color="auto"/>
      </w:divBdr>
    </w:div>
    <w:div w:id="2072462116">
      <w:bodyDiv w:val="1"/>
      <w:marLeft w:val="0"/>
      <w:marRight w:val="0"/>
      <w:marTop w:val="0"/>
      <w:marBottom w:val="0"/>
      <w:divBdr>
        <w:top w:val="none" w:sz="0" w:space="0" w:color="auto"/>
        <w:left w:val="none" w:sz="0" w:space="0" w:color="auto"/>
        <w:bottom w:val="none" w:sz="0" w:space="0" w:color="auto"/>
        <w:right w:val="none" w:sz="0" w:space="0" w:color="auto"/>
      </w:divBdr>
      <w:divsChild>
        <w:div w:id="618023998">
          <w:marLeft w:val="0"/>
          <w:marRight w:val="0"/>
          <w:marTop w:val="0"/>
          <w:marBottom w:val="0"/>
          <w:divBdr>
            <w:top w:val="none" w:sz="0" w:space="0" w:color="auto"/>
            <w:left w:val="none" w:sz="0" w:space="0" w:color="auto"/>
            <w:bottom w:val="none" w:sz="0" w:space="0" w:color="auto"/>
            <w:right w:val="none" w:sz="0" w:space="0" w:color="auto"/>
          </w:divBdr>
          <w:divsChild>
            <w:div w:id="1593590389">
              <w:marLeft w:val="0"/>
              <w:marRight w:val="0"/>
              <w:marTop w:val="0"/>
              <w:marBottom w:val="0"/>
              <w:divBdr>
                <w:top w:val="none" w:sz="0" w:space="0" w:color="auto"/>
                <w:left w:val="none" w:sz="0" w:space="0" w:color="auto"/>
                <w:bottom w:val="none" w:sz="0" w:space="0" w:color="auto"/>
                <w:right w:val="none" w:sz="0" w:space="0" w:color="auto"/>
              </w:divBdr>
              <w:divsChild>
                <w:div w:id="1564757967">
                  <w:marLeft w:val="0"/>
                  <w:marRight w:val="0"/>
                  <w:marTop w:val="0"/>
                  <w:marBottom w:val="0"/>
                  <w:divBdr>
                    <w:top w:val="none" w:sz="0" w:space="0" w:color="auto"/>
                    <w:left w:val="none" w:sz="0" w:space="0" w:color="auto"/>
                    <w:bottom w:val="none" w:sz="0" w:space="0" w:color="auto"/>
                    <w:right w:val="none" w:sz="0" w:space="0" w:color="auto"/>
                  </w:divBdr>
                  <w:divsChild>
                    <w:div w:id="1835798755">
                      <w:marLeft w:val="0"/>
                      <w:marRight w:val="0"/>
                      <w:marTop w:val="0"/>
                      <w:marBottom w:val="0"/>
                      <w:divBdr>
                        <w:top w:val="none" w:sz="0" w:space="0" w:color="auto"/>
                        <w:left w:val="none" w:sz="0" w:space="0" w:color="auto"/>
                        <w:bottom w:val="none" w:sz="0" w:space="0" w:color="auto"/>
                        <w:right w:val="none" w:sz="0" w:space="0" w:color="auto"/>
                      </w:divBdr>
                      <w:divsChild>
                        <w:div w:id="153774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333461">
      <w:bodyDiv w:val="1"/>
      <w:marLeft w:val="0"/>
      <w:marRight w:val="0"/>
      <w:marTop w:val="0"/>
      <w:marBottom w:val="0"/>
      <w:divBdr>
        <w:top w:val="none" w:sz="0" w:space="0" w:color="auto"/>
        <w:left w:val="none" w:sz="0" w:space="0" w:color="auto"/>
        <w:bottom w:val="none" w:sz="0" w:space="0" w:color="auto"/>
        <w:right w:val="none" w:sz="0" w:space="0" w:color="auto"/>
      </w:divBdr>
    </w:div>
    <w:div w:id="2133133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med.ncbi.nlm.nih.gov/?term=Agrawal%20A%5BAuthor%5D" TargetMode="External"/><Relationship Id="rId13" Type="http://schemas.openxmlformats.org/officeDocument/2006/relationships/hyperlink" Target="https://www.forbes.com/sites/forbestechcouncil/2022/02/01/is-it-time-for-a-us-version-of-gdpr/?sh=cf136d7637a3" TargetMode="External"/><Relationship Id="rId18" Type="http://schemas.openxmlformats.org/officeDocument/2006/relationships/hyperlink" Target="https://dx.doi.org/10.2139/ssrn.3643979" TargetMode="External"/><Relationship Id="rId3" Type="http://schemas.openxmlformats.org/officeDocument/2006/relationships/webSettings" Target="webSettings.xml"/><Relationship Id="rId21" Type="http://schemas.openxmlformats.org/officeDocument/2006/relationships/hyperlink" Target="https://papers.ssrn.com/sol3/papers.cfm?abstract_id=4239404" TargetMode="External"/><Relationship Id="rId7" Type="http://schemas.openxmlformats.org/officeDocument/2006/relationships/hyperlink" Target="https://pubmed.ncbi.nlm.nih.gov/?term=Zarour%20M%5BAuthor%5D" TargetMode="External"/><Relationship Id="rId12" Type="http://schemas.openxmlformats.org/officeDocument/2006/relationships/hyperlink" Target="https://eur-lex.europa.eu/legal-content/EN/TXT/?qid=1532348683434&amp;uri=CELEX:02016R0679-20160504" TargetMode="External"/><Relationship Id="rId17" Type="http://schemas.openxmlformats.org/officeDocument/2006/relationships/hyperlink" Target="https://ssrn.com/abstract=3643979" TargetMode="External"/><Relationship Id="rId2" Type="http://schemas.openxmlformats.org/officeDocument/2006/relationships/settings" Target="settings.xml"/><Relationship Id="rId16" Type="http://schemas.openxmlformats.org/officeDocument/2006/relationships/hyperlink" Target="https://www.odpc.go.ke/dpa-act/" TargetMode="External"/><Relationship Id="rId20" Type="http://schemas.openxmlformats.org/officeDocument/2006/relationships/hyperlink" Target="https://medinform.jmir.org/2021/10/e29871" TargetMode="External"/><Relationship Id="rId1" Type="http://schemas.openxmlformats.org/officeDocument/2006/relationships/styles" Target="styles.xml"/><Relationship Id="rId6" Type="http://schemas.openxmlformats.org/officeDocument/2006/relationships/hyperlink" Target="https://pubmed.ncbi.nlm.nih.gov/?term=Seh%20AH%5BAuthor%5D" TargetMode="External"/><Relationship Id="rId11" Type="http://schemas.openxmlformats.org/officeDocument/2006/relationships/hyperlink" Target="https://ict.go.ug/wp-content/uploads/2019/03/Data-Protection-and-Privacy-Act-2019.pdf" TargetMode="External"/><Relationship Id="rId5" Type="http://schemas.openxmlformats.org/officeDocument/2006/relationships/hyperlink" Target="https://eur-lex.europa.eu/legal-content/EN/TXT/?qid=1532348683434&amp;uri=CELEX:02016R0679-20160504" TargetMode="External"/><Relationship Id="rId15" Type="http://schemas.openxmlformats.org/officeDocument/2006/relationships/hyperlink" Target="https://eur-lex.europa.eu/legal-content/EN/TXT/?qid=1532348683434&amp;uri=CELEX:02016R0679-20160504" TargetMode="External"/><Relationship Id="rId23" Type="http://schemas.openxmlformats.org/officeDocument/2006/relationships/theme" Target="theme/theme1.xml"/><Relationship Id="rId10" Type="http://schemas.openxmlformats.org/officeDocument/2006/relationships/hyperlink" Target="https://pubmed.ncbi.nlm.nih.gov/?term=Ahmad%20Khan%20R%5BAuthor%5D" TargetMode="External"/><Relationship Id="rId19" Type="http://schemas.openxmlformats.org/officeDocument/2006/relationships/hyperlink" Target="https://www.ncbi.nlm.nih.gov/pmc/articles/PMC5543760/" TargetMode="External"/><Relationship Id="rId4" Type="http://schemas.openxmlformats.org/officeDocument/2006/relationships/hyperlink" Target="https://ict.go.ug/wp-content/uploads/2019/03/Data-Protection-and-Privacy-Act-2019.pdf" TargetMode="External"/><Relationship Id="rId9" Type="http://schemas.openxmlformats.org/officeDocument/2006/relationships/hyperlink" Target="https://pubmed.ncbi.nlm.nih.gov/?term=Kumar%20R%5BAuthor%5D" TargetMode="External"/><Relationship Id="rId14" Type="http://schemas.openxmlformats.org/officeDocument/2006/relationships/hyperlink" Target="https://www.ispartnersllc.com/blog/us-nationwide-data-privacy-law-gdpr/"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4198</TotalTime>
  <Pages>5</Pages>
  <Words>2109</Words>
  <Characters>12026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Mutebe</dc:creator>
  <cp:keywords/>
  <dc:description/>
  <cp:lastModifiedBy>Alex Mutebe</cp:lastModifiedBy>
  <cp:revision>6</cp:revision>
  <dcterms:created xsi:type="dcterms:W3CDTF">2023-03-17T11:39:00Z</dcterms:created>
  <dcterms:modified xsi:type="dcterms:W3CDTF">2023-03-20T09:39:00Z</dcterms:modified>
</cp:coreProperties>
</file>