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CCA" w:rsidRPr="00596CCA" w:rsidRDefault="00596CCA" w:rsidP="00596CCA">
      <w:r w:rsidRPr="00596CCA">
        <w:t xml:space="preserve">Hi </w:t>
      </w:r>
      <w:r w:rsidRPr="00596CCA">
        <w:t>Daniela</w:t>
      </w:r>
      <w:r w:rsidRPr="00596CCA">
        <w:t>, you have provided</w:t>
      </w:r>
      <w:r w:rsidRPr="00596CCA">
        <w:t xml:space="preserve"> a concise comparison of data protection principles and security breach notification requirements between Colombian law and the GDPR. </w:t>
      </w:r>
      <w:r w:rsidRPr="00596CCA">
        <w:t>You effectively highlight</w:t>
      </w:r>
      <w:r w:rsidRPr="00596CCA">
        <w:t xml:space="preserve"> the varying approaches taken by different jurisdictions in safeguarding personal data.</w:t>
      </w:r>
    </w:p>
    <w:p w:rsidR="004121E6" w:rsidRPr="00596CCA" w:rsidRDefault="00596CCA">
      <w:r w:rsidRPr="00596CCA">
        <w:t>The essay effectively compares the General Data Protection Regulation (GDPR), which is a stringent global standard, with Colombian data protection laws. It highlights key differences in principles and regulations between these two legal frameworks, emphasizing the unique approach of each jurisdiction to data protection.</w:t>
      </w:r>
      <w:bookmarkStart w:id="0" w:name="_GoBack"/>
      <w:bookmarkEnd w:id="0"/>
    </w:p>
    <w:p w:rsidR="00596CCA" w:rsidRDefault="00596CCA" w:rsidP="00596CCA">
      <w:r>
        <w:t>Additionally, the essay points out the significance of timely and transparent communication regarding security breaches, reflecting the evolving landscape of data protection laws and the need for swift responses to data security incidents.</w:t>
      </w:r>
    </w:p>
    <w:p w:rsidR="00596CCA" w:rsidRDefault="00596CCA" w:rsidP="00596CCA">
      <w:r>
        <w:t xml:space="preserve">Overall, the essay offers valuable insights into the </w:t>
      </w:r>
      <w:r>
        <w:t>distinctions</w:t>
      </w:r>
      <w:r>
        <w:t xml:space="preserve"> of data protection laws, emphasizing the importance of compliance, transparency, and adaptability for organizations dealing with diverse international regulations.</w:t>
      </w:r>
    </w:p>
    <w:sectPr w:rsidR="00596C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CCA"/>
    <w:rsid w:val="004121E6"/>
    <w:rsid w:val="0059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3374"/>
  <w15:chartTrackingRefBased/>
  <w15:docId w15:val="{616293D2-0E78-432E-B6DF-149E473E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74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cp:revision>
  <dcterms:created xsi:type="dcterms:W3CDTF">2023-10-30T16:16:00Z</dcterms:created>
  <dcterms:modified xsi:type="dcterms:W3CDTF">2023-10-30T16:22:00Z</dcterms:modified>
</cp:coreProperties>
</file>