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1E6" w:rsidRDefault="00D210D9">
      <w:r w:rsidRPr="00D210D9">
        <w:t>As an autonomous org</w:t>
      </w:r>
      <w:r>
        <w:t xml:space="preserve">anization for the UK, Lucy </w:t>
      </w:r>
      <w:r w:rsidRPr="00D210D9">
        <w:t>claims that the ICO adheres to the GDPR's principles while customizing its guidelines for the UK</w:t>
      </w:r>
      <w:r w:rsidR="00CB303C" w:rsidRPr="00CB303C">
        <w:t xml:space="preserve"> (</w:t>
      </w:r>
      <w:r w:rsidR="00C071B9">
        <w:rPr>
          <w:rFonts w:ascii="Arial" w:hAnsi="Arial" w:cs="Arial"/>
          <w:color w:val="222222"/>
          <w:sz w:val="20"/>
          <w:szCs w:val="20"/>
          <w:shd w:val="clear" w:color="auto" w:fill="FFFFFF"/>
        </w:rPr>
        <w:t>Nettleton &amp; Turner, 2008</w:t>
      </w:r>
      <w:r w:rsidR="00CB303C" w:rsidRPr="00CB303C">
        <w:t>)</w:t>
      </w:r>
      <w:r w:rsidRPr="00D210D9">
        <w:t>. According to her, GDPR places a strong emphasis on data protection by default and design, pushing businesses to identify potential data risks and take the necessary precautions. Both the ICO and the Data Protection Act of Uganda offer information, resources, and guidelines about data sharing and privacy in both Ugandan and UK</w:t>
      </w:r>
      <w:r w:rsidR="00CB303C">
        <w:t xml:space="preserve"> </w:t>
      </w:r>
      <w:r w:rsidR="00CB303C" w:rsidRPr="000545CA">
        <w:t>(The Republic of Uganda, 2019).</w:t>
      </w:r>
    </w:p>
    <w:p w:rsidR="00CB303C" w:rsidRDefault="00C071B9">
      <w:r>
        <w:t xml:space="preserve">This article </w:t>
      </w:r>
      <w:r w:rsidR="00CB303C" w:rsidRPr="00CB303C">
        <w:t>emphasizes how important GDPR is in establishing global guidelines for data protection. It highlights the necessity of customized, helpful guidance for organizations, which the ICO offers through its unique tools and resources. GDPR and ICO play a crucial role in protecting personal data in the digital era because of its combination of broad principles and specific instruction that guarantees a complete approach to data protection</w:t>
      </w:r>
      <w:r w:rsidR="00CB303C">
        <w:t>(GDPR)</w:t>
      </w:r>
      <w:r w:rsidR="00CB303C" w:rsidRPr="00CB303C">
        <w:t>.</w:t>
      </w:r>
    </w:p>
    <w:p w:rsidR="00CB303C" w:rsidRDefault="00CB303C"/>
    <w:p w:rsidR="00CB303C" w:rsidRPr="00CB303C" w:rsidRDefault="00CB303C">
      <w:r w:rsidRPr="00CB303C">
        <w:t>The Republic of Uganda. (2019). The Data Protection and Privacy Act, 2019. Available from: </w:t>
      </w:r>
      <w:hyperlink r:id="rId4" w:history="1">
        <w:r w:rsidRPr="00CB303C">
          <w:t>https://ict.go.ug/wp-content/uploads/2019/03/Data-Protection-and-Privacy-Act-2019.pdf</w:t>
        </w:r>
      </w:hyperlink>
      <w:r w:rsidRPr="00CB303C">
        <w:t xml:space="preserve"> [Accessed 10 </w:t>
      </w:r>
      <w:r>
        <w:t>Oct</w:t>
      </w:r>
      <w:r w:rsidRPr="00CB303C">
        <w:t xml:space="preserve"> 2023]</w:t>
      </w:r>
    </w:p>
    <w:p w:rsidR="00CB303C" w:rsidRPr="00CB303C" w:rsidRDefault="00CB303C">
      <w:r w:rsidRPr="00CB303C">
        <w:t>European Union General Data Protection Regulation (GDPR). (2016). Available from: https://eur-lex.europa.eu/legal-content/EN/TXT/?qid=1532348683434&amp;uri=CELEX:02016R0679-20160504</w:t>
      </w:r>
    </w:p>
    <w:p w:rsidR="00CB303C" w:rsidRDefault="00C071B9" w:rsidP="00C071B9">
      <w:r>
        <w:rPr>
          <w:rFonts w:ascii="Arial" w:hAnsi="Arial" w:cs="Arial"/>
          <w:color w:val="222222"/>
          <w:sz w:val="20"/>
          <w:szCs w:val="20"/>
          <w:shd w:val="clear" w:color="auto" w:fill="FFFFFF"/>
        </w:rPr>
        <w:t>Nettleton, E. and Turner, I., 2008. Data protection: Tougher enforcement and increased power for the Information Commissioner? </w:t>
      </w:r>
      <w:r>
        <w:rPr>
          <w:rFonts w:ascii="Arial" w:hAnsi="Arial" w:cs="Arial"/>
          <w:i/>
          <w:iCs/>
          <w:color w:val="222222"/>
          <w:sz w:val="20"/>
          <w:szCs w:val="20"/>
          <w:shd w:val="clear" w:color="auto" w:fill="FFFFFF"/>
        </w:rPr>
        <w:t>Journal of Database Marketing &amp; Customer Strategy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 pp.207-212.</w:t>
      </w:r>
      <w:bookmarkStart w:id="0" w:name="_GoBack"/>
      <w:bookmarkEnd w:id="0"/>
    </w:p>
    <w:sectPr w:rsidR="00CB30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81"/>
    <w:rsid w:val="000545CA"/>
    <w:rsid w:val="00060CFF"/>
    <w:rsid w:val="000D5541"/>
    <w:rsid w:val="00243881"/>
    <w:rsid w:val="004121E6"/>
    <w:rsid w:val="0045423F"/>
    <w:rsid w:val="00493288"/>
    <w:rsid w:val="00A05966"/>
    <w:rsid w:val="00AA5B3F"/>
    <w:rsid w:val="00B70CD8"/>
    <w:rsid w:val="00C071B9"/>
    <w:rsid w:val="00CB303C"/>
    <w:rsid w:val="00D2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49CC0-BB67-407C-984C-7AA77CCE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303C"/>
    <w:rPr>
      <w:color w:val="0000FF"/>
      <w:u w:val="single"/>
    </w:rPr>
  </w:style>
  <w:style w:type="paragraph" w:styleId="NormalWeb">
    <w:name w:val="Normal (Web)"/>
    <w:basedOn w:val="Normal"/>
    <w:uiPriority w:val="99"/>
    <w:semiHidden/>
    <w:unhideWhenUsed/>
    <w:rsid w:val="00C07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71408">
      <w:bodyDiv w:val="1"/>
      <w:marLeft w:val="0"/>
      <w:marRight w:val="0"/>
      <w:marTop w:val="0"/>
      <w:marBottom w:val="0"/>
      <w:divBdr>
        <w:top w:val="none" w:sz="0" w:space="0" w:color="auto"/>
        <w:left w:val="none" w:sz="0" w:space="0" w:color="auto"/>
        <w:bottom w:val="none" w:sz="0" w:space="0" w:color="auto"/>
        <w:right w:val="none" w:sz="0" w:space="0" w:color="auto"/>
      </w:divBdr>
    </w:div>
    <w:div w:id="909315345">
      <w:bodyDiv w:val="1"/>
      <w:marLeft w:val="0"/>
      <w:marRight w:val="0"/>
      <w:marTop w:val="0"/>
      <w:marBottom w:val="0"/>
      <w:divBdr>
        <w:top w:val="none" w:sz="0" w:space="0" w:color="auto"/>
        <w:left w:val="none" w:sz="0" w:space="0" w:color="auto"/>
        <w:bottom w:val="none" w:sz="0" w:space="0" w:color="auto"/>
        <w:right w:val="none" w:sz="0" w:space="0" w:color="auto"/>
      </w:divBdr>
    </w:div>
    <w:div w:id="138031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ct.go.ug/wp-content/uploads/2019/03/Data-Protection-and-Privacy-Act-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Mutebe</dc:creator>
  <cp:keywords/>
  <dc:description/>
  <cp:lastModifiedBy>Alex Mutebe</cp:lastModifiedBy>
  <cp:revision>2</cp:revision>
  <dcterms:created xsi:type="dcterms:W3CDTF">2023-10-30T12:09:00Z</dcterms:created>
  <dcterms:modified xsi:type="dcterms:W3CDTF">2023-10-30T12:09:00Z</dcterms:modified>
</cp:coreProperties>
</file>