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ro"/>
    <w:p>
      <w:pPr>
        <w:pStyle w:val="Heading2"/>
      </w:pPr>
      <w:r>
        <w:t xml:space="preserve">Hero</w:t>
      </w:r>
    </w:p>
    <w:p>
      <w:pPr>
        <w:pStyle w:val="FirstParagraph"/>
      </w:pPr>
      <w:r>
        <w:rPr>
          <w:b/>
          <w:bCs/>
        </w:rPr>
        <w:t xml:space="preserve">Algorithmic precision. Your capital. Our edge.</w:t>
      </w:r>
    </w:p>
    <w:p>
      <w:pPr>
        <w:pStyle w:val="BodyText"/>
      </w:pPr>
      <w:r>
        <w:t xml:space="preserve">Deploy institutional‑grade trading strategies directly in your own brokerage account-no pooled funds, no lock‑ups, no hand‑offs.</w:t>
      </w:r>
    </w:p>
    <w:p>
      <w:pPr>
        <w:pStyle w:val="BodyText"/>
      </w:pPr>
      <w:r>
        <w:t xml:space="preserve"> [ Request a Demo ]</w:t>
      </w:r>
    </w:p>
    <w:bookmarkEnd w:id="20"/>
    <w:bookmarkStart w:id="21" w:name="who-we-are"/>
    <w:p>
      <w:pPr>
        <w:pStyle w:val="Heading2"/>
      </w:pPr>
      <w:r>
        <w:t xml:space="preserve">Who We Are</w:t>
      </w:r>
    </w:p>
    <w:p>
      <w:pPr>
        <w:pStyle w:val="FirstParagraph"/>
      </w:pPr>
      <w:r>
        <w:t xml:space="preserve">Sharkfin Ventures LLP is a research‑driven, systematic trading studio. We build the same low‑latency, data‑hungry algorithms used by elite hedge funds, then give you the keys so you can run them with your own capital.</w:t>
      </w:r>
    </w:p>
    <w:p>
      <w:pPr>
        <w:pStyle w:val="Compact"/>
        <w:numPr>
          <w:ilvl w:val="0"/>
          <w:numId w:val="1001"/>
        </w:numPr>
      </w:pPr>
      <w:r>
        <w:t xml:space="preserve">We never touch your money.</w:t>
      </w:r>
    </w:p>
    <w:p>
      <w:pPr>
        <w:pStyle w:val="Compact"/>
        <w:numPr>
          <w:ilvl w:val="0"/>
          <w:numId w:val="1001"/>
        </w:numPr>
      </w:pPr>
      <w:r>
        <w:t xml:space="preserve">You decide how much margin to pledge-stocks, bonds, mutual funds, or cash.</w:t>
      </w:r>
    </w:p>
    <w:p>
      <w:pPr>
        <w:pStyle w:val="Compact"/>
        <w:numPr>
          <w:ilvl w:val="0"/>
          <w:numId w:val="1001"/>
        </w:numPr>
      </w:pPr>
      <w:r>
        <w:t xml:space="preserve">We supply the technology, risk guardrails, and day‑to‑day support.</w:t>
      </w:r>
    </w:p>
    <w:bookmarkEnd w:id="21"/>
    <w:bookmarkStart w:id="22" w:name="core-principles"/>
    <w:p>
      <w:pPr>
        <w:pStyle w:val="Heading2"/>
      </w:pPr>
      <w:r>
        <w:t xml:space="preserve">Core Principles</w:t>
      </w:r>
    </w:p>
    <w:p>
      <w:pPr>
        <w:pStyle w:val="FirstParagraph"/>
      </w:pPr>
      <w:r>
        <w:rPr>
          <w:b/>
          <w:bCs/>
        </w:rPr>
        <w:t xml:space="preserve">Risk‑First Approach</w:t>
      </w:r>
      <w:r>
        <w:t xml:space="preserve">  Multi‑layer stops, dynamic hedges, and factor diversification keep drawdowns in check.</w:t>
      </w:r>
    </w:p>
    <w:p>
      <w:pPr>
        <w:pStyle w:val="BodyText"/>
      </w:pPr>
      <w:r>
        <w:rPr>
          <w:b/>
          <w:bCs/>
        </w:rPr>
        <w:t xml:space="preserve">Sharpe Over Size</w:t>
      </w:r>
      <w:r>
        <w:t xml:space="preserve">  Smooth, risk‑adjusted growth beats flashy but volatile returns.</w:t>
      </w:r>
    </w:p>
    <w:p>
      <w:pPr>
        <w:pStyle w:val="BodyText"/>
      </w:pPr>
      <w:r>
        <w:rPr>
          <w:b/>
          <w:bCs/>
        </w:rPr>
        <w:t xml:space="preserve">Transparent Control</w:t>
      </w:r>
      <w:r>
        <w:t xml:space="preserve">  All trades fire in your account; you can override or exit any time.</w:t>
      </w:r>
    </w:p>
    <w:p>
      <w:pPr>
        <w:pStyle w:val="BodyText"/>
      </w:pPr>
      <w:r>
        <w:rPr>
          <w:b/>
          <w:bCs/>
        </w:rPr>
        <w:t xml:space="preserve">Plug‑and‑Play Tech</w:t>
      </w:r>
      <w:r>
        <w:t xml:space="preserve">  One‑click activation on TradeTron-no coding required.</w:t>
      </w:r>
    </w:p>
    <w:p>
      <w:pPr>
        <w:pStyle w:val="BodyText"/>
      </w:pPr>
      <w:r>
        <w:rPr>
          <w:b/>
          <w:bCs/>
        </w:rPr>
        <w:t xml:space="preserve">Relentless R&amp;D</w:t>
      </w:r>
      <w:r>
        <w:t xml:space="preserve">  Every signal is walk‑forward tested before it reaches production.</w:t>
      </w:r>
    </w:p>
    <w:bookmarkEnd w:id="22"/>
    <w:bookmarkStart w:id="23" w:name="how-it-works"/>
    <w:p>
      <w:pPr>
        <w:pStyle w:val="Heading2"/>
      </w:pPr>
      <w:r>
        <w:t xml:space="preserve">How It Works</w:t>
      </w:r>
    </w:p>
    <w:p>
      <w:pPr>
        <w:pStyle w:val="Compact"/>
        <w:numPr>
          <w:ilvl w:val="0"/>
          <w:numId w:val="1002"/>
        </w:numPr>
      </w:pPr>
      <w:r>
        <w:rPr>
          <w:b/>
          <w:bCs/>
        </w:rPr>
        <w:t xml:space="preserve">Pledge Margin</w:t>
      </w:r>
      <w:r>
        <w:br/>
      </w:r>
      <w:r>
        <w:t xml:space="preserve">Use existing holdings (or cash) to unlock margin with your broker-no fresh capital needed.</w:t>
      </w:r>
    </w:p>
    <w:p>
      <w:pPr>
        <w:pStyle w:val="Compact"/>
        <w:numPr>
          <w:ilvl w:val="0"/>
          <w:numId w:val="1002"/>
        </w:numPr>
      </w:pPr>
      <w:r>
        <w:rPr>
          <w:b/>
          <w:bCs/>
        </w:rPr>
        <w:t xml:space="preserve">Connect</w:t>
      </w:r>
      <w:r>
        <w:br/>
      </w:r>
      <w:r>
        <w:t xml:space="preserve">Link your account to the private Sharkfin strategy vault on TradeTron. Our team walks you through it.</w:t>
      </w:r>
    </w:p>
    <w:p>
      <w:pPr>
        <w:pStyle w:val="Compact"/>
        <w:numPr>
          <w:ilvl w:val="0"/>
          <w:numId w:val="1002"/>
        </w:numPr>
      </w:pPr>
      <w:r>
        <w:rPr>
          <w:b/>
          <w:bCs/>
        </w:rPr>
        <w:t xml:space="preserve">Choose a Strategy</w:t>
      </w:r>
      <w:r>
        <w:br/>
      </w:r>
      <w:r>
        <w:t xml:space="preserve">Pick from intraday mean‑reversion, options income, volatility breakouts, and more-each labeled with live Sharpe and max drawdown stats.</w:t>
      </w:r>
    </w:p>
    <w:p>
      <w:pPr>
        <w:pStyle w:val="Compact"/>
        <w:numPr>
          <w:ilvl w:val="0"/>
          <w:numId w:val="1002"/>
        </w:numPr>
      </w:pPr>
      <w:r>
        <w:rPr>
          <w:b/>
          <w:bCs/>
        </w:rPr>
        <w:t xml:space="preserve">Monitor &amp; Manage</w:t>
      </w:r>
      <w:r>
        <w:br/>
      </w:r>
      <w:r>
        <w:t xml:space="preserve">Real‑time dashboards, automated risk alerts, and daily P&amp;L summaries keep you in the driver’s seat.</w:t>
      </w:r>
    </w:p>
    <w:bookmarkEnd w:id="23"/>
    <w:bookmarkStart w:id="24" w:name="risk-management-framework"/>
    <w:p>
      <w:pPr>
        <w:pStyle w:val="Heading2"/>
      </w:pPr>
      <w:r>
        <w:t xml:space="preserve">Risk Management Framework</w:t>
      </w:r>
    </w:p>
    <w:p>
      <w:pPr>
        <w:pStyle w:val="Compact"/>
        <w:numPr>
          <w:ilvl w:val="0"/>
          <w:numId w:val="1003"/>
        </w:numPr>
      </w:pPr>
      <w:r>
        <w:rPr>
          <w:b/>
          <w:bCs/>
        </w:rPr>
        <w:t xml:space="preserve">Pre‑Trade Filters</w:t>
      </w:r>
      <w:r>
        <w:t xml:space="preserve"> </w:t>
      </w:r>
      <w:r>
        <w:t xml:space="preserve">- Position limits, liquidity screens, and volatility throttles block bad entries.</w:t>
      </w:r>
    </w:p>
    <w:p>
      <w:pPr>
        <w:pStyle w:val="Compact"/>
        <w:numPr>
          <w:ilvl w:val="0"/>
          <w:numId w:val="1003"/>
        </w:numPr>
      </w:pPr>
      <w:r>
        <w:rPr>
          <w:b/>
          <w:bCs/>
        </w:rPr>
        <w:t xml:space="preserve">In‑Trade Controls</w:t>
      </w:r>
      <w:r>
        <w:t xml:space="preserve"> </w:t>
      </w:r>
      <w:r>
        <w:t xml:space="preserve">- Adaptive stops, option‑greeks balancing, and portfolio‑level VaR caps keep risk contained.</w:t>
      </w:r>
    </w:p>
    <w:p>
      <w:pPr>
        <w:pStyle w:val="Compact"/>
        <w:numPr>
          <w:ilvl w:val="0"/>
          <w:numId w:val="1003"/>
        </w:numPr>
      </w:pPr>
      <w:r>
        <w:rPr>
          <w:b/>
          <w:bCs/>
        </w:rPr>
        <w:t xml:space="preserve">Post‑Trade Analytics</w:t>
      </w:r>
      <w:r>
        <w:t xml:space="preserve"> </w:t>
      </w:r>
      <w:r>
        <w:t xml:space="preserve">- Every fill is tagged and reviewed for drift, slippage, and factor exposure.</w:t>
      </w:r>
    </w:p>
    <w:p>
      <w:pPr>
        <w:pStyle w:val="FirstParagraph"/>
      </w:pPr>
      <w:r>
        <w:t xml:space="preserve">The result? Lower variance, higher geometric growth, and consistently elevated Sharpe ratios.</w:t>
      </w:r>
    </w:p>
    <w:bookmarkEnd w:id="24"/>
    <w:bookmarkStart w:id="25" w:name="tools-resources"/>
    <w:p>
      <w:pPr>
        <w:pStyle w:val="Heading2"/>
      </w:pPr>
      <w:r>
        <w:t xml:space="preserve">Tools &amp; Resources</w:t>
      </w:r>
    </w:p>
    <w:p>
      <w:pPr>
        <w:pStyle w:val="Compact"/>
        <w:numPr>
          <w:ilvl w:val="0"/>
          <w:numId w:val="1004"/>
        </w:numPr>
      </w:pPr>
      <w:r>
        <w:t xml:space="preserve">Past Performance</w:t>
      </w:r>
    </w:p>
    <w:p>
      <w:pPr>
        <w:pStyle w:val="Compact"/>
        <w:numPr>
          <w:ilvl w:val="0"/>
          <w:numId w:val="1004"/>
        </w:numPr>
      </w:pPr>
      <w:r>
        <w:t xml:space="preserve">Telegram alert bot</w:t>
      </w:r>
    </w:p>
    <w:p>
      <w:pPr>
        <w:pStyle w:val="Compact"/>
        <w:numPr>
          <w:ilvl w:val="0"/>
          <w:numId w:val="1004"/>
        </w:numPr>
      </w:pPr>
      <w:r>
        <w:t xml:space="preserve">Knowledge base covering strategy logic, margin optimization, and taxes</w:t>
      </w:r>
    </w:p>
    <w:p>
      <w:pPr>
        <w:pStyle w:val="Compact"/>
        <w:numPr>
          <w:ilvl w:val="0"/>
          <w:numId w:val="1004"/>
        </w:numPr>
      </w:pPr>
      <w:r>
        <w:t xml:space="preserve">Telegram &amp; Discord channels for live support</w:t>
      </w:r>
    </w:p>
    <w:bookmarkEnd w:id="25"/>
    <w:bookmarkStart w:id="26" w:name="performance-snapshot"/>
    <w:p>
      <w:pPr>
        <w:pStyle w:val="Heading2"/>
      </w:pPr>
      <w:r>
        <w:t xml:space="preserve">Performance Snapshot*</w:t>
      </w:r>
    </w:p>
    <w:tbl>
      <w:tblPr>
        <w:tblStyle w:val="Table"/>
        <w:tblW w:type="pct" w:w="5000"/>
        <w:tblLayout w:type="fixed"/>
        <w:tblLook w:firstRow="1" w:lastRow="0" w:firstColumn="0" w:lastColumn="0" w:noHBand="0" w:noVBand="0" w:val="0020"/>
      </w:tblPr>
      <w:tblGrid>
        <w:gridCol w:w="2554"/>
        <w:gridCol w:w="1405"/>
        <w:gridCol w:w="1532"/>
        <w:gridCol w:w="2427"/>
      </w:tblGrid>
      <w:tr>
        <w:trPr>
          <w:tblHeader w:val="on"/>
        </w:trPr>
        <w:tc>
          <w:tcPr/>
          <w:p>
            <w:pPr>
              <w:pStyle w:val="Compact"/>
            </w:pPr>
            <w:r>
              <w:t xml:space="preserve">Portfolio</w:t>
            </w:r>
          </w:p>
        </w:tc>
        <w:tc>
          <w:tcPr/>
          <w:p>
            <w:pPr>
              <w:pStyle w:val="Compact"/>
            </w:pPr>
            <w:r>
              <w:t xml:space="preserve">Live Sharpe</w:t>
            </w:r>
          </w:p>
        </w:tc>
        <w:tc>
          <w:tcPr/>
          <w:p>
            <w:pPr>
              <w:pStyle w:val="Compact"/>
            </w:pPr>
            <w:r>
              <w:t xml:space="preserve">Max Drawdown</w:t>
            </w:r>
          </w:p>
        </w:tc>
        <w:tc>
          <w:tcPr/>
          <w:p>
            <w:pPr>
              <w:pStyle w:val="Compact"/>
            </w:pPr>
            <w:r>
              <w:t xml:space="preserve">Avg. Monthly Trades</w:t>
            </w:r>
          </w:p>
        </w:tc>
      </w:tr>
      <w:tr>
        <w:tc>
          <w:tcPr/>
          <w:p>
            <w:pPr>
              <w:pStyle w:val="Compact"/>
            </w:pPr>
            <w:r>
              <w:t xml:space="preserve">Adaptive Options</w:t>
            </w:r>
          </w:p>
        </w:tc>
        <w:tc>
          <w:tcPr/>
          <w:p>
            <w:pPr>
              <w:pStyle w:val="Compact"/>
            </w:pPr>
            <w:r>
              <w:t xml:space="preserve">3.2</w:t>
            </w:r>
          </w:p>
        </w:tc>
        <w:tc>
          <w:tcPr/>
          <w:p>
            <w:pPr>
              <w:pStyle w:val="Compact"/>
            </w:pPr>
            <w:r>
              <w:t xml:space="preserve">-4.8 %</w:t>
            </w:r>
          </w:p>
        </w:tc>
        <w:tc>
          <w:tcPr/>
          <w:p>
            <w:pPr>
              <w:pStyle w:val="Compact"/>
            </w:pPr>
            <w:r>
              <w:t xml:space="preserve">180</w:t>
            </w:r>
          </w:p>
        </w:tc>
      </w:tr>
      <w:tr>
        <w:tc>
          <w:tcPr/>
          <w:p>
            <w:pPr>
              <w:pStyle w:val="Compact"/>
            </w:pPr>
            <w:r>
              <w:t xml:space="preserve">Index Mean‑Reversion</w:t>
            </w:r>
          </w:p>
        </w:tc>
        <w:tc>
          <w:tcPr/>
          <w:p>
            <w:pPr>
              <w:pStyle w:val="Compact"/>
            </w:pPr>
            <w:r>
              <w:t xml:space="preserve">2.7</w:t>
            </w:r>
          </w:p>
        </w:tc>
        <w:tc>
          <w:tcPr/>
          <w:p>
            <w:pPr>
              <w:pStyle w:val="Compact"/>
            </w:pPr>
            <w:r>
              <w:t xml:space="preserve">-3.5 %</w:t>
            </w:r>
          </w:p>
        </w:tc>
        <w:tc>
          <w:tcPr/>
          <w:p>
            <w:pPr>
              <w:pStyle w:val="Compact"/>
            </w:pPr>
            <w:r>
              <w:t xml:space="preserve">60</w:t>
            </w:r>
          </w:p>
        </w:tc>
      </w:tr>
      <w:tr>
        <w:tc>
          <w:tcPr/>
          <w:p>
            <w:pPr>
              <w:pStyle w:val="Compact"/>
            </w:pPr>
            <w:r>
              <w:t xml:space="preserve">Vol‑Arb Basket</w:t>
            </w:r>
          </w:p>
        </w:tc>
        <w:tc>
          <w:tcPr/>
          <w:p>
            <w:pPr>
              <w:pStyle w:val="Compact"/>
            </w:pPr>
            <w:r>
              <w:t xml:space="preserve">2.9</w:t>
            </w:r>
          </w:p>
        </w:tc>
        <w:tc>
          <w:tcPr/>
          <w:p>
            <w:pPr>
              <w:pStyle w:val="Compact"/>
            </w:pPr>
            <w:r>
              <w:t xml:space="preserve">-5.1 %</w:t>
            </w:r>
          </w:p>
        </w:tc>
        <w:tc>
          <w:tcPr/>
          <w:p>
            <w:pPr>
              <w:pStyle w:val="Compact"/>
            </w:pPr>
            <w:r>
              <w:t xml:space="preserve">45</w:t>
            </w:r>
          </w:p>
        </w:tc>
      </w:tr>
    </w:tbl>
    <w:p>
      <w:pPr>
        <w:pStyle w:val="BodyText"/>
      </w:pPr>
      <w:r>
        <w:t xml:space="preserve">*Net of execution costs on a representative broker account, Jan 2023 - Jun 2025. Past performance is not a guarantee of future results.</w:t>
      </w:r>
    </w:p>
    <w:bookmarkEnd w:id="26"/>
    <w:bookmarkStart w:id="27" w:name="why-sharkfin"/>
    <w:p>
      <w:pPr>
        <w:pStyle w:val="Heading2"/>
      </w:pPr>
      <w:r>
        <w:t xml:space="preserve">Why Sharkfin?</w:t>
      </w:r>
    </w:p>
    <w:p>
      <w:pPr>
        <w:pStyle w:val="Compact"/>
        <w:numPr>
          <w:ilvl w:val="0"/>
          <w:numId w:val="1005"/>
        </w:numPr>
      </w:pPr>
      <w:r>
        <w:t xml:space="preserve">Institutional‑grade quant stack without six‑figure onboarding fees.</w:t>
      </w:r>
    </w:p>
    <w:p>
      <w:pPr>
        <w:pStyle w:val="Compact"/>
        <w:numPr>
          <w:ilvl w:val="0"/>
          <w:numId w:val="1005"/>
        </w:numPr>
      </w:pPr>
      <w:r>
        <w:t xml:space="preserve">Capital efficiency-redeploy idle portfolio collateral instead of wiring cash.</w:t>
      </w:r>
    </w:p>
    <w:p>
      <w:pPr>
        <w:pStyle w:val="Compact"/>
        <w:numPr>
          <w:ilvl w:val="0"/>
          <w:numId w:val="1005"/>
        </w:numPr>
      </w:pPr>
      <w:r>
        <w:t xml:space="preserve">Straightforward subscription covers research, infra, and support. Very low performance fees.</w:t>
      </w:r>
    </w:p>
    <w:p>
      <w:pPr>
        <w:pStyle w:val="Compact"/>
        <w:numPr>
          <w:ilvl w:val="0"/>
          <w:numId w:val="1005"/>
        </w:numPr>
      </w:pPr>
      <w:r>
        <w:t xml:space="preserve">Clear regulatory stance: we are a technology provider, not a fund manager. You stay in control.</w:t>
      </w:r>
    </w:p>
    <w:bookmarkEnd w:id="27"/>
    <w:bookmarkStart w:id="31" w:name="get-started-in-minutes"/>
    <w:p>
      <w:pPr>
        <w:pStyle w:val="Heading2"/>
      </w:pPr>
      <w:r>
        <w:t xml:space="preserve">Get Started in Minutes</w:t>
      </w:r>
    </w:p>
    <w:p>
      <w:pPr>
        <w:pStyle w:val="Compact"/>
        <w:numPr>
          <w:ilvl w:val="0"/>
          <w:numId w:val="1006"/>
        </w:numPr>
      </w:pPr>
      <w:r>
        <w:t xml:space="preserve">Open (or use) a broker account that supports margin pledge.</w:t>
      </w:r>
    </w:p>
    <w:p>
      <w:pPr>
        <w:pStyle w:val="Compact"/>
        <w:numPr>
          <w:ilvl w:val="0"/>
          <w:numId w:val="1006"/>
        </w:numPr>
      </w:pPr>
      <w:r>
        <w:t xml:space="preserve">Subscribe to the Sharkfin Strategy Vault on TradeTron.</w:t>
      </w:r>
    </w:p>
    <w:p>
      <w:pPr>
        <w:pStyle w:val="Compact"/>
        <w:numPr>
          <w:ilvl w:val="0"/>
          <w:numId w:val="1006"/>
        </w:numPr>
      </w:pPr>
      <w:r>
        <w:t xml:space="preserve">Activate your chosen portfolio.</w:t>
      </w:r>
    </w:p>
    <w:p>
      <w:pPr>
        <w:pStyle w:val="Compact"/>
        <w:numPr>
          <w:ilvl w:val="0"/>
          <w:numId w:val="1006"/>
        </w:numPr>
      </w:pPr>
      <w:r>
        <w:t xml:space="preserve">Track, tweak, and grow-on your terms.</w:t>
      </w:r>
    </w:p>
    <w:p>
      <w:pPr>
        <w:pStyle w:val="FirstParagraph"/>
      </w:pPr>
      <w:r>
        <w:t xml:space="preserve">[ Get Started ] [ Connect on TradeTron ]</w:t>
      </w:r>
    </w:p>
    <w:bookmarkStart w:id="28" w:name="disclaimer"/>
    <w:p>
      <w:pPr>
        <w:pStyle w:val="Heading3"/>
      </w:pPr>
      <w:r>
        <w:t xml:space="preserve">Disclaimer</w:t>
      </w:r>
    </w:p>
    <w:p>
      <w:pPr>
        <w:pStyle w:val="FirstParagraph"/>
      </w:pPr>
      <w:r>
        <w:t xml:space="preserve">Trading in securities and derivatives involves risk, including the risk of capital loss. Sharpe ratios and drawdowns shown are based on historical data and forward‑looking simulations. Sharkfin Ventures LLP is not a SEBI‑registered investment advisor and does not accept or manage client funds. Users remain fully responsible for trade execution and regulatory compliance. Consult a qualified financial professional before using algorithmic strategies.</w:t>
      </w:r>
    </w:p>
    <w:bookmarkEnd w:id="28"/>
    <w:bookmarkStart w:id="30" w:name="talk-to-us"/>
    <w:p>
      <w:pPr>
        <w:pStyle w:val="Heading3"/>
      </w:pPr>
      <w:r>
        <w:t xml:space="preserve">Talk to Us</w:t>
      </w:r>
    </w:p>
    <w:p>
      <w:pPr>
        <w:pStyle w:val="FirstParagraph"/>
      </w:pPr>
      <w:r>
        <w:t xml:space="preserve">Need a custom broker integration, API access, or enterprise licensing?</w:t>
      </w:r>
    </w:p>
    <w:p>
      <w:pPr>
        <w:pStyle w:val="BodyText"/>
      </w:pPr>
      <w:r>
        <w:t xml:space="preserve">Email:</w:t>
      </w:r>
      <w:r>
        <w:t xml:space="preserve"> </w:t>
      </w:r>
      <w:hyperlink r:id="rId29">
        <w:r>
          <w:rPr>
            <w:rStyle w:val="Hyperlink"/>
          </w:rPr>
          <w:t xml:space="preserve">partnerships@sharkfin.ventures</w:t>
        </w:r>
      </w:hyperlink>
      <w:r>
        <w:t xml:space="preserve"> </w:t>
      </w:r>
      <w:r>
        <w:t xml:space="preserve">  |   Telegram:</w:t>
      </w:r>
      <w:r>
        <w:t xml:space="preserve"> </w:t>
      </w:r>
      <w:r>
        <w:t xml:space="preserve">@SharkfinQuant</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partnerships@sharkfin.ventures" TargetMode="External" /></Relationships>
</file>

<file path=word/_rels/footnotes.xml.rels><?xml version="1.0" encoding="UTF-8"?><Relationships xmlns="http://schemas.openxmlformats.org/package/2006/relationships"><Relationship Type="http://schemas.openxmlformats.org/officeDocument/2006/relationships/hyperlink" Id="rId29" Target="mailto:partnerships@sharkfin.ven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2025-07-16T05:10:18Z</dcterms:created>
  <dcterms:modified xsi:type="dcterms:W3CDTF">2025-07-16T05:10:18Z</dcterms:modified>
</cp:coreProperties>
</file>

<file path=docProps/custom.xml><?xml version="1.0" encoding="utf-8"?>
<Properties xmlns="http://schemas.openxmlformats.org/officeDocument/2006/custom-properties" xmlns:vt="http://schemas.openxmlformats.org/officeDocument/2006/docPropsVTypes"/>
</file>