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2F08A4" w:rsidRDefault="008249D0" w:rsidP="00DC37A1">
      <w:pPr>
        <w:spacing w:line="266" w:lineRule="exact"/>
        <w:ind w:left="200" w:right="100"/>
        <w:jc w:val="both"/>
        <w:rPr>
          <w:rFonts w:eastAsia="Arial"/>
          <w:sz w:val="21"/>
          <w:szCs w:val="21"/>
          <w:lang w:val="en-US"/>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10490" w:type="dxa"/>
        <w:tblInd w:w="-601" w:type="dxa"/>
        <w:tblLook w:val="04A0"/>
      </w:tblPr>
      <w:tblGrid>
        <w:gridCol w:w="750"/>
        <w:gridCol w:w="864"/>
        <w:gridCol w:w="1233"/>
        <w:gridCol w:w="1973"/>
        <w:gridCol w:w="3827"/>
        <w:gridCol w:w="1843"/>
      </w:tblGrid>
      <w:tr w:rsidR="00DC37A1" w:rsidRPr="00DC37A1" w:rsidTr="00E30805">
        <w:trPr>
          <w:trHeight w:val="521"/>
        </w:trPr>
        <w:tc>
          <w:tcPr>
            <w:tcW w:w="750"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86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233"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1973"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3827"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843"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2F346C" w:rsidTr="00E30805">
        <w:trPr>
          <w:trHeight w:val="273"/>
        </w:trPr>
        <w:tc>
          <w:tcPr>
            <w:tcW w:w="750" w:type="dxa"/>
          </w:tcPr>
          <w:p w:rsidR="00DC37A1" w:rsidRPr="00DC37A1" w:rsidRDefault="00DC37A1" w:rsidP="001F05C1">
            <w:pPr>
              <w:spacing w:line="276" w:lineRule="auto"/>
              <w:rPr>
                <w:lang w:val="en-US"/>
              </w:rPr>
            </w:pPr>
            <w:r w:rsidRPr="00DC37A1">
              <w:rPr>
                <w:lang w:val="en-US"/>
              </w:rPr>
              <w:t>1</w:t>
            </w:r>
          </w:p>
        </w:tc>
        <w:tc>
          <w:tcPr>
            <w:tcW w:w="864" w:type="dxa"/>
          </w:tcPr>
          <w:p w:rsidR="00DC37A1" w:rsidRPr="00DC37A1" w:rsidRDefault="00DC37A1" w:rsidP="001F05C1">
            <w:pPr>
              <w:spacing w:line="276" w:lineRule="auto"/>
              <w:rPr>
                <w:lang w:val="en-US"/>
              </w:rPr>
            </w:pPr>
            <w:r w:rsidRPr="00DC37A1">
              <w:rPr>
                <w:lang w:val="en-US"/>
              </w:rPr>
              <w:t>T+0 months</w:t>
            </w:r>
          </w:p>
        </w:tc>
        <w:tc>
          <w:tcPr>
            <w:tcW w:w="1233" w:type="dxa"/>
          </w:tcPr>
          <w:p w:rsidR="00DC37A1" w:rsidRPr="00DC37A1" w:rsidRDefault="00DC37A1" w:rsidP="001F05C1">
            <w:pPr>
              <w:spacing w:line="276" w:lineRule="auto"/>
              <w:rPr>
                <w:lang w:val="en-US"/>
              </w:rPr>
            </w:pPr>
            <w:r w:rsidRPr="00DC37A1">
              <w:rPr>
                <w:lang w:val="en-US"/>
              </w:rPr>
              <w:t>T+1 weeks</w:t>
            </w:r>
          </w:p>
        </w:tc>
        <w:tc>
          <w:tcPr>
            <w:tcW w:w="1973"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3827"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Default="00DC37A1" w:rsidP="001F05C1">
            <w:pPr>
              <w:spacing w:line="276" w:lineRule="auto"/>
              <w:rPr>
                <w:rFonts w:eastAsia="Arial"/>
                <w:lang w:val="en-US"/>
              </w:rPr>
            </w:pPr>
            <w:r w:rsidRPr="00DC37A1">
              <w:rPr>
                <w:rFonts w:eastAsia="Arial"/>
                <w:lang w:val="en-US"/>
              </w:rPr>
              <w:t>the Problem.</w:t>
            </w:r>
          </w:p>
          <w:p w:rsidR="007B3FB7" w:rsidRDefault="007B3FB7" w:rsidP="001F05C1">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1F05C1">
            <w:pPr>
              <w:spacing w:line="276" w:lineRule="auto"/>
              <w:rPr>
                <w:rFonts w:eastAsia="Arial"/>
                <w:lang w:val="en-US"/>
              </w:rPr>
            </w:pPr>
            <w:r>
              <w:rPr>
                <w:rFonts w:eastAsia="Arial"/>
                <w:lang w:val="en-US"/>
              </w:rPr>
              <w:t xml:space="preserve">URL - </w:t>
            </w:r>
            <w:hyperlink r:id="rId6" w:history="1">
              <w:r w:rsidRPr="007B3FB7">
                <w:rPr>
                  <w:rStyle w:val="a8"/>
                  <w:lang w:val="en-US"/>
                </w:rPr>
                <w:t>https://github.com/amvicc/The-Simpsons-Recognition/tree/master/Analysis</w:t>
              </w:r>
            </w:hyperlink>
          </w:p>
          <w:p w:rsidR="00DC37A1" w:rsidRDefault="00DC37A1" w:rsidP="001F05C1">
            <w:pPr>
              <w:spacing w:line="276" w:lineRule="auto"/>
              <w:rPr>
                <w:rFonts w:eastAsia="Arial"/>
                <w:lang w:val="en-US"/>
              </w:rPr>
            </w:pPr>
            <w:r w:rsidRPr="00DC37A1">
              <w:rPr>
                <w:rFonts w:eastAsia="Arial"/>
                <w:lang w:val="en-US"/>
              </w:rPr>
              <w:t>2. Description of the efficient model.</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1F05C1">
            <w:pPr>
              <w:spacing w:line="276" w:lineRule="auto"/>
              <w:rPr>
                <w:rFonts w:eastAsia="Arial"/>
                <w:lang w:val="en-US"/>
              </w:rPr>
            </w:pPr>
            <w:r>
              <w:rPr>
                <w:rFonts w:eastAsia="Arial"/>
                <w:lang w:val="en-US"/>
              </w:rPr>
              <w:t xml:space="preserve">URL - </w:t>
            </w:r>
            <w:hyperlink r:id="rId7" w:history="1">
              <w:r w:rsidRPr="007B3FB7">
                <w:rPr>
                  <w:rStyle w:val="a8"/>
                  <w:lang w:val="en-US"/>
                </w:rPr>
                <w:t>https://github.com/amvicc/The-Simpsons-Recognition/tree/master/Analysis</w:t>
              </w:r>
            </w:hyperlink>
          </w:p>
        </w:tc>
        <w:tc>
          <w:tcPr>
            <w:tcW w:w="1843"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DC37A1" w:rsidTr="00E30805">
        <w:trPr>
          <w:trHeight w:val="277"/>
        </w:trPr>
        <w:tc>
          <w:tcPr>
            <w:tcW w:w="750" w:type="dxa"/>
          </w:tcPr>
          <w:p w:rsidR="00DC37A1" w:rsidRPr="00DC37A1" w:rsidRDefault="00DC37A1" w:rsidP="001F05C1">
            <w:pPr>
              <w:spacing w:line="276" w:lineRule="auto"/>
              <w:rPr>
                <w:lang w:val="en-US"/>
              </w:rPr>
            </w:pPr>
            <w:r w:rsidRPr="00DC37A1">
              <w:rPr>
                <w:lang w:val="en-US"/>
              </w:rPr>
              <w:t>2</w:t>
            </w:r>
          </w:p>
        </w:tc>
        <w:tc>
          <w:tcPr>
            <w:tcW w:w="864" w:type="dxa"/>
          </w:tcPr>
          <w:p w:rsidR="00DC37A1" w:rsidRPr="00DC37A1" w:rsidRDefault="00DC37A1" w:rsidP="001F05C1">
            <w:pPr>
              <w:spacing w:line="276" w:lineRule="auto"/>
              <w:rPr>
                <w:lang w:val="en-US"/>
              </w:rPr>
            </w:pPr>
            <w:r w:rsidRPr="00DC37A1">
              <w:rPr>
                <w:lang w:val="en-US"/>
              </w:rPr>
              <w:t>T+1 weeks</w:t>
            </w:r>
          </w:p>
        </w:tc>
        <w:tc>
          <w:tcPr>
            <w:tcW w:w="1233" w:type="dxa"/>
          </w:tcPr>
          <w:p w:rsidR="00DC37A1" w:rsidRPr="00DC37A1" w:rsidRDefault="00DC37A1" w:rsidP="001F05C1">
            <w:pPr>
              <w:spacing w:line="276" w:lineRule="auto"/>
              <w:rPr>
                <w:lang w:val="en-US"/>
              </w:rPr>
            </w:pPr>
            <w:r w:rsidRPr="00DC37A1">
              <w:rPr>
                <w:lang w:val="en-US"/>
              </w:rPr>
              <w:t>T+2 weeks</w:t>
            </w:r>
          </w:p>
        </w:tc>
        <w:tc>
          <w:tcPr>
            <w:tcW w:w="1973" w:type="dxa"/>
          </w:tcPr>
          <w:p w:rsidR="00DC37A1" w:rsidRPr="00DC37A1" w:rsidRDefault="00DC37A1" w:rsidP="00E30805">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E30805">
            <w:pPr>
              <w:pStyle w:val="a7"/>
              <w:numPr>
                <w:ilvl w:val="0"/>
                <w:numId w:val="3"/>
              </w:numPr>
              <w:spacing w:line="276" w:lineRule="auto"/>
              <w:ind w:left="317"/>
              <w:rPr>
                <w:lang w:val="en-US"/>
              </w:rPr>
            </w:pPr>
            <w:r w:rsidRPr="00DC37A1">
              <w:rPr>
                <w:rFonts w:eastAsia="Arial"/>
                <w:lang w:val="en-US"/>
              </w:rPr>
              <w:t>Creating neural network</w:t>
            </w:r>
          </w:p>
        </w:tc>
        <w:tc>
          <w:tcPr>
            <w:tcW w:w="3827" w:type="dxa"/>
          </w:tcPr>
          <w:p w:rsidR="00DC37A1" w:rsidRPr="007B3FB7"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7B3FB7" w:rsidRPr="00E30805" w:rsidRDefault="007B3FB7" w:rsidP="00E30805">
            <w:pPr>
              <w:spacing w:line="276" w:lineRule="auto"/>
              <w:ind w:left="-43"/>
              <w:rPr>
                <w:rFonts w:eastAsia="Arial"/>
                <w:lang w:val="en-US"/>
              </w:rPr>
            </w:pPr>
            <w:r w:rsidRPr="00E30805">
              <w:rPr>
                <w:rFonts w:eastAsia="Arial"/>
                <w:lang w:val="en-US"/>
              </w:rPr>
              <w:t>Format - .zip file with 990 Simpson images</w:t>
            </w:r>
          </w:p>
          <w:p w:rsidR="007B3FB7" w:rsidRPr="00E30805" w:rsidRDefault="007B3FB7" w:rsidP="00E30805">
            <w:pPr>
              <w:spacing w:line="276" w:lineRule="auto"/>
              <w:rPr>
                <w:lang w:val="en-US"/>
              </w:rPr>
            </w:pPr>
            <w:r w:rsidRPr="00E30805">
              <w:rPr>
                <w:rFonts w:eastAsia="Arial"/>
                <w:lang w:val="en-US"/>
              </w:rPr>
              <w:t xml:space="preserve">URL - </w:t>
            </w:r>
            <w:hyperlink r:id="rId8" w:history="1">
              <w:r w:rsidRPr="00E30805">
                <w:rPr>
                  <w:rStyle w:val="a8"/>
                  <w:lang w:val="en-US"/>
                </w:rPr>
                <w:t>https://github.com/amvicc/The-Simpsons-Recognition/tree/master/Dataset</w:t>
              </w:r>
            </w:hyperlink>
          </w:p>
          <w:p w:rsidR="00DC37A1" w:rsidRPr="007B3FB7" w:rsidRDefault="00DC37A1" w:rsidP="001F05C1">
            <w:pPr>
              <w:pStyle w:val="a7"/>
              <w:numPr>
                <w:ilvl w:val="0"/>
                <w:numId w:val="6"/>
              </w:numPr>
              <w:spacing w:line="276" w:lineRule="auto"/>
              <w:ind w:left="317"/>
              <w:rPr>
                <w:lang w:val="en-US"/>
              </w:rPr>
            </w:pPr>
            <w:r w:rsidRPr="00DC37A1">
              <w:rPr>
                <w:rFonts w:eastAsia="Arial"/>
                <w:lang w:val="en-US"/>
              </w:rPr>
              <w:t>Neural network</w:t>
            </w:r>
            <w:r w:rsidR="007B3FB7">
              <w:rPr>
                <w:rFonts w:eastAsia="Arial"/>
                <w:lang w:val="en-US"/>
              </w:rPr>
              <w:t xml:space="preserve"> </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E30805" w:rsidRDefault="007B3FB7" w:rsidP="00E30805">
            <w:pPr>
              <w:spacing w:line="276" w:lineRule="auto"/>
              <w:rPr>
                <w:lang w:val="en-US"/>
              </w:rPr>
            </w:pPr>
            <w:r w:rsidRPr="00E30805">
              <w:rPr>
                <w:rFonts w:eastAsia="Arial"/>
                <w:lang w:val="en-US"/>
              </w:rPr>
              <w:t xml:space="preserve">URL - </w:t>
            </w:r>
            <w:hyperlink r:id="rId9" w:history="1">
              <w:r w:rsidRPr="00E30805">
                <w:rPr>
                  <w:rStyle w:val="a8"/>
                  <w:lang w:val="en-US"/>
                </w:rPr>
                <w:t>https://github.com/amvicc/The-Simpsons-Recognition/tree/master/Application</w:t>
              </w:r>
            </w:hyperlink>
          </w:p>
        </w:tc>
        <w:tc>
          <w:tcPr>
            <w:tcW w:w="1843"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r>
      <w:tr w:rsidR="00DC37A1" w:rsidRPr="00164423" w:rsidTr="00E30805">
        <w:trPr>
          <w:trHeight w:val="281"/>
        </w:trPr>
        <w:tc>
          <w:tcPr>
            <w:tcW w:w="750" w:type="dxa"/>
          </w:tcPr>
          <w:p w:rsidR="00DC37A1" w:rsidRPr="00DC37A1" w:rsidRDefault="00DC37A1" w:rsidP="001F05C1">
            <w:pPr>
              <w:spacing w:line="276" w:lineRule="auto"/>
              <w:rPr>
                <w:lang w:val="en-US"/>
              </w:rPr>
            </w:pPr>
            <w:r w:rsidRPr="00DC37A1">
              <w:rPr>
                <w:lang w:val="en-US"/>
              </w:rPr>
              <w:t>3</w:t>
            </w:r>
          </w:p>
        </w:tc>
        <w:tc>
          <w:tcPr>
            <w:tcW w:w="864" w:type="dxa"/>
          </w:tcPr>
          <w:p w:rsidR="00DC37A1" w:rsidRPr="00DC37A1" w:rsidRDefault="00DC37A1" w:rsidP="001F05C1">
            <w:pPr>
              <w:spacing w:line="276" w:lineRule="auto"/>
              <w:rPr>
                <w:lang w:val="en-US"/>
              </w:rPr>
            </w:pPr>
            <w:r w:rsidRPr="00DC37A1">
              <w:rPr>
                <w:lang w:val="en-US"/>
              </w:rPr>
              <w:t>T+3 weeks</w:t>
            </w:r>
          </w:p>
        </w:tc>
        <w:tc>
          <w:tcPr>
            <w:tcW w:w="1233" w:type="dxa"/>
          </w:tcPr>
          <w:p w:rsidR="00DC37A1" w:rsidRPr="00DC37A1" w:rsidRDefault="00DC37A1" w:rsidP="001F05C1">
            <w:pPr>
              <w:spacing w:line="276" w:lineRule="auto"/>
              <w:rPr>
                <w:lang w:val="en-US"/>
              </w:rPr>
            </w:pPr>
            <w:r w:rsidRPr="00DC37A1">
              <w:rPr>
                <w:lang w:val="en-US"/>
              </w:rPr>
              <w:t>T+1months</w:t>
            </w:r>
          </w:p>
        </w:tc>
        <w:tc>
          <w:tcPr>
            <w:tcW w:w="1973"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Launching neural network training 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Calculating of the target </w:t>
            </w:r>
            <w:r w:rsidRPr="00DC37A1">
              <w:rPr>
                <w:rFonts w:eastAsia="Arial"/>
                <w:lang w:val="en-US"/>
              </w:rPr>
              <w:lastRenderedPageBreak/>
              <w:t>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Improving the neural network and writing beautiful visualization.</w:t>
            </w:r>
          </w:p>
        </w:tc>
        <w:tc>
          <w:tcPr>
            <w:tcW w:w="3827" w:type="dxa"/>
          </w:tcPr>
          <w:p w:rsid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7B3FB7" w:rsidRPr="00E30805" w:rsidRDefault="007B3FB7" w:rsidP="00E30805">
            <w:pPr>
              <w:spacing w:line="276" w:lineRule="auto"/>
              <w:ind w:left="-43"/>
              <w:rPr>
                <w:rFonts w:eastAsia="Arial"/>
                <w:lang w:val="en-US"/>
              </w:rPr>
            </w:pPr>
            <w:r w:rsidRPr="00E30805">
              <w:rPr>
                <w:rFonts w:eastAsia="Arial"/>
                <w:lang w:val="en-US"/>
              </w:rPr>
              <w:t>Code on Python language</w:t>
            </w:r>
          </w:p>
          <w:p w:rsidR="007B3FB7" w:rsidRPr="00E30805" w:rsidRDefault="007B3FB7" w:rsidP="00E30805">
            <w:pPr>
              <w:spacing w:line="276" w:lineRule="auto"/>
              <w:rPr>
                <w:rFonts w:eastAsia="Arial"/>
                <w:lang w:val="en-US"/>
              </w:rPr>
            </w:pPr>
            <w:r w:rsidRPr="00E30805">
              <w:rPr>
                <w:rFonts w:eastAsia="Arial"/>
                <w:lang w:val="en-US"/>
              </w:rPr>
              <w:t xml:space="preserve">URL - </w:t>
            </w:r>
            <w:hyperlink r:id="rId10" w:history="1">
              <w:r w:rsidRPr="00E30805">
                <w:rPr>
                  <w:rStyle w:val="a8"/>
                  <w:lang w:val="en-US"/>
                </w:rPr>
                <w:t>https://github.com/amvicc/The-Simpsons-Recognition/tree/master/Application</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Learning curve</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1" w:history="1">
              <w:r w:rsidRPr="007B3FB7">
                <w:rPr>
                  <w:rStyle w:val="a8"/>
                  <w:lang w:val="en-US"/>
                </w:rPr>
                <w:t>https://github.com/amvicc/The-Simpsons-</w:t>
              </w:r>
              <w:r w:rsidRPr="007B3FB7">
                <w:rPr>
                  <w:rStyle w:val="a8"/>
                  <w:lang w:val="en-US"/>
                </w:rPr>
                <w:lastRenderedPageBreak/>
                <w:t>Recognition/tree/master/Analysis</w:t>
              </w:r>
            </w:hyperlink>
          </w:p>
          <w:p w:rsidR="00DC37A1" w:rsidRPr="007B3FB7" w:rsidRDefault="00DC37A1" w:rsidP="001F05C1">
            <w:pPr>
              <w:pStyle w:val="a7"/>
              <w:numPr>
                <w:ilvl w:val="0"/>
                <w:numId w:val="8"/>
              </w:numPr>
              <w:spacing w:line="276" w:lineRule="auto"/>
              <w:ind w:left="317"/>
              <w:rPr>
                <w:lang w:val="en-US"/>
              </w:rPr>
            </w:pPr>
            <w:r w:rsidRPr="00DC37A1">
              <w:rPr>
                <w:rFonts w:eastAsia="Arial"/>
                <w:lang w:val="en-US"/>
              </w:rPr>
              <w:t>Target metrics</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E30805" w:rsidRDefault="007B3FB7" w:rsidP="007B3FB7">
            <w:pPr>
              <w:spacing w:line="276" w:lineRule="auto"/>
              <w:rPr>
                <w:rFonts w:eastAsia="Arial"/>
                <w:lang w:val="en-US"/>
              </w:rPr>
            </w:pPr>
            <w:r>
              <w:rPr>
                <w:rFonts w:eastAsia="Arial"/>
                <w:lang w:val="en-US"/>
              </w:rPr>
              <w:t xml:space="preserve">URL - </w:t>
            </w:r>
            <w:hyperlink r:id="rId12" w:history="1">
              <w:r w:rsidRPr="007B3FB7">
                <w:rPr>
                  <w:rStyle w:val="a8"/>
                  <w:lang w:val="en-US"/>
                </w:rPr>
                <w:t>https://github.com/amvicc/The-Simpsons-Recognition/tree/master/Analysis</w:t>
              </w:r>
            </w:hyperlink>
          </w:p>
          <w:p w:rsidR="00164423" w:rsidRDefault="00164423" w:rsidP="00164423">
            <w:pPr>
              <w:pStyle w:val="a7"/>
              <w:numPr>
                <w:ilvl w:val="0"/>
                <w:numId w:val="8"/>
              </w:numPr>
              <w:spacing w:line="276" w:lineRule="auto"/>
              <w:ind w:left="317"/>
              <w:rPr>
                <w:rFonts w:eastAsia="Arial"/>
                <w:lang w:val="en-US"/>
              </w:rPr>
            </w:pPr>
            <w:r>
              <w:rPr>
                <w:lang w:val="en-US"/>
              </w:rPr>
              <w:t>Web-</w:t>
            </w:r>
            <w:r w:rsidR="00DC37A1" w:rsidRPr="00E30805">
              <w:rPr>
                <w:lang w:val="en-US"/>
              </w:rPr>
              <w:t>Application</w:t>
            </w:r>
            <w:r w:rsidR="00E30805" w:rsidRPr="00E30805">
              <w:rPr>
                <w:lang w:val="en-US"/>
              </w:rPr>
              <w:t xml:space="preserve"> </w:t>
            </w:r>
            <w:r>
              <w:rPr>
                <w:lang w:val="en-US"/>
              </w:rPr>
              <w:t>on</w:t>
            </w:r>
          </w:p>
          <w:p w:rsidR="00164423" w:rsidRPr="00164423" w:rsidRDefault="00164423" w:rsidP="00164423">
            <w:pPr>
              <w:spacing w:line="276" w:lineRule="auto"/>
              <w:ind w:left="360"/>
              <w:rPr>
                <w:rFonts w:eastAsia="Arial"/>
                <w:lang w:val="en-US"/>
              </w:rPr>
            </w:pPr>
            <w:r w:rsidRPr="00164423">
              <w:rPr>
                <w:lang w:val="en-US"/>
              </w:rPr>
              <w:t xml:space="preserve">Python Flask </w:t>
            </w:r>
            <w:r>
              <w:rPr>
                <w:lang w:val="en-US"/>
              </w:rPr>
              <w:t xml:space="preserve"> + React JS</w:t>
            </w:r>
          </w:p>
          <w:p w:rsidR="007B3FB7" w:rsidRPr="00E30805" w:rsidRDefault="007B3FB7" w:rsidP="00E30805">
            <w:pPr>
              <w:spacing w:line="276" w:lineRule="auto"/>
              <w:rPr>
                <w:lang w:val="en-US"/>
              </w:rPr>
            </w:pPr>
            <w:r w:rsidRPr="00E30805">
              <w:rPr>
                <w:rFonts w:eastAsia="Arial"/>
                <w:lang w:val="en-US"/>
              </w:rPr>
              <w:t xml:space="preserve">URL - </w:t>
            </w:r>
            <w:hyperlink r:id="rId13" w:history="1">
              <w:r w:rsidRPr="00E30805">
                <w:rPr>
                  <w:rStyle w:val="a8"/>
                  <w:lang w:val="en-US"/>
                </w:rPr>
                <w:t>https://github.com/amvicc/The-Simpsons-Recognition/tree/master/Application</w:t>
              </w:r>
            </w:hyperlink>
          </w:p>
        </w:tc>
        <w:tc>
          <w:tcPr>
            <w:tcW w:w="1843" w:type="dxa"/>
          </w:tcPr>
          <w:p w:rsidR="00DC37A1" w:rsidRPr="00DC37A1" w:rsidRDefault="00DC37A1" w:rsidP="00164423">
            <w:pPr>
              <w:spacing w:line="276" w:lineRule="auto"/>
              <w:ind w:left="-43"/>
              <w:rPr>
                <w:rFonts w:eastAsia="Arial"/>
                <w:lang w:val="en-US"/>
              </w:rPr>
            </w:pPr>
            <w:proofErr w:type="spellStart"/>
            <w:r w:rsidRPr="00DC37A1">
              <w:rPr>
                <w:rFonts w:eastAsia="Arial"/>
                <w:sz w:val="21"/>
                <w:szCs w:val="21"/>
                <w:lang w:val="en-US"/>
              </w:rPr>
              <w:lastRenderedPageBreak/>
              <w:t>Osipov</w:t>
            </w:r>
            <w:proofErr w:type="spellEnd"/>
            <w:r w:rsidRPr="00DC37A1">
              <w:rPr>
                <w:rFonts w:eastAsia="Arial"/>
                <w:sz w:val="21"/>
                <w:szCs w:val="21"/>
                <w:lang w:val="en-US"/>
              </w:rPr>
              <w:t xml:space="preserve"> Anton</w:t>
            </w:r>
            <w:r w:rsidR="00164423">
              <w:rPr>
                <w:rFonts w:eastAsia="Arial"/>
                <w:sz w:val="21"/>
                <w:szCs w:val="21"/>
                <w:lang w:val="en-US"/>
              </w:rPr>
              <w:t xml:space="preserve">, </w:t>
            </w:r>
            <w:proofErr w:type="spellStart"/>
            <w:r w:rsidR="00164423" w:rsidRPr="00DC37A1">
              <w:rPr>
                <w:rFonts w:eastAsia="Arial"/>
                <w:sz w:val="21"/>
                <w:szCs w:val="21"/>
                <w:lang w:val="en-US"/>
              </w:rPr>
              <w:t>Pashkovskaya</w:t>
            </w:r>
            <w:proofErr w:type="spellEnd"/>
            <w:r w:rsidR="00164423" w:rsidRPr="00DC37A1">
              <w:rPr>
                <w:rFonts w:eastAsia="Arial"/>
                <w:sz w:val="21"/>
                <w:szCs w:val="21"/>
                <w:lang w:val="en-US"/>
              </w:rPr>
              <w:t xml:space="preserve"> Ekaterina</w:t>
            </w:r>
            <w:r w:rsidR="00164423">
              <w:rPr>
                <w:rFonts w:eastAsia="Arial"/>
                <w:sz w:val="21"/>
                <w:szCs w:val="21"/>
                <w:lang w:val="en-US"/>
              </w:rPr>
              <w:t xml:space="preserve"> and </w:t>
            </w:r>
            <w:proofErr w:type="spellStart"/>
            <w:r w:rsidR="00164423" w:rsidRPr="00DC37A1">
              <w:rPr>
                <w:rFonts w:eastAsia="Arial"/>
                <w:lang w:val="en-US"/>
              </w:rPr>
              <w:t>Guslyakova</w:t>
            </w:r>
            <w:proofErr w:type="spellEnd"/>
            <w:r w:rsidR="00164423" w:rsidRPr="00DC37A1">
              <w:rPr>
                <w:rFonts w:eastAsia="Arial"/>
                <w:lang w:val="en-US"/>
              </w:rPr>
              <w:t xml:space="preserve"> </w:t>
            </w:r>
            <w:proofErr w:type="spellStart"/>
            <w:r w:rsidR="00164423" w:rsidRPr="00DC37A1">
              <w:rPr>
                <w:rFonts w:eastAsia="Arial"/>
                <w:lang w:val="en-US"/>
              </w:rPr>
              <w:t>Vilena</w:t>
            </w:r>
            <w:proofErr w:type="spellEnd"/>
          </w:p>
        </w:tc>
      </w:tr>
      <w:tr w:rsidR="00DC37A1" w:rsidRPr="002F346C" w:rsidTr="00E30805">
        <w:tc>
          <w:tcPr>
            <w:tcW w:w="750" w:type="dxa"/>
          </w:tcPr>
          <w:p w:rsidR="00DC37A1" w:rsidRPr="00DC37A1" w:rsidRDefault="00DC37A1" w:rsidP="001F05C1">
            <w:pPr>
              <w:spacing w:line="276" w:lineRule="auto"/>
              <w:rPr>
                <w:lang w:val="en-US"/>
              </w:rPr>
            </w:pPr>
            <w:r w:rsidRPr="00DC37A1">
              <w:rPr>
                <w:lang w:val="en-US"/>
              </w:rPr>
              <w:lastRenderedPageBreak/>
              <w:t>4</w:t>
            </w:r>
          </w:p>
        </w:tc>
        <w:tc>
          <w:tcPr>
            <w:tcW w:w="864" w:type="dxa"/>
          </w:tcPr>
          <w:p w:rsidR="00DC37A1" w:rsidRPr="00DC37A1" w:rsidRDefault="00DC37A1" w:rsidP="001F05C1">
            <w:pPr>
              <w:spacing w:line="276" w:lineRule="auto"/>
              <w:rPr>
                <w:lang w:val="en-US"/>
              </w:rPr>
            </w:pPr>
            <w:r w:rsidRPr="00DC37A1">
              <w:rPr>
                <w:lang w:val="en-US"/>
              </w:rPr>
              <w:t>T + 1 months</w:t>
            </w:r>
          </w:p>
        </w:tc>
        <w:tc>
          <w:tcPr>
            <w:tcW w:w="1233" w:type="dxa"/>
          </w:tcPr>
          <w:p w:rsidR="00DC37A1" w:rsidRPr="00DC37A1" w:rsidRDefault="00DC37A1" w:rsidP="001F05C1">
            <w:pPr>
              <w:spacing w:line="276" w:lineRule="auto"/>
              <w:rPr>
                <w:lang w:val="en-US"/>
              </w:rPr>
            </w:pPr>
            <w:r w:rsidRPr="00DC37A1">
              <w:rPr>
                <w:lang w:val="en-US"/>
              </w:rPr>
              <w:t>T + 2 months</w:t>
            </w:r>
          </w:p>
        </w:tc>
        <w:tc>
          <w:tcPr>
            <w:tcW w:w="1973" w:type="dxa"/>
          </w:tcPr>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E30805">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E30805">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3827" w:type="dxa"/>
          </w:tcPr>
          <w:p w:rsidR="00DC37A1" w:rsidRDefault="00DC37A1" w:rsidP="001F05C1">
            <w:pPr>
              <w:pStyle w:val="a7"/>
              <w:numPr>
                <w:ilvl w:val="0"/>
                <w:numId w:val="11"/>
              </w:numPr>
              <w:spacing w:line="276" w:lineRule="auto"/>
              <w:ind w:left="317"/>
              <w:rPr>
                <w:lang w:val="en-US"/>
              </w:rPr>
            </w:pPr>
            <w:r w:rsidRPr="00DC37A1">
              <w:rPr>
                <w:lang w:val="en-US"/>
              </w:rPr>
              <w:t>Testing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4" w:history="1">
              <w:r w:rsidRPr="009C50B8">
                <w:rPr>
                  <w:rStyle w:val="a8"/>
                  <w:lang w:val="en-US"/>
                </w:rPr>
                <w:t>https://github.com/amvicc/The-Simpsons-Recognition/tree/master/Reports</w:t>
              </w:r>
            </w:hyperlink>
          </w:p>
          <w:p w:rsidR="00DC37A1" w:rsidRPr="007B3FB7" w:rsidRDefault="00DC37A1" w:rsidP="001F05C1">
            <w:pPr>
              <w:pStyle w:val="a7"/>
              <w:numPr>
                <w:ilvl w:val="0"/>
                <w:numId w:val="11"/>
              </w:numPr>
              <w:spacing w:line="276" w:lineRule="auto"/>
              <w:ind w:left="317"/>
              <w:rPr>
                <w:lang w:val="en-US"/>
              </w:rPr>
            </w:pPr>
            <w:r w:rsidRPr="00DC37A1">
              <w:rPr>
                <w:rFonts w:eastAsia="Arial"/>
                <w:lang w:val="en-US"/>
              </w:rPr>
              <w:t>Final report</w:t>
            </w:r>
          </w:p>
          <w:p w:rsidR="007B3FB7" w:rsidRDefault="007B3FB7" w:rsidP="007B3FB7">
            <w:pPr>
              <w:spacing w:line="276" w:lineRule="auto"/>
              <w:rPr>
                <w:rFonts w:eastAsia="Arial"/>
                <w:lang w:val="en-US"/>
              </w:rPr>
            </w:pPr>
            <w:r>
              <w:rPr>
                <w:rFonts w:eastAsia="Arial"/>
                <w:lang w:val="en-US"/>
              </w:rPr>
              <w:t>Format - .</w:t>
            </w:r>
            <w:proofErr w:type="spellStart"/>
            <w:r>
              <w:rPr>
                <w:rFonts w:eastAsia="Arial"/>
                <w:lang w:val="en-US"/>
              </w:rPr>
              <w:t>docx</w:t>
            </w:r>
            <w:proofErr w:type="spellEnd"/>
          </w:p>
          <w:p w:rsidR="007B3FB7" w:rsidRPr="007B3FB7" w:rsidRDefault="007B3FB7" w:rsidP="007B3FB7">
            <w:pPr>
              <w:spacing w:line="276" w:lineRule="auto"/>
              <w:rPr>
                <w:rFonts w:eastAsia="Arial"/>
                <w:lang w:val="en-US"/>
              </w:rPr>
            </w:pPr>
            <w:r>
              <w:rPr>
                <w:rFonts w:eastAsia="Arial"/>
                <w:lang w:val="en-US"/>
              </w:rPr>
              <w:t xml:space="preserve">URL - </w:t>
            </w:r>
            <w:hyperlink r:id="rId15" w:history="1">
              <w:r w:rsidRPr="009C50B8">
                <w:rPr>
                  <w:rStyle w:val="a8"/>
                  <w:lang w:val="en-US"/>
                </w:rPr>
                <w:t>https://github.com/amvicc/The-Simpsons-Recognition/tree/master/Reports</w:t>
              </w:r>
            </w:hyperlink>
          </w:p>
        </w:tc>
        <w:tc>
          <w:tcPr>
            <w:tcW w:w="1843" w:type="dxa"/>
          </w:tcPr>
          <w:p w:rsidR="00DC37A1" w:rsidRPr="00DC37A1" w:rsidRDefault="00DC37A1" w:rsidP="00DC37A1">
            <w:pPr>
              <w:spacing w:line="276" w:lineRule="auto"/>
              <w:ind w:left="-43"/>
              <w:rPr>
                <w:lang w:val="en-US"/>
              </w:rPr>
            </w:pP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0" w:name="tw-target-text"/>
      <w:bookmarkEnd w:id="0"/>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street,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reasons of such delay; and (ii) its best estimated new schedule. In the event of any delay of more than thirty (</w:t>
      </w:r>
      <w:r w:rsidRPr="00DC37A1">
        <w:rPr>
          <w:rFonts w:eastAsia="Arial"/>
          <w:sz w:val="21"/>
          <w:szCs w:val="21"/>
          <w:highlight w:val="white"/>
          <w:lang w:val="en-US"/>
        </w:rPr>
        <w:t>Work)</w:t>
      </w:r>
      <w:r w:rsidRPr="00DC37A1">
        <w:rPr>
          <w:rFonts w:eastAsia="MS Gothic"/>
          <w:b/>
          <w:bCs/>
          <w:sz w:val="21"/>
          <w:szCs w:val="21"/>
          <w:lang w:val="en-US"/>
        </w:rPr>
        <w:t>​</w:t>
      </w:r>
      <w:r w:rsidRPr="00DC37A1">
        <w:rPr>
          <w:rFonts w:eastAsia="Arial"/>
          <w:sz w:val="21"/>
          <w:szCs w:val="21"/>
          <w:lang w:val="en-US"/>
        </w:rPr>
        <w:t xml:space="preserve"> days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 xml:space="preserve">During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t>Consideration, the Parties shall enter into an amendment to the SOW regarding new fees (including the additional fees) and new schedule agreed through amicable negation.</w:t>
      </w:r>
    </w:p>
    <w:p w:rsidR="006A0E51" w:rsidRDefault="006A0E51">
      <w:pPr>
        <w:rPr>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lastRenderedPageBreak/>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r w:rsidRPr="00DC37A1">
        <w:rPr>
          <w:rFonts w:eastAsia="MS Gothic"/>
          <w:b/>
          <w:bCs/>
          <w:sz w:val="19"/>
          <w:szCs w:val="19"/>
          <w:lang w:val="en-US"/>
        </w:rPr>
        <w:t>​</w:t>
      </w:r>
      <w:r w:rsidRPr="00DC37A1">
        <w:rPr>
          <w:rFonts w:eastAsia="Arial"/>
          <w:sz w:val="19"/>
          <w:szCs w:val="19"/>
          <w:lang w:val="en-US"/>
        </w:rPr>
        <w:t xml:space="preserve"> Consideration (including relevant taxes). Unless otherwise agreed in writing between the Parties, no additional fees shall be paid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r w:rsidRPr="00DC37A1">
        <w:rPr>
          <w:rFonts w:eastAsia="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6" cstate="print"/>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tblPr>
      <w:tblGrid>
        <w:gridCol w:w="1184"/>
        <w:gridCol w:w="3343"/>
        <w:gridCol w:w="2184"/>
        <w:gridCol w:w="2127"/>
      </w:tblGrid>
      <w:tr w:rsidR="006A0E51" w:rsidRPr="002F346C">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according with the tax negotiation results when use the template for Company ​</w:t>
      </w:r>
      <w:r w:rsidRPr="00DC37A1">
        <w:rPr>
          <w:rFonts w:eastAsia="Arial"/>
          <w:b/>
          <w:bCs/>
          <w:color w:val="FF0000"/>
          <w:sz w:val="21"/>
          <w:szCs w:val="21"/>
          <w:lang w:val="en-US"/>
        </w:rPr>
        <w:t>oversea subsidiaries</w:t>
      </w:r>
      <w:r w:rsidRPr="00DC37A1">
        <w:rPr>
          <w:rFonts w:eastAsia="Arimo"/>
          <w:color w:val="FF0000"/>
          <w:sz w:val="21"/>
          <w:szCs w:val="21"/>
          <w:lang w:val="en-US"/>
        </w:rPr>
        <w:t>)</w:t>
      </w:r>
      <w:r w:rsidRPr="00DC37A1">
        <w:rPr>
          <w:rFonts w:eastAsia="MS Gothic"/>
          <w:b/>
          <w:bCs/>
          <w:color w:val="000000"/>
          <w:sz w:val="21"/>
          <w:szCs w:val="21"/>
          <w:lang w:val="en-US"/>
        </w:rPr>
        <w:t>​</w:t>
      </w:r>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with the applicable tax laws and/or regulations. If required by the laws of  Country,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7" cstate="print"/>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8" cstate="print"/>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9" cstate="print"/>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proofErr w:type="spellStart"/>
      <w:r w:rsidRPr="00DC37A1">
        <w:rPr>
          <w:rFonts w:eastAsia="MS Gothic"/>
          <w:b/>
          <w:bCs/>
          <w:sz w:val="19"/>
          <w:szCs w:val="19"/>
        </w:rPr>
        <w:t>Организационно</w:t>
      </w:r>
      <w:r w:rsidRPr="00DC37A1">
        <w:rPr>
          <w:rFonts w:eastAsia="Calibri"/>
          <w:sz w:val="19"/>
          <w:szCs w:val="19"/>
        </w:rPr>
        <w:t>-</w:t>
      </w:r>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tblPr>
      <w:tblGrid>
        <w:gridCol w:w="496"/>
        <w:gridCol w:w="2490"/>
        <w:gridCol w:w="1388"/>
        <w:gridCol w:w="1893"/>
        <w:gridCol w:w="1714"/>
        <w:gridCol w:w="1275"/>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Default="002F08A4" w:rsidP="00AE62B2">
            <w:pPr>
              <w:spacing w:line="242" w:lineRule="exact"/>
              <w:ind w:right="20"/>
              <w:jc w:val="center"/>
              <w:rPr>
                <w:rFonts w:eastAsia="Arial"/>
                <w:sz w:val="21"/>
                <w:szCs w:val="21"/>
                <w:lang w:val="en-US"/>
              </w:rPr>
            </w:pPr>
            <w:r>
              <w:rPr>
                <w:rFonts w:eastAsia="Arial"/>
                <w:sz w:val="21"/>
                <w:szCs w:val="21"/>
                <w:lang w:val="en-US"/>
              </w:rPr>
              <w:t>Supervises the construction of models and writing a report. Monitor the timely tasks execution.</w:t>
            </w:r>
          </w:p>
          <w:p w:rsidR="002F346C" w:rsidRPr="002F08A4" w:rsidRDefault="002F346C" w:rsidP="00AE62B2">
            <w:pPr>
              <w:spacing w:line="242" w:lineRule="exact"/>
              <w:ind w:right="20"/>
              <w:jc w:val="center"/>
              <w:rPr>
                <w:rFonts w:eastAsia="Arial"/>
                <w:sz w:val="21"/>
                <w:szCs w:val="21"/>
                <w:lang w:val="en-US"/>
              </w:rPr>
            </w:pPr>
            <w:r>
              <w:rPr>
                <w:rFonts w:eastAsia="Arial"/>
                <w:sz w:val="21"/>
                <w:szCs w:val="21"/>
                <w:lang w:val="en-US"/>
              </w:rPr>
              <w:t>Tests the program.</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pPr>
              <w:spacing w:line="242" w:lineRule="exact"/>
              <w:ind w:right="20"/>
              <w:jc w:val="center"/>
              <w:rPr>
                <w:rFonts w:eastAsia="Arial"/>
                <w:sz w:val="21"/>
                <w:szCs w:val="21"/>
                <w:lang w:val="en-US"/>
              </w:rPr>
            </w:pPr>
            <w:r>
              <w:rPr>
                <w:rFonts w:eastAsia="Arial"/>
                <w:sz w:val="21"/>
                <w:szCs w:val="21"/>
                <w:lang w:val="en-US"/>
              </w:rPr>
              <w:t>Builds ant program math model</w:t>
            </w:r>
            <w:r w:rsidR="002F08A4">
              <w:rPr>
                <w:rFonts w:eastAsia="Arial"/>
                <w:sz w:val="21"/>
                <w:szCs w:val="21"/>
                <w:lang w:val="en-US"/>
              </w:rPr>
              <w:t>.</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rsidP="00AE62B2">
            <w:pPr>
              <w:spacing w:line="242" w:lineRule="exact"/>
              <w:ind w:right="20"/>
              <w:jc w:val="center"/>
              <w:rPr>
                <w:rFonts w:eastAsia="Arial"/>
                <w:sz w:val="21"/>
                <w:szCs w:val="21"/>
                <w:lang w:val="en-US"/>
              </w:rPr>
            </w:pPr>
            <w:r>
              <w:rPr>
                <w:rFonts w:eastAsia="Arial"/>
                <w:sz w:val="21"/>
                <w:szCs w:val="21"/>
                <w:lang w:val="en-US"/>
              </w:rPr>
              <w:t>Creating dataset and saving trained model</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r w:rsidRPr="00DC37A1">
              <w:rPr>
                <w:rFonts w:eastAsia="Arial"/>
                <w:sz w:val="21"/>
                <w:szCs w:val="21"/>
                <w:lang w:val="en-US"/>
              </w:rPr>
              <w:t>Osipov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2F346C">
            <w:pPr>
              <w:spacing w:line="242" w:lineRule="exact"/>
              <w:ind w:right="20"/>
              <w:jc w:val="center"/>
              <w:rPr>
                <w:rFonts w:eastAsia="Arial"/>
                <w:sz w:val="21"/>
                <w:szCs w:val="21"/>
                <w:lang w:val="en-US"/>
              </w:rPr>
            </w:pPr>
            <w:r>
              <w:rPr>
                <w:rFonts w:eastAsia="Arial"/>
                <w:sz w:val="21"/>
                <w:szCs w:val="21"/>
                <w:lang w:val="en-US"/>
              </w:rPr>
              <w:t xml:space="preserve">Backend </w:t>
            </w:r>
            <w:r w:rsidR="00DC37A1"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2F346C" w:rsidRDefault="002F346C">
            <w:pPr>
              <w:spacing w:line="242" w:lineRule="exact"/>
              <w:ind w:right="20"/>
              <w:jc w:val="center"/>
              <w:rPr>
                <w:rFonts w:eastAsia="Arial"/>
                <w:sz w:val="21"/>
                <w:szCs w:val="21"/>
                <w:lang w:val="en-US"/>
              </w:rPr>
            </w:pPr>
            <w:r>
              <w:rPr>
                <w:rFonts w:eastAsia="Arial"/>
                <w:sz w:val="21"/>
                <w:szCs w:val="21"/>
                <w:lang w:val="en-US"/>
              </w:rPr>
              <w:t>Writing backend for web-app, connect backend, frontend,</w:t>
            </w:r>
          </w:p>
          <w:p w:rsidR="00DC37A1" w:rsidRPr="00DC37A1" w:rsidRDefault="002F346C">
            <w:pPr>
              <w:spacing w:line="242" w:lineRule="exact"/>
              <w:ind w:right="20"/>
              <w:jc w:val="center"/>
              <w:rPr>
                <w:rFonts w:eastAsia="Arial"/>
                <w:sz w:val="21"/>
                <w:szCs w:val="21"/>
                <w:lang w:val="en-US"/>
              </w:rPr>
            </w:pPr>
            <w:r>
              <w:rPr>
                <w:rFonts w:eastAsia="Arial"/>
                <w:sz w:val="21"/>
                <w:szCs w:val="21"/>
                <w:lang w:val="en-US"/>
              </w:rPr>
              <w:t xml:space="preserve">and trained model. </w:t>
            </w:r>
          </w:p>
        </w:tc>
      </w:tr>
      <w:tr w:rsidR="00AE62B2" w:rsidRPr="002F346C"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2F346C" w:rsidP="002F346C">
            <w:pPr>
              <w:jc w:val="center"/>
              <w:rPr>
                <w:color w:val="000000"/>
                <w:lang w:val="en-US"/>
              </w:rPr>
            </w:pPr>
            <w:r>
              <w:rPr>
                <w:rFonts w:eastAsia="Arial"/>
                <w:sz w:val="21"/>
                <w:szCs w:val="21"/>
                <w:lang w:val="en-US"/>
              </w:rPr>
              <w:t xml:space="preserve">Frontend     </w:t>
            </w: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346C">
            <w:pPr>
              <w:spacing w:line="242" w:lineRule="exact"/>
              <w:ind w:right="20"/>
              <w:jc w:val="center"/>
              <w:rPr>
                <w:rFonts w:eastAsia="Arial"/>
                <w:sz w:val="21"/>
                <w:szCs w:val="21"/>
                <w:lang w:val="en-US"/>
              </w:rPr>
            </w:pPr>
            <w:r>
              <w:rPr>
                <w:rFonts w:eastAsia="Arial"/>
                <w:sz w:val="21"/>
                <w:szCs w:val="21"/>
                <w:lang w:val="en-US"/>
              </w:rPr>
              <w:t>Design and write frontend for web-application</w:t>
            </w:r>
          </w:p>
        </w:tc>
      </w:tr>
    </w:tbl>
    <w:p w:rsidR="006A0E51" w:rsidRPr="002F08A4" w:rsidRDefault="006A0E51">
      <w:pPr>
        <w:spacing w:line="242" w:lineRule="exact"/>
        <w:ind w:right="20"/>
        <w:jc w:val="center"/>
        <w:rPr>
          <w:rFonts w:eastAsia="Arial"/>
          <w:sz w:val="21"/>
          <w:szCs w:val="21"/>
          <w:lang w:val="en-US"/>
        </w:rPr>
      </w:pPr>
    </w:p>
    <w:p w:rsidR="006A0E51" w:rsidRPr="002F08A4" w:rsidRDefault="006A0E51">
      <w:pPr>
        <w:spacing w:line="242" w:lineRule="exact"/>
        <w:ind w:right="20"/>
        <w:jc w:val="center"/>
        <w:rPr>
          <w:sz w:val="20"/>
          <w:szCs w:val="20"/>
          <w:lang w:val="en-US"/>
        </w:rPr>
      </w:pPr>
    </w:p>
    <w:p w:rsidR="006A0E51" w:rsidRPr="002F08A4" w:rsidRDefault="006A0E51">
      <w:pPr>
        <w:spacing w:line="39" w:lineRule="exact"/>
        <w:rPr>
          <w:sz w:val="20"/>
          <w:szCs w:val="20"/>
          <w:lang w:val="en-US"/>
        </w:rPr>
      </w:pPr>
    </w:p>
    <w:p w:rsidR="006A0E51" w:rsidRPr="002F08A4" w:rsidRDefault="006A0E51">
      <w:pPr>
        <w:spacing w:line="234" w:lineRule="exact"/>
        <w:rPr>
          <w:sz w:val="20"/>
          <w:szCs w:val="20"/>
          <w:lang w:val="en-US"/>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lastRenderedPageBreak/>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E-mail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lang w:val="en-US"/>
        </w:rPr>
        <w:t xml:space="preserve">5.4  </w:t>
      </w:r>
      <w:r w:rsidRPr="00DC37A1">
        <w:rPr>
          <w:rFonts w:eastAsia="Arial"/>
          <w:sz w:val="21"/>
          <w:szCs w:val="21"/>
          <w:lang w:val="en-US"/>
        </w:rPr>
        <w:t>Any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r w:rsidRPr="00DC37A1">
        <w:rPr>
          <w:rFonts w:eastAsia="Arial"/>
          <w:sz w:val="21"/>
          <w:szCs w:val="21"/>
          <w:lang w:val="en-US"/>
        </w:rPr>
        <w:t xml:space="preserve">when they work at the site of Company </w:t>
      </w:r>
      <w:r w:rsidRPr="00DC37A1">
        <w:rPr>
          <w:rFonts w:eastAsia="Arial"/>
          <w:color w:val="FF0000"/>
          <w:sz w:val="20"/>
          <w:szCs w:val="20"/>
          <w:lang w:val="en-US"/>
        </w:rPr>
        <w:t>(</w:t>
      </w:r>
      <w:proofErr w:type="spellStart"/>
      <w:r w:rsidRPr="00DC37A1">
        <w:rPr>
          <w:rFonts w:eastAsia="Arial"/>
          <w:color w:val="FF0000"/>
          <w:sz w:val="20"/>
          <w:szCs w:val="20"/>
          <w:lang w:val="en-US"/>
        </w:rPr>
        <w:t>Note:if</w:t>
      </w:r>
      <w:proofErr w:type="spellEnd"/>
      <w:r w:rsidRPr="00DC37A1">
        <w:rPr>
          <w:rFonts w:eastAsia="MS Gothic"/>
          <w:b/>
          <w:bCs/>
          <w:sz w:val="21"/>
          <w:szCs w:val="21"/>
          <w:lang w:val="en-US"/>
        </w:rPr>
        <w:t>​</w:t>
      </w:r>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1" w:name="__DdeLink__4237_1204839156"/>
      <w:r w:rsidRPr="00DC37A1">
        <w:rPr>
          <w:rFonts w:eastAsia="Arial"/>
          <w:sz w:val="21"/>
          <w:szCs w:val="21"/>
          <w:lang w:val="en-US"/>
        </w:rPr>
        <w:t>Company</w:t>
      </w:r>
      <w:bookmarkEnd w:id="1"/>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(Work</w:t>
      </w:r>
      <w:r w:rsidRPr="00DC37A1">
        <w:rPr>
          <w:rFonts w:eastAsia="MS Gothic"/>
          <w:b/>
          <w:bCs/>
          <w:sz w:val="21"/>
          <w:szCs w:val="21"/>
          <w:highlight w:val="white"/>
          <w:lang w:val="en-US"/>
        </w:rPr>
        <w:t>​</w:t>
      </w:r>
      <w:r w:rsidRPr="00DC37A1">
        <w:rPr>
          <w:rFonts w:eastAsia="Arial"/>
          <w:sz w:val="21"/>
          <w:szCs w:val="21"/>
          <w:highlight w:val="white"/>
          <w:lang w:val="en-US"/>
        </w:rPr>
        <w:t>)</w:t>
      </w:r>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Company shall then repeat Acceptance Tests within thirty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non-conformities,  Company</w:t>
      </w:r>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Pr="00DC37A1" w:rsidRDefault="006A0E51">
      <w:pPr>
        <w:spacing w:line="3" w:lineRule="exact"/>
        <w:rPr>
          <w:sz w:val="20"/>
          <w:szCs w:val="20"/>
          <w:lang w:val="en-US"/>
        </w:rPr>
      </w:pPr>
    </w:p>
    <w:p w:rsidR="006A0E51" w:rsidRPr="00DC37A1" w:rsidRDefault="008249D0">
      <w:pPr>
        <w:ind w:left="200"/>
        <w:rPr>
          <w:lang w:val="en-US"/>
        </w:rPr>
      </w:pPr>
      <w:r w:rsidRPr="00DC37A1">
        <w:rPr>
          <w:rFonts w:eastAsia="Arial"/>
          <w:sz w:val="21"/>
          <w:szCs w:val="21"/>
          <w:lang w:val="en-US"/>
        </w:rPr>
        <w:t>designated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r w:rsidRPr="00DC37A1">
        <w:rPr>
          <w:rFonts w:eastAsia="Arial"/>
          <w:sz w:val="21"/>
          <w:szCs w:val="21"/>
          <w:lang w:val="en-US"/>
        </w:rPr>
        <w:t>shall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from  Company</w:t>
      </w:r>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lastRenderedPageBreak/>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Default="008249D0">
      <w:pPr>
        <w:spacing w:line="259" w:lineRule="auto"/>
        <w:ind w:left="200" w:right="100"/>
        <w:jc w:val="both"/>
        <w:rPr>
          <w:rFonts w:eastAsia="Arial"/>
          <w:sz w:val="21"/>
          <w:szCs w:val="21"/>
          <w:lang w:val="en-US"/>
        </w:r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otherwise agreed by Company, Partner shall only use the materials provided by Company for 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tblPr>
      <w:tblGrid>
        <w:gridCol w:w="1640"/>
        <w:gridCol w:w="1201"/>
        <w:gridCol w:w="759"/>
        <w:gridCol w:w="1840"/>
        <w:gridCol w:w="1601"/>
        <w:gridCol w:w="2379"/>
        <w:gridCol w:w="31"/>
      </w:tblGrid>
      <w:tr w:rsidR="006A0E51" w:rsidRPr="00DC37A1" w:rsidTr="00995AA6">
        <w:trPr>
          <w:trHeight w:val="249"/>
        </w:trPr>
        <w:tc>
          <w:tcPr>
            <w:tcW w:w="1640"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bookmarkStart w:id="2" w:name="_GoBack"/>
            <w:bookmarkEnd w:id="2"/>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80"/>
        </w:trPr>
        <w:tc>
          <w:tcPr>
            <w:tcW w:w="1640"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29"/>
        </w:trPr>
        <w:tc>
          <w:tcPr>
            <w:tcW w:w="1640"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49"/>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106"/>
        </w:trPr>
        <w:tc>
          <w:tcPr>
            <w:tcW w:w="1640"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255"/>
        </w:trPr>
        <w:tc>
          <w:tcPr>
            <w:tcW w:w="1640"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995AA6">
        <w:trPr>
          <w:trHeight w:val="276"/>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rsidTr="00995AA6">
        <w:trPr>
          <w:trHeight w:val="355"/>
        </w:trPr>
        <w:tc>
          <w:tcPr>
            <w:tcW w:w="1640"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to  </w:t>
      </w:r>
      <w:r w:rsidRPr="00DC37A1">
        <w:rPr>
          <w:rFonts w:eastAsia="Arial"/>
          <w:color w:val="FF0000"/>
          <w:sz w:val="21"/>
          <w:szCs w:val="21"/>
          <w:lang w:val="en-US"/>
        </w:rPr>
        <w:t>Company</w:t>
      </w:r>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r w:rsidRPr="00DC37A1">
        <w:rPr>
          <w:rFonts w:eastAsia="MS Gothic"/>
          <w:b/>
          <w:bCs/>
          <w:sz w:val="21"/>
          <w:szCs w:val="21"/>
          <w:highlight w:val="yellow"/>
          <w:lang w:val="en-US"/>
        </w:rPr>
        <w:t>​</w:t>
      </w:r>
      <w:r w:rsidRPr="00DC37A1">
        <w:rPr>
          <w:rFonts w:eastAsia="Arial"/>
          <w:sz w:val="21"/>
          <w:szCs w:val="21"/>
          <w:lang w:val="en-US"/>
        </w:rPr>
        <w:t xml:space="preserve"> years</w:t>
      </w:r>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rsidSect="00C928DB">
      <w:pgSz w:w="11920" w:h="16860"/>
      <w:pgMar w:top="1421" w:right="960" w:bottom="1440" w:left="1440" w:header="0" w:footer="0" w:gutter="0"/>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A0E51"/>
    <w:rsid w:val="000164CA"/>
    <w:rsid w:val="0006563E"/>
    <w:rsid w:val="00164423"/>
    <w:rsid w:val="001F05C1"/>
    <w:rsid w:val="002F08A4"/>
    <w:rsid w:val="002F346C"/>
    <w:rsid w:val="003B2CDF"/>
    <w:rsid w:val="00515AB7"/>
    <w:rsid w:val="00581378"/>
    <w:rsid w:val="00590D9F"/>
    <w:rsid w:val="006A0E51"/>
    <w:rsid w:val="007B3FB7"/>
    <w:rsid w:val="008249D0"/>
    <w:rsid w:val="00995AA6"/>
    <w:rsid w:val="00AE62B2"/>
    <w:rsid w:val="00C928DB"/>
    <w:rsid w:val="00DC37A1"/>
    <w:rsid w:val="00DD1ECC"/>
    <w:rsid w:val="00E30805"/>
    <w:rsid w:val="00F97A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8D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rsid w:val="00C928DB"/>
    <w:pPr>
      <w:keepNext/>
      <w:spacing w:before="240" w:after="120"/>
    </w:pPr>
    <w:rPr>
      <w:rFonts w:ascii="Liberation Sans" w:eastAsia="Noto Sans CJK SC" w:hAnsi="Liberation Sans" w:cs="Lohit Devanagari"/>
      <w:sz w:val="28"/>
      <w:szCs w:val="28"/>
    </w:rPr>
  </w:style>
  <w:style w:type="paragraph" w:styleId="a3">
    <w:name w:val="Body Text"/>
    <w:basedOn w:val="a"/>
    <w:rsid w:val="00C928DB"/>
    <w:pPr>
      <w:spacing w:after="140" w:line="276" w:lineRule="auto"/>
    </w:pPr>
  </w:style>
  <w:style w:type="paragraph" w:styleId="a4">
    <w:name w:val="List"/>
    <w:basedOn w:val="a3"/>
    <w:rsid w:val="00C928DB"/>
    <w:rPr>
      <w:rFonts w:cs="Lohit Devanagari"/>
    </w:rPr>
  </w:style>
  <w:style w:type="paragraph" w:styleId="a5">
    <w:name w:val="caption"/>
    <w:basedOn w:val="a"/>
    <w:qFormat/>
    <w:rsid w:val="00C928DB"/>
    <w:pPr>
      <w:suppressLineNumbers/>
      <w:spacing w:before="120" w:after="120"/>
    </w:pPr>
    <w:rPr>
      <w:rFonts w:cs="Lohit Devanagari"/>
      <w:i/>
      <w:iCs/>
      <w:sz w:val="24"/>
      <w:szCs w:val="24"/>
    </w:rPr>
  </w:style>
  <w:style w:type="paragraph" w:customStyle="1" w:styleId="Index">
    <w:name w:val="Index"/>
    <w:basedOn w:val="a"/>
    <w:qFormat/>
    <w:rsid w:val="00C928DB"/>
    <w:pPr>
      <w:suppressLineNumbers/>
    </w:pPr>
    <w:rPr>
      <w:rFonts w:cs="Lohit Devanagari"/>
    </w:rPr>
  </w:style>
  <w:style w:type="paragraph" w:customStyle="1" w:styleId="PreformattedText">
    <w:name w:val="Preformatted Text"/>
    <w:basedOn w:val="a"/>
    <w:qFormat/>
    <w:rsid w:val="00C928DB"/>
    <w:rPr>
      <w:rFonts w:ascii="Liberation Mono" w:eastAsia="Liberation Mono" w:hAnsi="Liberation Mono" w:cs="Liberation Mono"/>
      <w:sz w:val="20"/>
      <w:szCs w:val="20"/>
    </w:rPr>
  </w:style>
  <w:style w:type="table" w:styleId="a6">
    <w:name w:val="Table Grid"/>
    <w:basedOn w:val="a1"/>
    <w:uiPriority w:val="59"/>
    <w:rsid w:val="00BB0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D1ECC"/>
    <w:pPr>
      <w:ind w:left="720"/>
      <w:contextualSpacing/>
    </w:pPr>
  </w:style>
  <w:style w:type="character" w:styleId="a8">
    <w:name w:val="Hyperlink"/>
    <w:basedOn w:val="a0"/>
    <w:uiPriority w:val="99"/>
    <w:unhideWhenUsed/>
    <w:rsid w:val="007B3FB7"/>
    <w:rPr>
      <w:color w:val="0000FF"/>
      <w:u w:val="single"/>
    </w:rPr>
  </w:style>
  <w:style w:type="character" w:styleId="a9">
    <w:name w:val="FollowedHyperlink"/>
    <w:basedOn w:val="a0"/>
    <w:uiPriority w:val="99"/>
    <w:semiHidden/>
    <w:unhideWhenUsed/>
    <w:rsid w:val="007B3FB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964123314">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vicc/The-Simpsons-Recognition/tree/master/Dataset" TargetMode="External"/><Relationship Id="rId13" Type="http://schemas.openxmlformats.org/officeDocument/2006/relationships/hyperlink" Target="https://github.com/amvicc/The-Simpsons-Recognition/tree/master/Applic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amvicc/The-Simpsons-Recognition/tree/master/Analysis" TargetMode="External"/><Relationship Id="rId12" Type="http://schemas.openxmlformats.org/officeDocument/2006/relationships/hyperlink" Target="https://github.com/amvicc/The-Simpsons-Recognition/tree/master/Analysis"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mvicc/The-Simpsons-Recognition/tree/master/Analysis" TargetMode="External"/><Relationship Id="rId11" Type="http://schemas.openxmlformats.org/officeDocument/2006/relationships/hyperlink" Target="https://github.com/amvicc/The-Simpsons-Recognition/tree/master/Analysis" TargetMode="External"/><Relationship Id="rId5" Type="http://schemas.openxmlformats.org/officeDocument/2006/relationships/webSettings" Target="webSettings.xml"/><Relationship Id="rId15" Type="http://schemas.openxmlformats.org/officeDocument/2006/relationships/hyperlink" Target="https://github.com/amvicc/The-Simpsons-Recognition/tree/master/Reports" TargetMode="External"/><Relationship Id="rId10" Type="http://schemas.openxmlformats.org/officeDocument/2006/relationships/hyperlink" Target="https://github.com/amvicc/The-Simpsons-Recognition/tree/master/Applica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mvicc/The-Simpsons-Recognition/tree/master/Application" TargetMode="External"/><Relationship Id="rId14" Type="http://schemas.openxmlformats.org/officeDocument/2006/relationships/hyperlink" Target="https://github.com/amvicc/The-Simpsons-Recognition/tree/master/Repor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C5ADF-5365-4D45-8424-79DFB731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2421</Words>
  <Characters>13802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Anton</cp:lastModifiedBy>
  <cp:revision>19</cp:revision>
  <dcterms:created xsi:type="dcterms:W3CDTF">2020-02-16T18:03:00Z</dcterms:created>
  <dcterms:modified xsi:type="dcterms:W3CDTF">2020-05-05T11:46:00Z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