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516A4" w14:textId="77777777" w:rsidR="00274A65" w:rsidRDefault="00274A65" w:rsidP="00274A65">
      <w:pPr>
        <w:pStyle w:val="Heading1"/>
      </w:pPr>
      <w:r>
        <w:t>Economic Complexity</w:t>
      </w:r>
    </w:p>
    <w:p w14:paraId="3B424FD8" w14:textId="77777777" w:rsidR="00274A65" w:rsidRDefault="00274A65" w:rsidP="00274A65">
      <w:pPr>
        <w:pStyle w:val="FirstParagraph"/>
      </w:pPr>
      <w:r>
        <w:rPr>
          <w:b/>
          <w:bCs/>
        </w:rPr>
        <w:t xml:space="preserve">Economic complexity is a measure of </w:t>
      </w:r>
      <w:proofErr w:type="gramStart"/>
      <w:r>
        <w:rPr>
          <w:b/>
          <w:bCs/>
        </w:rPr>
        <w:t>the knowledge</w:t>
      </w:r>
      <w:proofErr w:type="gramEnd"/>
      <w:r>
        <w:rPr>
          <w:b/>
          <w:bCs/>
        </w:rPr>
        <w:t xml:space="preserve"> or capabilities embedded with an economy.</w:t>
      </w:r>
    </w:p>
    <w:p w14:paraId="79FDE922" w14:textId="77777777" w:rsidR="00274A65" w:rsidRDefault="00274A65" w:rsidP="00274A65">
      <w:pPr>
        <w:pStyle w:val="BodyText"/>
      </w:pPr>
      <w:r>
        <w:t>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14:paraId="1CE5B697" w14:textId="77777777" w:rsidR="00274A65" w:rsidRDefault="00274A65" w:rsidP="00274A65">
      <w:pPr>
        <w:pStyle w:val="BodyText"/>
      </w:pPr>
      <w:r>
        <w:t xml:space="preserve">In principle, the more capabilities a country has (i.e., the higher its economic complexity), the more ways these capabilities can be combined to create new or unique products which </w:t>
      </w:r>
      <w:proofErr w:type="spellStart"/>
      <w:proofErr w:type="gramStart"/>
      <w:r>
        <w:t>can not</w:t>
      </w:r>
      <w:proofErr w:type="spellEnd"/>
      <w:proofErr w:type="gramEnd"/>
      <w:r>
        <w:t xml:space="preserve"> be created elsewhere.</w:t>
      </w:r>
    </w:p>
    <w:p w14:paraId="339A6E70" w14:textId="77777777" w:rsidR="00274A65" w:rsidRDefault="00274A65" w:rsidP="00274A65">
      <w:pPr>
        <w:pStyle w:val="BodyText"/>
      </w:pPr>
      <w:r>
        <w:t>Economic complexity quantifies and describes the differences in capabilities between economies at a point in time. Differences in economic complexity can explain why there are differences in per-capita Gross Domestic Product (GDP) (Hausmann 2013).</w:t>
      </w:r>
    </w:p>
    <w:p w14:paraId="468B7F47" w14:textId="77777777" w:rsidR="00274A65" w:rsidRDefault="00274A65" w:rsidP="00274A65">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 </w:t>
      </w:r>
      <w:r>
        <w:rPr>
          <w:i/>
          <w:iCs/>
        </w:rPr>
        <w:t>relatedness.</w:t>
      </w:r>
    </w:p>
    <w:p w14:paraId="709E904C" w14:textId="77777777" w:rsidR="00274A65" w:rsidRDefault="00274A65" w:rsidP="00274A65">
      <w:pPr>
        <w:pStyle w:val="BodyText"/>
      </w:pPr>
      <w:r>
        <w:t xml:space="preserve">Relatedness is a measure of the probability that a country or region who is </w:t>
      </w:r>
      <w:proofErr w:type="spellStart"/>
      <w:r>
        <w:t>specialised</w:t>
      </w:r>
      <w:proofErr w:type="spellEnd"/>
      <w:r>
        <w:t xml:space="preserve"> in one product will also </w:t>
      </w:r>
      <w:proofErr w:type="spellStart"/>
      <w:r>
        <w:t>specialise</w:t>
      </w:r>
      <w:proofErr w:type="spellEnd"/>
      <w:r>
        <w:t xml:space="preserve"> in another product.</w:t>
      </w:r>
    </w:p>
    <w:p w14:paraId="0E1294B8" w14:textId="77777777" w:rsidR="00274A65" w:rsidRDefault="00274A65" w:rsidP="00274A65">
      <w:pPr>
        <w:pStyle w:val="BodyText"/>
      </w:pPr>
      <w:r>
        <w:t>Some examples include:</w:t>
      </w:r>
    </w:p>
    <w:p w14:paraId="79E019E7" w14:textId="77777777" w:rsidR="00274A65" w:rsidRDefault="00274A65" w:rsidP="00274A65">
      <w:pPr>
        <w:numPr>
          <w:ilvl w:val="0"/>
          <w:numId w:val="1"/>
        </w:numPr>
      </w:pPr>
      <w:proofErr w:type="gramStart"/>
      <w:r>
        <w:t>a country</w:t>
      </w:r>
      <w:proofErr w:type="gramEnd"/>
      <w:r>
        <w:t xml:space="preserve"> that </w:t>
      </w:r>
      <w:proofErr w:type="gramStart"/>
      <w:r>
        <w:t>exports t</w:t>
      </w:r>
      <w:proofErr w:type="gramEnd"/>
      <w:r>
        <w:t>-shirts is more likely to also export pants because of the similarity of skills and equipment required</w:t>
      </w:r>
    </w:p>
    <w:p w14:paraId="254EA290" w14:textId="77777777" w:rsidR="00274A65" w:rsidRDefault="00274A65" w:rsidP="00274A65">
      <w:pPr>
        <w:numPr>
          <w:ilvl w:val="0"/>
          <w:numId w:val="1"/>
        </w:numPr>
      </w:pPr>
      <w:proofErr w:type="gramStart"/>
      <w:r>
        <w:t>a region</w:t>
      </w:r>
      <w:proofErr w:type="gramEnd"/>
      <w:r>
        <w:t xml:space="preserve"> that </w:t>
      </w:r>
      <w:proofErr w:type="spellStart"/>
      <w:r>
        <w:t>specialises</w:t>
      </w:r>
      <w:proofErr w:type="spellEnd"/>
      <w:r>
        <w:t xml:space="preserve"> in copper mining is more likely to also </w:t>
      </w:r>
      <w:proofErr w:type="spellStart"/>
      <w:r>
        <w:t>specialise</w:t>
      </w:r>
      <w:proofErr w:type="spellEnd"/>
      <w:r>
        <w:t xml:space="preserve"> in other kinds of mining because of the similarity of skills, equipment, and co-location of minerals</w:t>
      </w:r>
    </w:p>
    <w:p w14:paraId="54BF3AAA" w14:textId="77777777" w:rsidR="00274A65" w:rsidRDefault="00274A65" w:rsidP="00274A65">
      <w:pPr>
        <w:numPr>
          <w:ilvl w:val="0"/>
          <w:numId w:val="1"/>
        </w:numPr>
      </w:pPr>
      <w:proofErr w:type="gramStart"/>
      <w:r>
        <w:t>a region</w:t>
      </w:r>
      <w:proofErr w:type="gramEnd"/>
      <w:r>
        <w:t xml:space="preserve"> that exports bananas is more likely to also export mangos because of the similarity of climate</w:t>
      </w:r>
    </w:p>
    <w:p w14:paraId="473A691E" w14:textId="77777777" w:rsidR="00274A65" w:rsidRDefault="00274A65" w:rsidP="00274A65">
      <w:pPr>
        <w:pStyle w:val="FirstParagraph"/>
      </w:pPr>
      <w:r>
        <w:t>Relatedness between jobs or products can be due to technological sophistication, knowledge spill overs from one activity to another, similarities in inputs or outputs in value chains, or the presence of requisite institutions.</w:t>
      </w:r>
    </w:p>
    <w:p w14:paraId="26DF8A2D" w14:textId="77777777" w:rsidR="00274A65" w:rsidRDefault="00274A65" w:rsidP="00274A65">
      <w:pPr>
        <w:pStyle w:val="Heading2"/>
      </w:pPr>
      <w:bookmarkStart w:id="0" w:name="economic-complexity-in-australia"/>
      <w:bookmarkStart w:id="1" w:name="_Toc201318827"/>
      <w:r>
        <w:t>2.1 Economic Complexity in Australia</w:t>
      </w:r>
      <w:bookmarkEnd w:id="1"/>
    </w:p>
    <w:p w14:paraId="68C4B7DD" w14:textId="77777777" w:rsidR="00274A65" w:rsidRDefault="00274A65" w:rsidP="00274A65">
      <w:pPr>
        <w:numPr>
          <w:ilvl w:val="0"/>
          <w:numId w:val="1"/>
        </w:numPr>
      </w:pPr>
      <w:r>
        <w:t>In Australia, there has been a continuous decline in the contribution of the manufacturing sector to overall GDP, and manufacturing employment to the total workforce.</w:t>
      </w:r>
    </w:p>
    <w:p w14:paraId="5DCE791E" w14:textId="77777777" w:rsidR="00274A65" w:rsidRDefault="00274A65" w:rsidP="00274A65">
      <w:pPr>
        <w:numPr>
          <w:ilvl w:val="0"/>
          <w:numId w:val="1"/>
        </w:numPr>
      </w:pPr>
      <w:r>
        <w:t>This trend has been seen across other countries - though perhaps not to the extent as in Australia.</w:t>
      </w:r>
    </w:p>
    <w:p w14:paraId="550959F3" w14:textId="77777777" w:rsidR="00274A65" w:rsidRDefault="00274A65" w:rsidP="00274A65">
      <w:pPr>
        <w:numPr>
          <w:ilvl w:val="0"/>
          <w:numId w:val="1"/>
        </w:numPr>
      </w:pPr>
      <w:r>
        <w:lastRenderedPageBreak/>
        <w:t>The decline of manufacturing in Australia was punctuated by announcements in 2013 and 2014 that local automotive manufacturing would come to an end.</w:t>
      </w:r>
    </w:p>
    <w:p w14:paraId="62CCA840" w14:textId="77777777" w:rsidR="00274A65" w:rsidRDefault="00274A65" w:rsidP="00274A65">
      <w:pPr>
        <w:numPr>
          <w:ilvl w:val="0"/>
          <w:numId w:val="1"/>
        </w:numPr>
      </w:pPr>
      <w:r>
        <w:t>Even outside of the broader trend of de-</w:t>
      </w:r>
      <w:proofErr w:type="spellStart"/>
      <w:r>
        <w:t>industrialisation</w:t>
      </w:r>
      <w:proofErr w:type="spellEnd"/>
      <w:r>
        <w:t>, the question remains: what industries can replace those in decline?</w:t>
      </w:r>
    </w:p>
    <w:p w14:paraId="605F8B72" w14:textId="77777777" w:rsidR="00274A65" w:rsidRDefault="00274A65" w:rsidP="00274A65">
      <w:pPr>
        <w:numPr>
          <w:ilvl w:val="0"/>
          <w:numId w:val="1"/>
        </w:numPr>
      </w:pPr>
      <w:r>
        <w:t>Differences in economic structure necessitate different policy responses.</w:t>
      </w:r>
    </w:p>
    <w:tbl>
      <w:tblPr>
        <w:tblStyle w:val="Table"/>
        <w:tblW w:w="5000" w:type="pct"/>
        <w:tblLayout w:type="fixed"/>
        <w:tblLook w:val="0000" w:firstRow="0" w:lastRow="0" w:firstColumn="0" w:lastColumn="0" w:noHBand="0" w:noVBand="0"/>
      </w:tblPr>
      <w:tblGrid>
        <w:gridCol w:w="9026"/>
      </w:tblGrid>
      <w:tr w:rsidR="00274A65" w14:paraId="58A252BA" w14:textId="77777777" w:rsidTr="009A02DB">
        <w:tc>
          <w:tcPr>
            <w:tcW w:w="7920" w:type="dxa"/>
          </w:tcPr>
          <w:p w14:paraId="4C757958" w14:textId="77777777" w:rsidR="00274A65" w:rsidRDefault="00274A65" w:rsidP="009A02DB">
            <w:pPr>
              <w:pStyle w:val="Compact"/>
              <w:jc w:val="center"/>
            </w:pPr>
            <w:bookmarkStart w:id="2" w:name="fig-complexity-index"/>
            <w:r>
              <w:rPr>
                <w:noProof/>
              </w:rPr>
              <w:drawing>
                <wp:inline distT="0" distB="0" distL="0" distR="0" wp14:anchorId="465F6081" wp14:editId="25DDF24D">
                  <wp:extent cx="4620126" cy="3696101"/>
                  <wp:effectExtent l="0" t="0" r="0" b="0"/>
                  <wp:docPr id="23" name="Picture" descr="A graph showing the growth of the stock market&#10;&#10;AI-generated content may be incorrect."/>
                  <wp:cNvGraphicFramePr/>
                  <a:graphic xmlns:a="http://schemas.openxmlformats.org/drawingml/2006/main">
                    <a:graphicData uri="http://schemas.openxmlformats.org/drawingml/2006/picture">
                      <pic:pic xmlns:pic="http://schemas.openxmlformats.org/drawingml/2006/picture">
                        <pic:nvPicPr>
                          <pic:cNvPr id="23" name="Picture" descr="A graph showing the growth of the stock market&#10;&#10;AI-generated content may be incorrect."/>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1BCF225" w14:textId="77777777" w:rsidR="00274A65" w:rsidRDefault="00274A65" w:rsidP="009A02DB">
            <w:pPr>
              <w:pStyle w:val="ImageCaption"/>
              <w:spacing w:before="200"/>
            </w:pPr>
            <w:r>
              <w:t>Figure 2.1: Economic Complexity Index, Australia, Canada, Germany</w:t>
            </w:r>
          </w:p>
        </w:tc>
        <w:bookmarkEnd w:id="2"/>
      </w:tr>
    </w:tbl>
    <w:p w14:paraId="664C88E1" w14:textId="77777777" w:rsidR="00274A65" w:rsidRDefault="00274A65" w:rsidP="00274A65">
      <w:pPr>
        <w:pStyle w:val="Heading2"/>
      </w:pPr>
      <w:bookmarkStart w:id="3" w:name="X002c81b237d0e7ea4aa6242ee98c3a084447a12"/>
      <w:bookmarkStart w:id="4" w:name="_Toc201318828"/>
      <w:bookmarkEnd w:id="0"/>
      <w:r>
        <w:t>2.2 Embedding Economic Complexity into Industry Policy</w:t>
      </w:r>
      <w:bookmarkEnd w:id="4"/>
    </w:p>
    <w:p w14:paraId="212BFB61" w14:textId="77777777" w:rsidR="00274A65" w:rsidRDefault="00274A65" w:rsidP="00274A65">
      <w:pPr>
        <w:pStyle w:val="FirstParagraph"/>
      </w:pPr>
      <w:r>
        <w:t xml:space="preserve">The deliberate lack of industry policy in Australia in </w:t>
      </w:r>
      <w:proofErr w:type="spellStart"/>
      <w:r>
        <w:t>favour</w:t>
      </w:r>
      <w:proofErr w:type="spellEnd"/>
      <w:r>
        <w:t xml:space="preserve"> of policy based on the rationality of markets has resulted in an economy which </w:t>
      </w:r>
      <w:proofErr w:type="spellStart"/>
      <w:r>
        <w:t>prioritises</w:t>
      </w:r>
      <w:proofErr w:type="spellEnd"/>
      <w:r>
        <w:t xml:space="preserve"> sectors and activities that generate the highest returns to capital.</w:t>
      </w:r>
    </w:p>
    <w:p w14:paraId="2F577156" w14:textId="77777777" w:rsidR="00274A65" w:rsidRDefault="00274A65" w:rsidP="00274A65">
      <w:pPr>
        <w:pStyle w:val="BodyText"/>
      </w:pPr>
      <w:r>
        <w:t xml:space="preserve">Active and </w:t>
      </w:r>
      <w:proofErr w:type="gramStart"/>
      <w:r>
        <w:t>directional</w:t>
      </w:r>
      <w:proofErr w:type="gramEnd"/>
      <w:r>
        <w:t xml:space="preserve"> industry policy instead </w:t>
      </w:r>
      <w:proofErr w:type="spellStart"/>
      <w:r>
        <w:t>prioritises</w:t>
      </w:r>
      <w:proofErr w:type="spellEnd"/>
      <w:r>
        <w:t xml:space="preserve"> sectors and activities that provide higher returns to society. Such sectors:</w:t>
      </w:r>
    </w:p>
    <w:p w14:paraId="48A3B374" w14:textId="77777777" w:rsidR="00274A65" w:rsidRDefault="00274A65" w:rsidP="00274A65">
      <w:pPr>
        <w:numPr>
          <w:ilvl w:val="0"/>
          <w:numId w:val="1"/>
        </w:numPr>
      </w:pPr>
      <w:r>
        <w:t xml:space="preserve">embody greater knowledge intensity and have high positive </w:t>
      </w:r>
      <w:proofErr w:type="gramStart"/>
      <w:r>
        <w:t>spill-overs</w:t>
      </w:r>
      <w:proofErr w:type="gramEnd"/>
      <w:r>
        <w:t xml:space="preserve"> (for example, local/domestic processing and value-adding of minerals compared to dig and ship)</w:t>
      </w:r>
    </w:p>
    <w:p w14:paraId="4B28405B" w14:textId="77777777" w:rsidR="00274A65" w:rsidRDefault="00274A65" w:rsidP="00274A65">
      <w:pPr>
        <w:numPr>
          <w:ilvl w:val="0"/>
          <w:numId w:val="1"/>
        </w:numPr>
      </w:pPr>
      <w:r>
        <w:t xml:space="preserve">can assist with large scale societal challenges, such as the </w:t>
      </w:r>
      <w:proofErr w:type="spellStart"/>
      <w:r>
        <w:t>decarbonisation</w:t>
      </w:r>
      <w:proofErr w:type="spellEnd"/>
      <w:r>
        <w:t>/net zero agenda (and capturing the economic benefits), building and retaining sovereign capabilities, and generating inclusive economic growth (reversing inequality).</w:t>
      </w:r>
    </w:p>
    <w:p w14:paraId="6239CD61" w14:textId="77777777" w:rsidR="00274A65" w:rsidRDefault="00274A65" w:rsidP="00274A65">
      <w:pPr>
        <w:numPr>
          <w:ilvl w:val="0"/>
          <w:numId w:val="1"/>
        </w:numPr>
      </w:pPr>
      <w:r>
        <w:t>have the potential to create high quality and secure jobs</w:t>
      </w:r>
    </w:p>
    <w:p w14:paraId="5E88F8C6" w14:textId="77777777" w:rsidR="00274A65" w:rsidRDefault="00274A65" w:rsidP="00274A65">
      <w:pPr>
        <w:pStyle w:val="FirstParagraph"/>
      </w:pPr>
      <w:r>
        <w:lastRenderedPageBreak/>
        <w:t>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14:paraId="47BCAB68" w14:textId="77777777" w:rsidR="00274A65" w:rsidRDefault="00274A65" w:rsidP="00274A65">
      <w:pPr>
        <w:pStyle w:val="BodyText"/>
      </w:pPr>
      <w:r>
        <w:t>This is not a new idea:</w:t>
      </w:r>
    </w:p>
    <w:p w14:paraId="2C0888B4" w14:textId="77777777" w:rsidR="00274A65" w:rsidRDefault="00274A65" w:rsidP="00274A65">
      <w:pPr>
        <w:pStyle w:val="BodyText"/>
      </w:pPr>
      <w:r>
        <w:t xml:space="preserve">The concept of smart </w:t>
      </w:r>
      <w:proofErr w:type="spellStart"/>
      <w:r>
        <w:t>specialisation</w:t>
      </w:r>
      <w:proofErr w:type="spellEnd"/>
      <w:r>
        <w:t xml:space="preserve"> focuses on the importance of location and regional knowledge. Smart </w:t>
      </w:r>
      <w:proofErr w:type="spellStart"/>
      <w:r>
        <w:t>specialisation</w:t>
      </w:r>
      <w:proofErr w:type="spellEnd"/>
      <w:r>
        <w:t xml:space="preserve"> has been used as the basis for industry and innovation policy throughout Europe - to direct regional economies along place-based technological trajectories, based on the existing knowledge present in the region (Rigby and </w:t>
      </w:r>
      <w:proofErr w:type="spellStart"/>
      <w:r>
        <w:t>Essletzbichler</w:t>
      </w:r>
      <w:proofErr w:type="spellEnd"/>
      <w:r>
        <w:t xml:space="preserve"> 1997). Smart </w:t>
      </w:r>
      <w:proofErr w:type="spellStart"/>
      <w:r>
        <w:t>specialisation</w:t>
      </w:r>
      <w:proofErr w:type="spellEnd"/>
      <w:r>
        <w:t xml:space="preserve"> policy </w:t>
      </w:r>
      <w:proofErr w:type="spellStart"/>
      <w:r>
        <w:t>realises</w:t>
      </w:r>
      <w:proofErr w:type="spellEnd"/>
      <w:r>
        <w:t xml:space="preserve"> that - because knowledge is location dependent - improved development outcomes can be created by </w:t>
      </w:r>
      <w:proofErr w:type="spellStart"/>
      <w:r>
        <w:t>focussing</w:t>
      </w:r>
      <w:proofErr w:type="spellEnd"/>
      <w:r>
        <w:t xml:space="preserve"> on distinctive and original areas of </w:t>
      </w:r>
      <w:proofErr w:type="spellStart"/>
      <w:r>
        <w:t>specialisation</w:t>
      </w:r>
      <w:proofErr w:type="spellEnd"/>
      <w:r>
        <w:t>, rather than simply copying what has been successful elsewhere (Dominique Foray, Paul A. David, and Bronwyn Hall 2009</w:t>
      </w:r>
      <w:proofErr w:type="gramStart"/>
      <w:r>
        <w:t>) .</w:t>
      </w:r>
      <w:proofErr w:type="gramEnd"/>
      <w:r>
        <w:t xml:space="preserve"> That is, what has been successful in one region (i.e. Silicon Valley) may not necessarily work in other regions.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991"/>
      </w:tblGrid>
      <w:tr w:rsidR="00274A65" w14:paraId="35BE3D5A" w14:textId="77777777" w:rsidTr="009A02DB">
        <w:trPr>
          <w:cantSplit/>
        </w:trPr>
        <w:tc>
          <w:tcPr>
            <w:tcW w:w="0" w:type="auto"/>
            <w:shd w:val="clear" w:color="auto" w:fill="DAE6FB"/>
            <w:tcMar>
              <w:top w:w="92" w:type="dxa"/>
              <w:bottom w:w="92" w:type="dxa"/>
            </w:tcMar>
          </w:tcPr>
          <w:p w14:paraId="5E7125A6" w14:textId="77777777" w:rsidR="00274A65" w:rsidRDefault="00274A65" w:rsidP="009A02DB">
            <w:pPr>
              <w:pStyle w:val="BodyText"/>
              <w:spacing w:before="0" w:after="0"/>
              <w:textAlignment w:val="center"/>
            </w:pPr>
            <w:r>
              <w:rPr>
                <w:noProof/>
              </w:rPr>
              <w:drawing>
                <wp:inline distT="0" distB="0" distL="0" distR="0" wp14:anchorId="091B2DCC" wp14:editId="72B89DE8">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Users\hamis\AppData\Local\Programs\Quarto\share\formats\docx\note.png"/>
                          <pic:cNvPicPr>
                            <a:picLocks noChangeAspect="1" noChangeArrowheads="1"/>
                          </pic:cNvPicPr>
                        </pic:nvPicPr>
                        <pic:blipFill>
                          <a:blip r:embed="rId6"/>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274A65" w14:paraId="0470415C" w14:textId="77777777" w:rsidTr="009A02DB">
        <w:trPr>
          <w:cantSplit/>
        </w:trPr>
        <w:tc>
          <w:tcPr>
            <w:tcW w:w="0" w:type="auto"/>
            <w:tcMar>
              <w:top w:w="108" w:type="dxa"/>
              <w:bottom w:w="108" w:type="dxa"/>
            </w:tcMar>
          </w:tcPr>
          <w:p w14:paraId="5E447CAF" w14:textId="77777777" w:rsidR="00274A65" w:rsidRDefault="00274A65" w:rsidP="009A02DB">
            <w:pPr>
              <w:pStyle w:val="BodyText"/>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w:t>
            </w:r>
            <w:proofErr w:type="gramStart"/>
            <w:r>
              <w:t>create</w:t>
            </w:r>
            <w:proofErr w:type="gramEnd"/>
            <w:r>
              <w:t xml:space="preserve"> more opportunities.</w:t>
            </w:r>
          </w:p>
        </w:tc>
      </w:tr>
    </w:tbl>
    <w:p w14:paraId="61881C98" w14:textId="77777777" w:rsidR="00274A65" w:rsidRDefault="00274A65" w:rsidP="00274A65">
      <w:pPr>
        <w:pStyle w:val="Heading3"/>
      </w:pPr>
      <w:bookmarkStart w:id="5" w:name="diversification-analysis"/>
      <w:bookmarkStart w:id="6" w:name="_Toc201318829"/>
      <w:r>
        <w:t>2.2.1 Diversification Analysis</w:t>
      </w:r>
      <w:bookmarkEnd w:id="6"/>
    </w:p>
    <w:p w14:paraId="3DBDD992" w14:textId="77777777" w:rsidR="00274A65" w:rsidRDefault="00274A65" w:rsidP="00274A65">
      <w:pPr>
        <w:pStyle w:val="FirstParagraph"/>
      </w:pPr>
      <w:r>
        <w:t xml:space="preserve">Diversification analysis is the first and most basic method available. It looks at the existing capabilities in a </w:t>
      </w:r>
      <w:proofErr w:type="gramStart"/>
      <w:r>
        <w:t>region, and</w:t>
      </w:r>
      <w:proofErr w:type="gramEnd"/>
      <w:r>
        <w:t xml:space="preserve"> identifies what related activities can be </w:t>
      </w:r>
      <w:proofErr w:type="spellStart"/>
      <w:r>
        <w:t>prioritised</w:t>
      </w:r>
      <w:proofErr w:type="spellEnd"/>
      <w:r>
        <w:t xml:space="preserve"> to best make use of these capabilities. For example, consider the economic complexity of a region like </w:t>
      </w:r>
      <w:proofErr w:type="spellStart"/>
      <w:r>
        <w:t>Whyalla</w:t>
      </w:r>
      <w:proofErr w:type="spellEnd"/>
      <w:r>
        <w:t>.</w:t>
      </w:r>
    </w:p>
    <w:p w14:paraId="37509486" w14:textId="77777777" w:rsidR="00274A65" w:rsidRDefault="00274A65" w:rsidP="00274A65">
      <w:pPr>
        <w:numPr>
          <w:ilvl w:val="0"/>
          <w:numId w:val="1"/>
        </w:numPr>
      </w:pPr>
      <w:r>
        <w:t>Diversification analysis is the first and most basic method.</w:t>
      </w:r>
    </w:p>
    <w:p w14:paraId="295EB465" w14:textId="77777777" w:rsidR="00274A65" w:rsidRDefault="00274A65" w:rsidP="00274A65">
      <w:pPr>
        <w:numPr>
          <w:ilvl w:val="0"/>
          <w:numId w:val="1"/>
        </w:numPr>
      </w:pPr>
      <w:r>
        <w:t xml:space="preserve">Given a suite of existing capabilities, what related activities can be </w:t>
      </w:r>
      <w:proofErr w:type="spellStart"/>
      <w:r>
        <w:t>prioritised</w:t>
      </w:r>
      <w:proofErr w:type="spellEnd"/>
      <w:r>
        <w:t xml:space="preserve"> to best make use of the capabilities.</w:t>
      </w:r>
    </w:p>
    <w:p w14:paraId="313B46C2" w14:textId="77777777" w:rsidR="00274A65" w:rsidRDefault="00274A65" w:rsidP="00274A65">
      <w:pPr>
        <w:numPr>
          <w:ilvl w:val="0"/>
          <w:numId w:val="1"/>
        </w:numPr>
      </w:pPr>
      <w:r>
        <w:t>Identify where those related activities can be performed.</w:t>
      </w:r>
    </w:p>
    <w:p w14:paraId="4A163F91" w14:textId="77777777" w:rsidR="00274A65" w:rsidRDefault="00274A65" w:rsidP="00274A65">
      <w:pPr>
        <w:pStyle w:val="Heading3"/>
      </w:pPr>
      <w:bookmarkStart w:id="7" w:name="opportunity-identification"/>
      <w:bookmarkStart w:id="8" w:name="_Toc201318830"/>
      <w:bookmarkEnd w:id="5"/>
      <w:r>
        <w:t>2.2.2 Opportunity Identification</w:t>
      </w:r>
      <w:bookmarkEnd w:id="8"/>
    </w:p>
    <w:p w14:paraId="52917544" w14:textId="77777777" w:rsidR="00274A65" w:rsidRDefault="00274A65" w:rsidP="00274A65">
      <w:pPr>
        <w:numPr>
          <w:ilvl w:val="0"/>
          <w:numId w:val="1"/>
        </w:numPr>
      </w:pPr>
      <w:r>
        <w:t>Opportunity identification takes the diversification results and analyses:</w:t>
      </w:r>
    </w:p>
    <w:p w14:paraId="314C9882" w14:textId="77777777" w:rsidR="00274A65" w:rsidRDefault="00274A65" w:rsidP="00274A65">
      <w:pPr>
        <w:numPr>
          <w:ilvl w:val="1"/>
          <w:numId w:val="1"/>
        </w:numPr>
      </w:pPr>
      <w:r>
        <w:t>current and future strengths and weaknesses within the sector</w:t>
      </w:r>
    </w:p>
    <w:p w14:paraId="62836ECB" w14:textId="77777777" w:rsidR="00274A65" w:rsidRDefault="00274A65" w:rsidP="00274A65">
      <w:pPr>
        <w:numPr>
          <w:ilvl w:val="1"/>
          <w:numId w:val="1"/>
        </w:numPr>
      </w:pPr>
      <w:r>
        <w:t>competitors and suppliers</w:t>
      </w:r>
    </w:p>
    <w:p w14:paraId="673E4B18" w14:textId="77777777" w:rsidR="00274A65" w:rsidRDefault="00274A65" w:rsidP="00274A65">
      <w:pPr>
        <w:numPr>
          <w:ilvl w:val="1"/>
          <w:numId w:val="1"/>
        </w:numPr>
      </w:pPr>
      <w:r>
        <w:lastRenderedPageBreak/>
        <w:t>anticipated international market conditions and industry demand characteristics</w:t>
      </w:r>
    </w:p>
    <w:p w14:paraId="5BD3C064" w14:textId="77777777" w:rsidR="00274A65" w:rsidRDefault="00274A65" w:rsidP="00274A65">
      <w:pPr>
        <w:numPr>
          <w:ilvl w:val="1"/>
          <w:numId w:val="1"/>
        </w:numPr>
      </w:pPr>
      <w:r>
        <w:t>barriers to entry and minimum efficient scale issues</w:t>
      </w:r>
    </w:p>
    <w:p w14:paraId="6588B303" w14:textId="77777777" w:rsidR="00274A65" w:rsidRDefault="00274A65" w:rsidP="00274A65">
      <w:pPr>
        <w:numPr>
          <w:ilvl w:val="1"/>
          <w:numId w:val="1"/>
        </w:numPr>
      </w:pPr>
      <w:r>
        <w:t>the size and economic significance of the opportunity</w:t>
      </w:r>
    </w:p>
    <w:p w14:paraId="48486F81" w14:textId="77777777" w:rsidR="00274A65" w:rsidRDefault="00274A65" w:rsidP="00274A65">
      <w:pPr>
        <w:numPr>
          <w:ilvl w:val="1"/>
          <w:numId w:val="1"/>
        </w:numPr>
      </w:pPr>
      <w:r>
        <w:t>the most important elements of the value chain to capture</w:t>
      </w:r>
    </w:p>
    <w:p w14:paraId="1DEA738B" w14:textId="77777777" w:rsidR="00274A65" w:rsidRDefault="00274A65" w:rsidP="00274A65">
      <w:pPr>
        <w:numPr>
          <w:ilvl w:val="1"/>
          <w:numId w:val="1"/>
        </w:numPr>
      </w:pPr>
      <w:r>
        <w:t>the alignment between the opportunities and strategic, regional, or national goals and priorities.</w:t>
      </w:r>
    </w:p>
    <w:bookmarkEnd w:id="3"/>
    <w:bookmarkEnd w:id="7"/>
    <w:p w14:paraId="748BA5BE" w14:textId="77777777" w:rsidR="002F0CAB" w:rsidRDefault="002F0CAB"/>
    <w:sectPr w:rsidR="002F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7E90CD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4236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65"/>
    <w:rsid w:val="00274A65"/>
    <w:rsid w:val="002E2583"/>
    <w:rsid w:val="002F0CAB"/>
    <w:rsid w:val="003801F3"/>
    <w:rsid w:val="004E35A9"/>
    <w:rsid w:val="006207AB"/>
    <w:rsid w:val="008D4165"/>
    <w:rsid w:val="00BD53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D34A"/>
  <w15:chartTrackingRefBased/>
  <w15:docId w15:val="{EA62C480-8562-4352-86C3-01DA55F6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A65"/>
    <w:pPr>
      <w:spacing w:after="20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274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8D4165"/>
    <w:rPr>
      <w:b/>
      <w:iCs/>
      <w:szCs w:val="18"/>
    </w:rPr>
  </w:style>
  <w:style w:type="character" w:customStyle="1" w:styleId="Heading1Char">
    <w:name w:val="Heading 1 Char"/>
    <w:basedOn w:val="DefaultParagraphFont"/>
    <w:link w:val="Heading1"/>
    <w:uiPriority w:val="9"/>
    <w:rsid w:val="00274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A65"/>
    <w:rPr>
      <w:rFonts w:eastAsiaTheme="majorEastAsia" w:cstheme="majorBidi"/>
      <w:color w:val="272727" w:themeColor="text1" w:themeTint="D8"/>
    </w:rPr>
  </w:style>
  <w:style w:type="paragraph" w:styleId="Title">
    <w:name w:val="Title"/>
    <w:basedOn w:val="Normal"/>
    <w:next w:val="Normal"/>
    <w:link w:val="TitleChar"/>
    <w:uiPriority w:val="10"/>
    <w:qFormat/>
    <w:rsid w:val="00274A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A65"/>
    <w:pPr>
      <w:spacing w:before="160"/>
      <w:jc w:val="center"/>
    </w:pPr>
    <w:rPr>
      <w:i/>
      <w:iCs/>
      <w:color w:val="404040" w:themeColor="text1" w:themeTint="BF"/>
    </w:rPr>
  </w:style>
  <w:style w:type="character" w:customStyle="1" w:styleId="QuoteChar">
    <w:name w:val="Quote Char"/>
    <w:basedOn w:val="DefaultParagraphFont"/>
    <w:link w:val="Quote"/>
    <w:uiPriority w:val="29"/>
    <w:rsid w:val="00274A65"/>
    <w:rPr>
      <w:i/>
      <w:iCs/>
      <w:color w:val="404040" w:themeColor="text1" w:themeTint="BF"/>
    </w:rPr>
  </w:style>
  <w:style w:type="paragraph" w:styleId="ListParagraph">
    <w:name w:val="List Paragraph"/>
    <w:basedOn w:val="Normal"/>
    <w:uiPriority w:val="34"/>
    <w:qFormat/>
    <w:rsid w:val="00274A65"/>
    <w:pPr>
      <w:ind w:left="720"/>
      <w:contextualSpacing/>
    </w:pPr>
  </w:style>
  <w:style w:type="character" w:styleId="IntenseEmphasis">
    <w:name w:val="Intense Emphasis"/>
    <w:basedOn w:val="DefaultParagraphFont"/>
    <w:uiPriority w:val="21"/>
    <w:qFormat/>
    <w:rsid w:val="00274A65"/>
    <w:rPr>
      <w:i/>
      <w:iCs/>
      <w:color w:val="0F4761" w:themeColor="accent1" w:themeShade="BF"/>
    </w:rPr>
  </w:style>
  <w:style w:type="paragraph" w:styleId="IntenseQuote">
    <w:name w:val="Intense Quote"/>
    <w:basedOn w:val="Normal"/>
    <w:next w:val="Normal"/>
    <w:link w:val="IntenseQuoteChar"/>
    <w:uiPriority w:val="30"/>
    <w:qFormat/>
    <w:rsid w:val="00274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A65"/>
    <w:rPr>
      <w:i/>
      <w:iCs/>
      <w:color w:val="0F4761" w:themeColor="accent1" w:themeShade="BF"/>
    </w:rPr>
  </w:style>
  <w:style w:type="character" w:styleId="IntenseReference">
    <w:name w:val="Intense Reference"/>
    <w:basedOn w:val="DefaultParagraphFont"/>
    <w:uiPriority w:val="32"/>
    <w:qFormat/>
    <w:rsid w:val="00274A65"/>
    <w:rPr>
      <w:b/>
      <w:bCs/>
      <w:smallCaps/>
      <w:color w:val="0F4761" w:themeColor="accent1" w:themeShade="BF"/>
      <w:spacing w:val="5"/>
    </w:rPr>
  </w:style>
  <w:style w:type="paragraph" w:styleId="BodyText">
    <w:name w:val="Body Text"/>
    <w:basedOn w:val="Normal"/>
    <w:link w:val="BodyTextChar"/>
    <w:qFormat/>
    <w:rsid w:val="00274A65"/>
    <w:pPr>
      <w:spacing w:before="180" w:after="180"/>
    </w:pPr>
  </w:style>
  <w:style w:type="character" w:customStyle="1" w:styleId="BodyTextChar">
    <w:name w:val="Body Text Char"/>
    <w:basedOn w:val="DefaultParagraphFont"/>
    <w:link w:val="BodyText"/>
    <w:rsid w:val="00274A65"/>
    <w:rPr>
      <w:kern w:val="0"/>
      <w:sz w:val="24"/>
      <w:szCs w:val="24"/>
      <w:lang w:val="en-US"/>
      <w14:ligatures w14:val="none"/>
    </w:rPr>
  </w:style>
  <w:style w:type="paragraph" w:customStyle="1" w:styleId="FirstParagraph">
    <w:name w:val="First Paragraph"/>
    <w:basedOn w:val="BodyText"/>
    <w:next w:val="BodyText"/>
    <w:qFormat/>
    <w:rsid w:val="00274A65"/>
  </w:style>
  <w:style w:type="paragraph" w:customStyle="1" w:styleId="Compact">
    <w:name w:val="Compact"/>
    <w:basedOn w:val="BodyText"/>
    <w:qFormat/>
    <w:rsid w:val="00274A65"/>
    <w:pPr>
      <w:spacing w:before="36" w:after="36"/>
    </w:pPr>
  </w:style>
  <w:style w:type="table" w:customStyle="1" w:styleId="Table">
    <w:name w:val="Table"/>
    <w:semiHidden/>
    <w:unhideWhenUsed/>
    <w:qFormat/>
    <w:rsid w:val="00274A65"/>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ImageCaption">
    <w:name w:val="Image Caption"/>
    <w:basedOn w:val="Caption"/>
    <w:rsid w:val="00274A65"/>
    <w:pPr>
      <w:spacing w:after="120"/>
    </w:pPr>
    <w:rPr>
      <w:b w:val="0"/>
      <w:i/>
      <w:i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Gamble</dc:creator>
  <cp:keywords/>
  <dc:description/>
  <cp:lastModifiedBy>Hamish Gamble</cp:lastModifiedBy>
  <cp:revision>1</cp:revision>
  <dcterms:created xsi:type="dcterms:W3CDTF">2025-06-20T03:33:00Z</dcterms:created>
  <dcterms:modified xsi:type="dcterms:W3CDTF">2025-06-20T03:34:00Z</dcterms:modified>
</cp:coreProperties>
</file>